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 w:ascii="方正黑体_GBK" w:eastAsia="方正黑体_GBK"/>
          <w:snapToGrid w:val="0"/>
          <w:color w:val="000000"/>
          <w:szCs w:val="32"/>
        </w:rPr>
      </w:pPr>
      <w:r>
        <w:rPr>
          <w:rFonts w:hint="eastAsia" w:ascii="方正黑体_GBK" w:eastAsia="方正黑体_GBK"/>
          <w:snapToGrid w:val="0"/>
          <w:color w:val="000000"/>
          <w:szCs w:val="32"/>
        </w:rPr>
        <w:t>附件1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ind w:firstLine="640" w:firstLineChars="200"/>
        <w:textAlignment w:val="auto"/>
        <w:rPr>
          <w:rFonts w:hint="eastAsia" w:eastAsia="方正仿宋_GBK"/>
          <w:snapToGrid w:val="0"/>
          <w:color w:val="000000"/>
          <w:szCs w:val="32"/>
        </w:rPr>
      </w:pPr>
      <w:r>
        <w:rPr>
          <w:rFonts w:hint="eastAsia" w:eastAsia="方正仿宋_GBK"/>
          <w:snapToGrid w:val="0"/>
          <w:color w:val="000000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_GBK" w:eastAsia="方正小标宋_GBK"/>
          <w:snapToGrid w:val="0"/>
          <w:color w:val="000000"/>
          <w:sz w:val="44"/>
          <w:szCs w:val="44"/>
        </w:rPr>
      </w:pPr>
      <w:r>
        <w:rPr>
          <w:rFonts w:hint="eastAsia" w:ascii="方正小标宋_GBK" w:eastAsia="方正小标宋_GBK"/>
          <w:snapToGrid w:val="0"/>
          <w:color w:val="000000"/>
          <w:sz w:val="44"/>
          <w:szCs w:val="44"/>
        </w:rPr>
        <w:t>非涉密数据中心</w:t>
      </w:r>
      <w:r>
        <w:rPr>
          <w:rFonts w:hint="eastAsia" w:ascii="方正小标宋_GBK" w:eastAsia="方正小标宋_GBK"/>
          <w:snapToGrid w:val="0"/>
          <w:color w:val="000000"/>
          <w:sz w:val="44"/>
          <w:szCs w:val="44"/>
          <w:lang w:eastAsia="zh-CN"/>
        </w:rPr>
        <w:t>资源</w:t>
      </w:r>
      <w:r>
        <w:rPr>
          <w:rFonts w:hint="eastAsia" w:ascii="方正小标宋_GBK" w:eastAsia="方正小标宋_GBK"/>
          <w:snapToGrid w:val="0"/>
          <w:color w:val="000000"/>
          <w:sz w:val="44"/>
          <w:szCs w:val="44"/>
        </w:rPr>
        <w:t>统筹利用技术认定标准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90" w:lineRule="exact"/>
        <w:ind w:firstLine="640" w:firstLineChars="200"/>
        <w:jc w:val="both"/>
        <w:textAlignment w:val="auto"/>
        <w:rPr>
          <w:rFonts w:hint="eastAsia" w:eastAsia="方正仿宋_GBK"/>
          <w:bCs w:val="0"/>
          <w:snapToGrid w:val="0"/>
          <w:color w:val="000000"/>
          <w:sz w:val="32"/>
        </w:rPr>
      </w:pPr>
      <w:r>
        <w:rPr>
          <w:rFonts w:hint="eastAsia" w:eastAsia="方正仿宋_GBK"/>
          <w:snapToGrid w:val="0"/>
          <w:color w:val="000000"/>
          <w:sz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640" w:firstLineChars="200"/>
        <w:textAlignment w:val="auto"/>
        <w:rPr>
          <w:rFonts w:hint="eastAsia" w:eastAsia="方正仿宋_GBK" w:cs="宋体"/>
          <w:snapToGrid w:val="0"/>
          <w:color w:val="000000"/>
          <w:szCs w:val="32"/>
        </w:rPr>
      </w:pPr>
      <w:r>
        <w:rPr>
          <w:rFonts w:hint="eastAsia" w:eastAsia="方正仿宋_GBK" w:cs="宋体"/>
          <w:snapToGrid w:val="0"/>
          <w:color w:val="000000"/>
          <w:szCs w:val="32"/>
        </w:rPr>
        <w:t>一、计算、存储</w:t>
      </w:r>
      <w:r>
        <w:rPr>
          <w:rFonts w:hint="eastAsia" w:eastAsia="方正仿宋_GBK" w:cs="宋体"/>
          <w:snapToGrid w:val="0"/>
          <w:color w:val="000000"/>
          <w:szCs w:val="32"/>
          <w:lang w:eastAsia="zh-CN"/>
        </w:rPr>
        <w:t>等</w:t>
      </w:r>
      <w:r>
        <w:rPr>
          <w:rFonts w:hint="eastAsia" w:eastAsia="方正仿宋_GBK" w:cs="宋体"/>
          <w:snapToGrid w:val="0"/>
          <w:color w:val="000000"/>
          <w:szCs w:val="32"/>
        </w:rPr>
        <w:t>资源</w:t>
      </w:r>
      <w:r>
        <w:rPr>
          <w:rFonts w:hint="eastAsia" w:eastAsia="方正仿宋_GBK" w:cs="宋体"/>
          <w:snapToGrid w:val="0"/>
          <w:color w:val="000000"/>
          <w:szCs w:val="32"/>
          <w:lang w:eastAsia="zh-CN"/>
        </w:rPr>
        <w:t>资产</w:t>
      </w:r>
      <w:r>
        <w:rPr>
          <w:rFonts w:hint="eastAsia" w:eastAsia="方正仿宋_GBK" w:cs="宋体"/>
          <w:snapToGrid w:val="0"/>
          <w:color w:val="000000"/>
          <w:szCs w:val="32"/>
        </w:rPr>
        <w:t>处于厂商维保期内的，列入</w:t>
      </w:r>
      <w:r>
        <w:rPr>
          <w:rFonts w:hint="eastAsia" w:eastAsia="方正仿宋_GBK" w:cs="宋体"/>
          <w:snapToGrid w:val="0"/>
          <w:color w:val="000000"/>
          <w:szCs w:val="32"/>
          <w:lang w:eastAsia="zh-CN"/>
        </w:rPr>
        <w:t>非涉密数据中心资源</w:t>
      </w:r>
      <w:r>
        <w:rPr>
          <w:rFonts w:hint="eastAsia" w:eastAsia="方正仿宋_GBK" w:cs="宋体"/>
          <w:snapToGrid w:val="0"/>
          <w:color w:val="000000"/>
          <w:szCs w:val="32"/>
        </w:rPr>
        <w:t>统筹利用范围；已达报废年限的</w:t>
      </w:r>
      <w:r>
        <w:rPr>
          <w:rFonts w:hint="eastAsia" w:eastAsia="方正仿宋_GBK" w:cs="宋体"/>
          <w:snapToGrid w:val="0"/>
          <w:color w:val="000000"/>
          <w:szCs w:val="32"/>
          <w:lang w:eastAsia="zh-CN"/>
        </w:rPr>
        <w:t>计算、存储等</w:t>
      </w:r>
      <w:r>
        <w:rPr>
          <w:rFonts w:hint="eastAsia" w:eastAsia="方正仿宋_GBK" w:cs="宋体"/>
          <w:snapToGrid w:val="0"/>
          <w:color w:val="000000"/>
          <w:szCs w:val="32"/>
        </w:rPr>
        <w:t>资源</w:t>
      </w:r>
      <w:r>
        <w:rPr>
          <w:rFonts w:hint="eastAsia" w:eastAsia="方正仿宋_GBK" w:cs="宋体"/>
          <w:snapToGrid w:val="0"/>
          <w:color w:val="000000"/>
          <w:szCs w:val="32"/>
          <w:lang w:eastAsia="zh-CN"/>
        </w:rPr>
        <w:t>资产的</w:t>
      </w:r>
      <w:r>
        <w:rPr>
          <w:rFonts w:hint="eastAsia" w:eastAsia="方正仿宋_GBK" w:cs="宋体"/>
          <w:snapToGrid w:val="0"/>
          <w:color w:val="000000"/>
          <w:szCs w:val="32"/>
        </w:rPr>
        <w:t>，不列入</w:t>
      </w:r>
      <w:r>
        <w:rPr>
          <w:rFonts w:hint="eastAsia" w:eastAsia="方正仿宋_GBK" w:cs="宋体"/>
          <w:snapToGrid w:val="0"/>
          <w:color w:val="000000"/>
          <w:szCs w:val="32"/>
          <w:lang w:eastAsia="zh-CN"/>
        </w:rPr>
        <w:t>非涉密数据中心资源</w:t>
      </w:r>
      <w:r>
        <w:rPr>
          <w:rFonts w:hint="eastAsia" w:eastAsia="方正仿宋_GBK" w:cs="宋体"/>
          <w:snapToGrid w:val="0"/>
          <w:color w:val="000000"/>
          <w:szCs w:val="32"/>
        </w:rPr>
        <w:t>统筹利用范围。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640" w:firstLineChars="200"/>
        <w:textAlignment w:val="auto"/>
        <w:rPr>
          <w:rFonts w:hint="eastAsia" w:eastAsia="方正仿宋_GBK" w:cs="宋体"/>
          <w:snapToGrid w:val="0"/>
          <w:color w:val="000000"/>
          <w:szCs w:val="32"/>
        </w:rPr>
      </w:pPr>
      <w:r>
        <w:rPr>
          <w:rFonts w:hint="eastAsia" w:eastAsia="方正仿宋_GBK" w:cs="宋体"/>
          <w:snapToGrid w:val="0"/>
          <w:color w:val="000000"/>
          <w:szCs w:val="32"/>
        </w:rPr>
        <w:t>二、动力环境基础配套设施、机柜、网络和安全设备</w:t>
      </w:r>
      <w:r>
        <w:rPr>
          <w:rFonts w:hint="eastAsia" w:eastAsia="方正仿宋_GBK" w:cs="宋体"/>
          <w:snapToGrid w:val="0"/>
          <w:color w:val="000000"/>
          <w:szCs w:val="32"/>
          <w:lang w:eastAsia="zh-CN"/>
        </w:rPr>
        <w:t>等资源资产，</w:t>
      </w:r>
      <w:r>
        <w:rPr>
          <w:rFonts w:hint="eastAsia" w:eastAsia="方正仿宋_GBK" w:cs="宋体"/>
          <w:snapToGrid w:val="0"/>
          <w:color w:val="000000"/>
          <w:szCs w:val="32"/>
        </w:rPr>
        <w:t>原则上保留在</w:t>
      </w:r>
      <w:r>
        <w:rPr>
          <w:rFonts w:hint="eastAsia" w:eastAsia="方正仿宋_GBK" w:cs="宋体"/>
          <w:snapToGrid w:val="0"/>
          <w:color w:val="000000"/>
          <w:szCs w:val="32"/>
          <w:lang w:eastAsia="zh-CN"/>
        </w:rPr>
        <w:t>本</w:t>
      </w:r>
      <w:r>
        <w:rPr>
          <w:rFonts w:hint="eastAsia" w:eastAsia="方正仿宋_GBK" w:cs="宋体"/>
          <w:snapToGrid w:val="0"/>
          <w:color w:val="000000"/>
          <w:szCs w:val="32"/>
        </w:rPr>
        <w:t>部门</w:t>
      </w:r>
      <w:r>
        <w:rPr>
          <w:rFonts w:hint="eastAsia" w:eastAsia="方正仿宋_GBK" w:cs="宋体"/>
          <w:snapToGrid w:val="0"/>
          <w:color w:val="000000"/>
          <w:szCs w:val="32"/>
          <w:lang w:eastAsia="zh-CN"/>
        </w:rPr>
        <w:t>，</w:t>
      </w:r>
      <w:r>
        <w:rPr>
          <w:rFonts w:hint="eastAsia" w:eastAsia="方正仿宋_GBK" w:cs="宋体"/>
          <w:snapToGrid w:val="0"/>
          <w:color w:val="000000"/>
          <w:szCs w:val="32"/>
        </w:rPr>
        <w:t>作为</w:t>
      </w:r>
      <w:r>
        <w:rPr>
          <w:rFonts w:hint="eastAsia" w:eastAsia="方正仿宋_GBK" w:cs="宋体"/>
          <w:snapToGrid w:val="0"/>
          <w:color w:val="000000"/>
          <w:szCs w:val="32"/>
          <w:lang w:eastAsia="zh-CN"/>
        </w:rPr>
        <w:t>本</w:t>
      </w:r>
      <w:r>
        <w:rPr>
          <w:rFonts w:hint="eastAsia" w:eastAsia="方正仿宋_GBK" w:cs="宋体"/>
          <w:snapToGrid w:val="0"/>
          <w:color w:val="000000"/>
          <w:szCs w:val="32"/>
        </w:rPr>
        <w:t>部门局域网的基础网络、安全保障；闲置设备如空机柜、路由器、交换机、防火墙等</w:t>
      </w:r>
      <w:r>
        <w:rPr>
          <w:rFonts w:hint="eastAsia" w:eastAsia="方正仿宋_GBK" w:cs="宋体"/>
          <w:snapToGrid w:val="0"/>
          <w:color w:val="000000"/>
          <w:szCs w:val="32"/>
          <w:lang w:eastAsia="zh-CN"/>
        </w:rPr>
        <w:t>资源资产，应</w:t>
      </w:r>
      <w:r>
        <w:rPr>
          <w:rFonts w:hint="eastAsia" w:eastAsia="方正仿宋_GBK" w:cs="宋体"/>
          <w:snapToGrid w:val="0"/>
          <w:color w:val="000000"/>
          <w:szCs w:val="32"/>
        </w:rPr>
        <w:t>列入</w:t>
      </w:r>
      <w:r>
        <w:rPr>
          <w:rFonts w:hint="eastAsia" w:eastAsia="方正仿宋_GBK" w:cs="宋体"/>
          <w:snapToGrid w:val="0"/>
          <w:color w:val="000000"/>
          <w:szCs w:val="32"/>
          <w:lang w:eastAsia="zh-CN"/>
        </w:rPr>
        <w:t>非涉密数据中心资源</w:t>
      </w:r>
      <w:r>
        <w:rPr>
          <w:rFonts w:hint="eastAsia" w:eastAsia="方正仿宋_GBK" w:cs="宋体"/>
          <w:snapToGrid w:val="0"/>
          <w:color w:val="000000"/>
          <w:szCs w:val="32"/>
        </w:rPr>
        <w:t>统筹利用范围。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640" w:firstLineChars="200"/>
        <w:textAlignment w:val="auto"/>
        <w:rPr>
          <w:rFonts w:hint="eastAsia" w:eastAsia="方正仿宋_GBK" w:cs="宋体"/>
          <w:snapToGrid w:val="0"/>
          <w:color w:val="000000"/>
          <w:szCs w:val="32"/>
        </w:rPr>
      </w:pPr>
      <w:r>
        <w:rPr>
          <w:rFonts w:hint="eastAsia" w:eastAsia="方正仿宋_GBK" w:cs="宋体"/>
          <w:snapToGrid w:val="0"/>
          <w:color w:val="000000"/>
          <w:szCs w:val="32"/>
        </w:rPr>
        <w:t>三、租用、借用的</w:t>
      </w:r>
      <w:r>
        <w:rPr>
          <w:rFonts w:hint="eastAsia" w:eastAsia="方正仿宋_GBK" w:cs="宋体"/>
          <w:snapToGrid w:val="0"/>
          <w:color w:val="000000"/>
          <w:szCs w:val="32"/>
          <w:lang w:eastAsia="zh-CN"/>
        </w:rPr>
        <w:t>资源</w:t>
      </w:r>
      <w:r>
        <w:rPr>
          <w:rFonts w:hint="eastAsia" w:eastAsia="方正仿宋_GBK" w:cs="宋体"/>
          <w:snapToGrid w:val="0"/>
          <w:color w:val="000000"/>
          <w:szCs w:val="32"/>
        </w:rPr>
        <w:t>或</w:t>
      </w:r>
      <w:r>
        <w:rPr>
          <w:rFonts w:hint="eastAsia" w:eastAsia="方正仿宋_GBK" w:cs="宋体"/>
          <w:snapToGrid w:val="0"/>
          <w:color w:val="000000"/>
          <w:szCs w:val="32"/>
          <w:lang w:eastAsia="zh-CN"/>
        </w:rPr>
        <w:t>资源</w:t>
      </w:r>
      <w:r>
        <w:rPr>
          <w:rFonts w:hint="eastAsia" w:eastAsia="方正仿宋_GBK" w:cs="宋体"/>
          <w:snapToGrid w:val="0"/>
          <w:color w:val="000000"/>
          <w:szCs w:val="32"/>
        </w:rPr>
        <w:t>资产属于第三方的，不列入</w:t>
      </w:r>
      <w:r>
        <w:rPr>
          <w:rFonts w:hint="eastAsia" w:eastAsia="方正仿宋_GBK" w:cs="宋体"/>
          <w:snapToGrid w:val="0"/>
          <w:color w:val="000000"/>
          <w:szCs w:val="32"/>
          <w:lang w:eastAsia="zh-CN"/>
        </w:rPr>
        <w:t>非涉密数据中心资源</w:t>
      </w:r>
      <w:r>
        <w:rPr>
          <w:rFonts w:hint="eastAsia" w:eastAsia="方正仿宋_GBK" w:cs="宋体"/>
          <w:snapToGrid w:val="0"/>
          <w:color w:val="000000"/>
          <w:szCs w:val="32"/>
        </w:rPr>
        <w:t>统筹利用范围。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640" w:firstLineChars="200"/>
        <w:textAlignment w:val="auto"/>
        <w:rPr>
          <w:rFonts w:hint="eastAsia" w:eastAsia="方正仿宋_GBK" w:cs="宋体"/>
          <w:snapToGrid w:val="0"/>
          <w:color w:val="000000"/>
          <w:szCs w:val="32"/>
        </w:rPr>
      </w:pPr>
      <w:r>
        <w:rPr>
          <w:rFonts w:hint="eastAsia" w:eastAsia="方正仿宋_GBK" w:cs="宋体"/>
          <w:snapToGrid w:val="0"/>
          <w:color w:val="000000"/>
          <w:szCs w:val="32"/>
        </w:rPr>
        <w:t>四、对纳入</w:t>
      </w:r>
      <w:r>
        <w:rPr>
          <w:rFonts w:hint="eastAsia" w:eastAsia="方正仿宋_GBK" w:cs="宋体"/>
          <w:snapToGrid w:val="0"/>
          <w:color w:val="000000"/>
          <w:szCs w:val="32"/>
          <w:lang w:eastAsia="zh-CN"/>
        </w:rPr>
        <w:t>非涉密数据中心资源</w:t>
      </w:r>
      <w:r>
        <w:rPr>
          <w:rFonts w:hint="eastAsia" w:eastAsia="方正仿宋_GBK" w:cs="宋体"/>
          <w:snapToGrid w:val="0"/>
          <w:color w:val="000000"/>
          <w:szCs w:val="32"/>
        </w:rPr>
        <w:t>统筹利用范围的，根据</w:t>
      </w:r>
      <w:r>
        <w:rPr>
          <w:rFonts w:hint="eastAsia" w:eastAsia="方正仿宋_GBK" w:cs="宋体"/>
          <w:snapToGrid w:val="0"/>
          <w:color w:val="000000"/>
          <w:szCs w:val="32"/>
          <w:lang w:eastAsia="zh-CN"/>
        </w:rPr>
        <w:t>资源资产</w:t>
      </w:r>
      <w:r>
        <w:rPr>
          <w:rFonts w:hint="eastAsia" w:eastAsia="方正仿宋_GBK" w:cs="宋体"/>
          <w:snapToGrid w:val="0"/>
          <w:color w:val="000000"/>
          <w:szCs w:val="32"/>
        </w:rPr>
        <w:t>的生产日期、使用年限、配置等因素</w:t>
      </w:r>
      <w:r>
        <w:rPr>
          <w:rFonts w:hint="eastAsia" w:eastAsia="方正仿宋_GBK" w:cs="宋体"/>
          <w:snapToGrid w:val="0"/>
          <w:color w:val="000000"/>
          <w:szCs w:val="32"/>
          <w:lang w:eastAsia="zh-CN"/>
        </w:rPr>
        <w:t>，</w:t>
      </w:r>
      <w:r>
        <w:rPr>
          <w:rFonts w:hint="eastAsia" w:eastAsia="方正仿宋_GBK" w:cs="宋体"/>
          <w:snapToGrid w:val="0"/>
          <w:color w:val="000000"/>
          <w:szCs w:val="32"/>
        </w:rPr>
        <w:t>充分考虑</w:t>
      </w:r>
      <w:r>
        <w:rPr>
          <w:rFonts w:hint="eastAsia" w:eastAsia="方正仿宋_GBK" w:cs="宋体"/>
          <w:snapToGrid w:val="0"/>
          <w:color w:val="000000"/>
          <w:szCs w:val="32"/>
          <w:lang w:eastAsia="zh-CN"/>
        </w:rPr>
        <w:t>资源</w:t>
      </w:r>
      <w:r>
        <w:rPr>
          <w:rFonts w:hint="eastAsia" w:eastAsia="方正仿宋_GBK" w:cs="宋体"/>
          <w:snapToGrid w:val="0"/>
          <w:color w:val="000000"/>
          <w:szCs w:val="32"/>
        </w:rPr>
        <w:t>利旧的方式和用途：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640" w:firstLineChars="200"/>
        <w:textAlignment w:val="auto"/>
        <w:rPr>
          <w:rFonts w:hint="eastAsia" w:eastAsia="方正仿宋_GBK" w:cs="宋体"/>
          <w:snapToGrid w:val="0"/>
          <w:color w:val="000000"/>
          <w:szCs w:val="32"/>
          <w:lang w:eastAsia="zh-CN"/>
        </w:rPr>
      </w:pPr>
      <w:r>
        <w:rPr>
          <w:rFonts w:hint="eastAsia" w:eastAsia="方正仿宋_GBK" w:cs="宋体"/>
          <w:snapToGrid w:val="0"/>
          <w:color w:val="000000"/>
          <w:szCs w:val="32"/>
        </w:rPr>
        <w:t>（一）对生产日期在2018年之后、使用年限在2年内、维保期剩余超过1年以上的中、高性能物理服务器</w:t>
      </w:r>
      <w:r>
        <w:rPr>
          <w:rFonts w:hint="eastAsia" w:eastAsia="方正仿宋_GBK" w:cs="宋体"/>
          <w:snapToGrid w:val="0"/>
          <w:color w:val="000000"/>
          <w:szCs w:val="32"/>
          <w:lang w:eastAsia="zh-CN"/>
        </w:rPr>
        <w:t>，</w:t>
      </w:r>
      <w:r>
        <w:rPr>
          <w:rFonts w:hint="eastAsia" w:eastAsia="方正仿宋_GBK" w:cs="宋体"/>
          <w:snapToGrid w:val="0"/>
          <w:color w:val="000000"/>
          <w:szCs w:val="32"/>
        </w:rPr>
        <w:t>与壮美广西·政务云设备性能相当或性能高于壮美广西·政务云设备，若</w:t>
      </w:r>
      <w:r>
        <w:rPr>
          <w:rFonts w:hint="eastAsia" w:eastAsia="方正仿宋_GBK" w:cs="宋体"/>
          <w:snapToGrid w:val="0"/>
          <w:color w:val="000000"/>
          <w:szCs w:val="32"/>
          <w:lang w:eastAsia="zh-CN"/>
        </w:rPr>
        <w:t>在</w:t>
      </w:r>
      <w:r>
        <w:rPr>
          <w:rFonts w:hint="eastAsia" w:eastAsia="方正仿宋_GBK" w:cs="宋体"/>
          <w:snapToGrid w:val="0"/>
          <w:color w:val="000000"/>
          <w:szCs w:val="32"/>
        </w:rPr>
        <w:t>壮美广西·政务云兼容性列表的，直接纳入壮美广西·政务云管理，扩容至新的计算资源池；若不在壮美广西·政务云兼容性列表的，</w:t>
      </w:r>
      <w:r>
        <w:rPr>
          <w:rFonts w:hint="eastAsia" w:eastAsia="方正仿宋_GBK" w:cs="宋体"/>
          <w:snapToGrid w:val="0"/>
          <w:color w:val="000000"/>
          <w:szCs w:val="32"/>
          <w:lang w:eastAsia="zh-CN"/>
        </w:rPr>
        <w:t>经</w:t>
      </w:r>
      <w:r>
        <w:rPr>
          <w:rFonts w:hint="eastAsia" w:eastAsia="方正仿宋_GBK" w:cs="宋体"/>
          <w:snapToGrid w:val="0"/>
          <w:color w:val="000000"/>
          <w:szCs w:val="32"/>
        </w:rPr>
        <w:t>兼容测试后再</w:t>
      </w:r>
      <w:r>
        <w:rPr>
          <w:rFonts w:hint="eastAsia" w:eastAsia="方正仿宋_GBK" w:cs="宋体"/>
          <w:snapToGrid w:val="0"/>
          <w:color w:val="000000"/>
          <w:szCs w:val="32"/>
          <w:lang w:eastAsia="zh-CN"/>
        </w:rPr>
        <w:t>视</w:t>
      </w:r>
      <w:r>
        <w:rPr>
          <w:rFonts w:hint="eastAsia" w:eastAsia="方正仿宋_GBK" w:cs="宋体"/>
          <w:snapToGrid w:val="0"/>
          <w:color w:val="000000"/>
          <w:szCs w:val="32"/>
        </w:rPr>
        <w:t>情况</w:t>
      </w:r>
      <w:r>
        <w:rPr>
          <w:rFonts w:hint="eastAsia" w:eastAsia="方正仿宋_GBK" w:cs="宋体"/>
          <w:snapToGrid w:val="0"/>
          <w:color w:val="000000"/>
          <w:szCs w:val="32"/>
          <w:lang w:eastAsia="zh-CN"/>
        </w:rPr>
        <w:t>进行</w:t>
      </w:r>
      <w:r>
        <w:rPr>
          <w:rFonts w:hint="eastAsia" w:eastAsia="方正仿宋_GBK" w:cs="宋体"/>
          <w:snapToGrid w:val="0"/>
          <w:color w:val="000000"/>
          <w:szCs w:val="32"/>
        </w:rPr>
        <w:t>统筹利用</w:t>
      </w:r>
      <w:r>
        <w:rPr>
          <w:rFonts w:hint="eastAsia" w:eastAsia="方正仿宋_GBK" w:cs="宋体"/>
          <w:snapToGrid w:val="0"/>
          <w:color w:val="000000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640" w:firstLineChars="200"/>
        <w:textAlignment w:val="auto"/>
        <w:rPr>
          <w:rFonts w:hint="eastAsia" w:ascii="Times New Roman" w:hAnsi="Times New Roman" w:eastAsia="方正仿宋_GBK" w:cs="宋体"/>
          <w:snapToGrid w:val="0"/>
          <w:color w:val="000000"/>
          <w:szCs w:val="32"/>
        </w:rPr>
      </w:pPr>
      <w:r>
        <w:rPr>
          <w:rFonts w:hint="eastAsia" w:ascii="Times New Roman" w:hAnsi="Times New Roman" w:eastAsia="方正仿宋_GBK" w:cs="宋体"/>
          <w:snapToGrid w:val="0"/>
          <w:color w:val="000000"/>
          <w:szCs w:val="32"/>
        </w:rPr>
        <w:t>对生产日期在2018年之后、使用年限在2年内、维保期剩余超过1年以上的存储设备</w:t>
      </w:r>
      <w:r>
        <w:rPr>
          <w:rFonts w:hint="eastAsia" w:ascii="Times New Roman" w:hAnsi="Times New Roman" w:eastAsia="方正仿宋_GBK" w:cs="宋体"/>
          <w:snapToGrid w:val="0"/>
          <w:color w:val="000000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宋体"/>
          <w:snapToGrid w:val="0"/>
          <w:color w:val="000000"/>
          <w:szCs w:val="32"/>
        </w:rPr>
        <w:t>直接扩容至壮美广西·政务云存储资源池。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640" w:firstLineChars="200"/>
        <w:textAlignment w:val="auto"/>
        <w:rPr>
          <w:rFonts w:hint="eastAsia" w:eastAsia="方正仿宋_GBK" w:cs="宋体"/>
          <w:snapToGrid w:val="0"/>
          <w:color w:val="000000"/>
          <w:szCs w:val="32"/>
        </w:rPr>
      </w:pPr>
      <w:r>
        <w:rPr>
          <w:rFonts w:hint="eastAsia" w:eastAsia="方正仿宋_GBK" w:cs="宋体"/>
          <w:snapToGrid w:val="0"/>
          <w:color w:val="000000"/>
          <w:szCs w:val="32"/>
        </w:rPr>
        <w:t>（二）对不符合生产日期在2018年之后、使用年限在2年内、维保期剩余超过1年以上条件但仍在维保期内的物理服务器或存储资源，可作为电子政务外网、壮美广西·政务云扩容和使用。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640" w:firstLineChars="200"/>
        <w:textAlignment w:val="auto"/>
        <w:rPr>
          <w:rFonts w:hint="eastAsia" w:eastAsia="方正仿宋_GBK" w:cs="宋体"/>
          <w:snapToGrid w:val="0"/>
          <w:color w:val="000000"/>
          <w:szCs w:val="32"/>
        </w:rPr>
      </w:pPr>
      <w:r>
        <w:rPr>
          <w:rFonts w:hint="eastAsia" w:eastAsia="方正仿宋_GBK" w:cs="宋体"/>
          <w:snapToGrid w:val="0"/>
          <w:color w:val="000000"/>
          <w:szCs w:val="32"/>
        </w:rPr>
        <w:t>（三）</w:t>
      </w:r>
      <w:r>
        <w:rPr>
          <w:rFonts w:hint="eastAsia" w:eastAsia="方正仿宋_GBK" w:cs="宋体"/>
          <w:snapToGrid w:val="0"/>
          <w:color w:val="000000"/>
          <w:szCs w:val="32"/>
          <w:lang w:eastAsia="zh-CN"/>
        </w:rPr>
        <w:t>非涉密数据中心资源</w:t>
      </w:r>
      <w:r>
        <w:rPr>
          <w:rFonts w:hint="eastAsia" w:eastAsia="方正仿宋_GBK" w:cs="宋体"/>
          <w:snapToGrid w:val="0"/>
          <w:color w:val="000000"/>
          <w:szCs w:val="32"/>
        </w:rPr>
        <w:t>维保到期前，经评估</w:t>
      </w:r>
      <w:r>
        <w:rPr>
          <w:rFonts w:hint="eastAsia" w:eastAsia="方正仿宋_GBK" w:cs="宋体"/>
          <w:snapToGrid w:val="0"/>
          <w:color w:val="000000"/>
          <w:szCs w:val="32"/>
          <w:lang w:eastAsia="zh-CN"/>
        </w:rPr>
        <w:t>资源</w:t>
      </w:r>
      <w:r>
        <w:rPr>
          <w:rFonts w:hint="eastAsia" w:eastAsia="方正仿宋_GBK" w:cs="宋体"/>
          <w:snapToGrid w:val="0"/>
          <w:color w:val="000000"/>
          <w:szCs w:val="32"/>
        </w:rPr>
        <w:t>的使用价值后，再综合考虑</w:t>
      </w:r>
      <w:r>
        <w:rPr>
          <w:rFonts w:hint="eastAsia" w:eastAsia="方正仿宋_GBK" w:cs="宋体"/>
          <w:snapToGrid w:val="0"/>
          <w:color w:val="000000"/>
          <w:szCs w:val="32"/>
          <w:lang w:eastAsia="zh-CN"/>
        </w:rPr>
        <w:t>资源</w:t>
      </w:r>
      <w:r>
        <w:rPr>
          <w:rFonts w:hint="eastAsia" w:eastAsia="方正仿宋_GBK" w:cs="宋体"/>
          <w:snapToGrid w:val="0"/>
          <w:color w:val="000000"/>
          <w:szCs w:val="32"/>
        </w:rPr>
        <w:t>资产续保工作。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640" w:firstLineChars="200"/>
        <w:textAlignment w:val="auto"/>
        <w:rPr>
          <w:rFonts w:hint="eastAsia" w:ascii="Times New Roman" w:hAnsi="Times New Roman" w:eastAsia="方正仿宋_GBK" w:cs="宋体"/>
          <w:snapToGrid w:val="0"/>
          <w:color w:val="000000"/>
          <w:szCs w:val="32"/>
        </w:rPr>
      </w:pPr>
      <w:r>
        <w:rPr>
          <w:rFonts w:hint="eastAsia" w:eastAsia="方正仿宋_GBK" w:cs="宋体"/>
          <w:snapToGrid w:val="0"/>
          <w:color w:val="000000"/>
          <w:szCs w:val="32"/>
        </w:rPr>
        <w:t>五、对纳入</w:t>
      </w:r>
      <w:r>
        <w:rPr>
          <w:rFonts w:hint="eastAsia" w:eastAsia="方正仿宋_GBK" w:cs="宋体"/>
          <w:snapToGrid w:val="0"/>
          <w:color w:val="000000"/>
          <w:szCs w:val="32"/>
          <w:lang w:eastAsia="zh-CN"/>
        </w:rPr>
        <w:t>非涉密数据中心资源</w:t>
      </w:r>
      <w:r>
        <w:rPr>
          <w:rFonts w:hint="eastAsia" w:eastAsia="方正仿宋_GBK" w:cs="宋体"/>
          <w:snapToGrid w:val="0"/>
          <w:color w:val="000000"/>
          <w:szCs w:val="32"/>
        </w:rPr>
        <w:t>统筹利用范围的</w:t>
      </w:r>
      <w:r>
        <w:rPr>
          <w:rFonts w:hint="eastAsia" w:eastAsia="方正仿宋_GBK" w:cs="宋体"/>
          <w:snapToGrid w:val="0"/>
          <w:color w:val="000000"/>
          <w:szCs w:val="32"/>
          <w:lang w:eastAsia="zh-CN"/>
        </w:rPr>
        <w:t>，非涉密数据中心</w:t>
      </w:r>
      <w:r>
        <w:rPr>
          <w:rFonts w:hint="eastAsia" w:eastAsia="方正仿宋_GBK" w:cs="宋体"/>
          <w:snapToGrid w:val="0"/>
          <w:color w:val="000000"/>
          <w:szCs w:val="32"/>
        </w:rPr>
        <w:t>可利用资源清单分为</w:t>
      </w:r>
      <w:r>
        <w:rPr>
          <w:rFonts w:hint="eastAsia" w:eastAsia="方正仿宋_GBK" w:cs="宋体"/>
          <w:snapToGrid w:val="0"/>
          <w:color w:val="000000"/>
          <w:szCs w:val="32"/>
          <w:lang w:eastAsia="zh-CN"/>
        </w:rPr>
        <w:t>非涉密数据中心</w:t>
      </w:r>
      <w:r>
        <w:rPr>
          <w:rFonts w:hint="eastAsia" w:eastAsia="方正仿宋_GBK" w:cs="宋体"/>
          <w:snapToGrid w:val="0"/>
          <w:color w:val="000000"/>
          <w:szCs w:val="32"/>
        </w:rPr>
        <w:t>可托管资源清单、</w:t>
      </w:r>
      <w:r>
        <w:rPr>
          <w:rFonts w:hint="eastAsia" w:eastAsia="方正仿宋_GBK" w:cs="宋体"/>
          <w:snapToGrid w:val="0"/>
          <w:color w:val="000000"/>
          <w:szCs w:val="32"/>
          <w:lang w:eastAsia="zh-CN"/>
        </w:rPr>
        <w:t>非</w:t>
      </w:r>
      <w:r>
        <w:rPr>
          <w:rFonts w:hint="eastAsia" w:ascii="Times New Roman" w:hAnsi="Times New Roman" w:eastAsia="方正仿宋_GBK" w:cs="宋体"/>
          <w:snapToGrid w:val="0"/>
          <w:color w:val="000000"/>
          <w:szCs w:val="32"/>
          <w:lang w:eastAsia="zh-CN"/>
        </w:rPr>
        <w:t>涉密数据中心</w:t>
      </w:r>
      <w:r>
        <w:rPr>
          <w:rFonts w:hint="eastAsia" w:ascii="Times New Roman" w:hAnsi="Times New Roman" w:eastAsia="方正仿宋_GBK" w:cs="宋体"/>
          <w:snapToGrid w:val="0"/>
          <w:color w:val="000000"/>
          <w:szCs w:val="32"/>
        </w:rPr>
        <w:t>可移交资源清单：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640" w:firstLineChars="200"/>
        <w:textAlignment w:val="auto"/>
        <w:rPr>
          <w:rFonts w:hint="eastAsia" w:ascii="Times New Roman" w:hAnsi="Times New Roman" w:eastAsia="方正仿宋_GBK" w:cs="宋体"/>
          <w:snapToGrid w:val="0"/>
          <w:color w:val="000000"/>
          <w:szCs w:val="32"/>
        </w:rPr>
      </w:pPr>
      <w:r>
        <w:rPr>
          <w:rFonts w:hint="eastAsia" w:ascii="Times New Roman" w:hAnsi="Times New Roman" w:eastAsia="方正仿宋_GBK" w:cs="宋体"/>
          <w:snapToGrid w:val="0"/>
          <w:color w:val="000000"/>
          <w:szCs w:val="32"/>
        </w:rPr>
        <w:t>（一）对认定为托管的</w:t>
      </w:r>
      <w:r>
        <w:rPr>
          <w:rFonts w:hint="eastAsia" w:ascii="Times New Roman" w:hAnsi="Times New Roman" w:eastAsia="方正仿宋_GBK" w:cs="宋体"/>
          <w:snapToGrid w:val="0"/>
          <w:color w:val="000000"/>
          <w:szCs w:val="32"/>
          <w:lang w:eastAsia="zh-CN"/>
        </w:rPr>
        <w:t>资源</w:t>
      </w:r>
      <w:r>
        <w:rPr>
          <w:rFonts w:hint="eastAsia" w:ascii="Times New Roman" w:hAnsi="Times New Roman" w:eastAsia="方正仿宋_GBK" w:cs="宋体"/>
          <w:snapToGrid w:val="0"/>
          <w:color w:val="000000"/>
          <w:szCs w:val="32"/>
        </w:rPr>
        <w:t>资产，由资产</w:t>
      </w:r>
      <w:r>
        <w:rPr>
          <w:rFonts w:hint="eastAsia" w:ascii="Times New Roman" w:hAnsi="Times New Roman" w:eastAsia="方正仿宋_GBK" w:cs="宋体"/>
          <w:snapToGrid w:val="0"/>
          <w:color w:val="000000"/>
          <w:szCs w:val="32"/>
          <w:lang w:eastAsia="zh-CN"/>
        </w:rPr>
        <w:t>管理</w:t>
      </w:r>
      <w:r>
        <w:rPr>
          <w:rFonts w:hint="eastAsia" w:ascii="Times New Roman" w:hAnsi="Times New Roman" w:eastAsia="方正仿宋_GBK" w:cs="宋体"/>
          <w:snapToGrid w:val="0"/>
          <w:color w:val="000000"/>
          <w:szCs w:val="32"/>
        </w:rPr>
        <w:t>部门负责</w:t>
      </w:r>
      <w:r>
        <w:rPr>
          <w:rFonts w:hint="eastAsia" w:ascii="Times New Roman" w:hAnsi="Times New Roman" w:eastAsia="方正仿宋_GBK" w:cs="宋体"/>
          <w:snapToGrid w:val="0"/>
          <w:color w:val="000000"/>
          <w:szCs w:val="32"/>
          <w:lang w:eastAsia="zh-CN"/>
        </w:rPr>
        <w:t>资源</w:t>
      </w:r>
      <w:r>
        <w:rPr>
          <w:rFonts w:hint="eastAsia" w:ascii="Times New Roman" w:hAnsi="Times New Roman" w:eastAsia="方正仿宋_GBK" w:cs="宋体"/>
          <w:snapToGrid w:val="0"/>
          <w:color w:val="000000"/>
          <w:szCs w:val="32"/>
        </w:rPr>
        <w:t>的搬迁部署，</w:t>
      </w:r>
      <w:r>
        <w:rPr>
          <w:rFonts w:hint="eastAsia" w:ascii="Times New Roman" w:hAnsi="Times New Roman" w:eastAsia="方正仿宋_GBK" w:cs="宋体"/>
          <w:snapToGrid w:val="0"/>
          <w:color w:val="000000"/>
          <w:szCs w:val="32"/>
          <w:lang w:eastAsia="zh-CN"/>
        </w:rPr>
        <w:t>纳入壮美广西</w:t>
      </w:r>
      <w:r>
        <w:rPr>
          <w:rFonts w:hint="eastAsia" w:ascii="Times New Roman" w:hAnsi="Times New Roman" w:eastAsia="方正仿宋_GBK" w:cs="宋体"/>
          <w:snapToGrid w:val="0"/>
          <w:color w:val="000000"/>
          <w:szCs w:val="32"/>
          <w:lang w:val="en-US" w:eastAsia="zh-CN"/>
        </w:rPr>
        <w:t>·政务云统筹分配</w:t>
      </w:r>
      <w:r>
        <w:rPr>
          <w:rFonts w:hint="eastAsia" w:ascii="Times New Roman" w:hAnsi="Times New Roman" w:eastAsia="方正仿宋_GBK" w:cs="宋体"/>
          <w:snapToGrid w:val="0"/>
          <w:color w:val="000000"/>
          <w:szCs w:val="32"/>
        </w:rPr>
        <w:t>使用</w:t>
      </w:r>
      <w:r>
        <w:rPr>
          <w:rFonts w:hint="eastAsia" w:ascii="Times New Roman" w:hAnsi="Times New Roman" w:eastAsia="方正仿宋_GBK" w:cs="宋体"/>
          <w:snapToGrid w:val="0"/>
          <w:color w:val="000000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宋体"/>
          <w:snapToGrid w:val="0"/>
          <w:color w:val="000000"/>
          <w:szCs w:val="32"/>
        </w:rPr>
        <w:t>安全管理</w:t>
      </w:r>
      <w:r>
        <w:rPr>
          <w:rFonts w:hint="eastAsia" w:ascii="Times New Roman" w:hAnsi="Times New Roman" w:eastAsia="方正仿宋_GBK" w:cs="宋体"/>
          <w:snapToGrid w:val="0"/>
          <w:color w:val="000000"/>
          <w:szCs w:val="32"/>
          <w:lang w:eastAsia="zh-CN"/>
        </w:rPr>
        <w:t>责任</w:t>
      </w:r>
      <w:r>
        <w:rPr>
          <w:rFonts w:hint="eastAsia" w:ascii="Times New Roman" w:hAnsi="Times New Roman" w:eastAsia="方正仿宋_GBK" w:cs="宋体"/>
          <w:snapToGrid w:val="0"/>
          <w:color w:val="000000"/>
          <w:szCs w:val="32"/>
        </w:rPr>
        <w:t>遵循“谁使用、谁负责”的原则</w:t>
      </w:r>
      <w:r>
        <w:rPr>
          <w:rFonts w:hint="eastAsia" w:ascii="Times New Roman" w:hAnsi="Times New Roman" w:eastAsia="方正仿宋_GBK" w:cs="宋体"/>
          <w:snapToGrid w:val="0"/>
          <w:color w:val="000000"/>
          <w:szCs w:val="32"/>
          <w:lang w:eastAsia="zh-CN"/>
        </w:rPr>
        <w:t>。资产</w:t>
      </w:r>
      <w:r>
        <w:rPr>
          <w:rFonts w:hint="eastAsia" w:ascii="Times New Roman" w:hAnsi="Times New Roman" w:eastAsia="方正仿宋_GBK" w:cs="宋体"/>
          <w:snapToGrid w:val="0"/>
          <w:color w:val="000000"/>
          <w:szCs w:val="32"/>
        </w:rPr>
        <w:t>所有权归属于资产管理部门</w:t>
      </w:r>
      <w:r>
        <w:rPr>
          <w:rFonts w:hint="eastAsia" w:ascii="Times New Roman" w:hAnsi="Times New Roman" w:eastAsia="方正仿宋_GBK" w:cs="宋体"/>
          <w:snapToGrid w:val="0"/>
          <w:color w:val="000000"/>
          <w:szCs w:val="32"/>
          <w:lang w:eastAsia="zh-CN"/>
        </w:rPr>
        <w:t>，资源</w:t>
      </w:r>
      <w:r>
        <w:rPr>
          <w:rFonts w:hint="eastAsia" w:ascii="Times New Roman" w:hAnsi="Times New Roman" w:eastAsia="方正仿宋_GBK" w:cs="宋体"/>
          <w:snapToGrid w:val="0"/>
          <w:color w:val="000000"/>
          <w:szCs w:val="32"/>
        </w:rPr>
        <w:t>处于维保期内的仍由资产管理部门负责维保</w:t>
      </w:r>
      <w:r>
        <w:rPr>
          <w:rFonts w:hint="eastAsia" w:ascii="Times New Roman" w:hAnsi="Times New Roman" w:eastAsia="方正仿宋_GBK" w:cs="宋体"/>
          <w:snapToGrid w:val="0"/>
          <w:color w:val="000000"/>
          <w:szCs w:val="32"/>
          <w:lang w:eastAsia="zh-CN"/>
        </w:rPr>
        <w:t>，资源</w:t>
      </w:r>
      <w:r>
        <w:rPr>
          <w:rFonts w:hint="eastAsia" w:ascii="Times New Roman" w:hAnsi="Times New Roman" w:eastAsia="方正仿宋_GBK" w:cs="宋体"/>
          <w:snapToGrid w:val="0"/>
          <w:color w:val="000000"/>
          <w:szCs w:val="32"/>
        </w:rPr>
        <w:t>达到报废期限后，由资产管理部门</w:t>
      </w:r>
      <w:r>
        <w:rPr>
          <w:rFonts w:hint="eastAsia" w:ascii="Times New Roman" w:hAnsi="Times New Roman" w:eastAsia="方正仿宋_GBK" w:cs="宋体"/>
          <w:snapToGrid w:val="0"/>
          <w:color w:val="000000"/>
          <w:szCs w:val="32"/>
          <w:lang w:eastAsia="zh-CN"/>
        </w:rPr>
        <w:t>按照《</w:t>
      </w:r>
      <w:r>
        <w:rPr>
          <w:rFonts w:hint="eastAsia" w:ascii="Times New Roman" w:hAnsi="Times New Roman" w:eastAsia="方正仿宋_GBK" w:cs="宋体"/>
          <w:snapToGrid w:val="0"/>
          <w:color w:val="000000"/>
          <w:szCs w:val="32"/>
        </w:rPr>
        <w:t>广西壮族自治区行政事业单位国有资产管理办法</w:t>
      </w:r>
      <w:r>
        <w:rPr>
          <w:rFonts w:hint="eastAsia" w:ascii="Times New Roman" w:hAnsi="Times New Roman" w:eastAsia="方正仿宋_GBK" w:cs="宋体"/>
          <w:snapToGrid w:val="0"/>
          <w:color w:val="000000"/>
          <w:szCs w:val="32"/>
          <w:lang w:eastAsia="zh-CN"/>
        </w:rPr>
        <w:t>》（政府令第</w:t>
      </w:r>
      <w:r>
        <w:rPr>
          <w:rFonts w:hint="eastAsia" w:ascii="Times New Roman" w:hAnsi="Times New Roman" w:eastAsia="方正仿宋_GBK" w:cs="宋体"/>
          <w:snapToGrid w:val="0"/>
          <w:color w:val="000000"/>
          <w:szCs w:val="32"/>
          <w:lang w:val="en-US" w:eastAsia="zh-CN"/>
        </w:rPr>
        <w:t>68号</w:t>
      </w:r>
      <w:r>
        <w:rPr>
          <w:rFonts w:hint="eastAsia" w:ascii="Times New Roman" w:hAnsi="Times New Roman" w:eastAsia="方正仿宋_GBK" w:cs="宋体"/>
          <w:snapToGrid w:val="0"/>
          <w:color w:val="000000"/>
          <w:szCs w:val="32"/>
          <w:lang w:eastAsia="zh-CN"/>
        </w:rPr>
        <w:t>）等相关</w:t>
      </w:r>
      <w:r>
        <w:rPr>
          <w:rFonts w:hint="eastAsia" w:ascii="Times New Roman" w:hAnsi="Times New Roman" w:eastAsia="方正仿宋_GBK" w:cs="宋体"/>
          <w:snapToGrid w:val="0"/>
          <w:color w:val="000000"/>
          <w:szCs w:val="32"/>
        </w:rPr>
        <w:t>规定作</w:t>
      </w:r>
      <w:r>
        <w:rPr>
          <w:rFonts w:hint="eastAsia" w:ascii="Times New Roman" w:hAnsi="Times New Roman" w:eastAsia="方正仿宋_GBK" w:cs="宋体"/>
          <w:snapToGrid w:val="0"/>
          <w:color w:val="000000"/>
          <w:szCs w:val="32"/>
          <w:lang w:eastAsia="zh-CN"/>
        </w:rPr>
        <w:t>资产处置</w:t>
      </w:r>
      <w:r>
        <w:rPr>
          <w:rFonts w:hint="eastAsia" w:ascii="Times New Roman" w:hAnsi="Times New Roman" w:eastAsia="方正仿宋_GBK" w:cs="宋体"/>
          <w:snapToGrid w:val="0"/>
          <w:color w:val="000000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640" w:firstLineChars="200"/>
        <w:textAlignment w:val="auto"/>
        <w:rPr>
          <w:rFonts w:hint="eastAsia" w:ascii="Times New Roman" w:hAnsi="Times New Roman" w:eastAsia="方正仿宋_GBK" w:cs="宋体"/>
          <w:snapToGrid w:val="0"/>
          <w:color w:val="000000"/>
          <w:szCs w:val="32"/>
        </w:rPr>
      </w:pPr>
      <w:r>
        <w:rPr>
          <w:rFonts w:hint="eastAsia" w:ascii="Times New Roman" w:hAnsi="Times New Roman" w:eastAsia="方正仿宋_GBK" w:cs="宋体"/>
          <w:snapToGrid w:val="0"/>
          <w:color w:val="000000"/>
          <w:szCs w:val="32"/>
          <w:lang w:val="en-US" w:eastAsia="zh-CN"/>
        </w:rPr>
        <w:t>（二）对认定为移交的资源资产，由资产管理部门、各级大数据主管部门、政务外网管理单位按照《广西壮族自治区行政事业单位国有资产管理办法》（政府令第68号）等相关规定作资</w:t>
      </w:r>
      <w:r>
        <w:rPr>
          <w:rFonts w:hint="eastAsia" w:ascii="Times New Roman" w:hAnsi="Times New Roman" w:eastAsia="方正仿宋_GBK" w:cs="宋体"/>
          <w:snapToGrid w:val="0"/>
          <w:color w:val="000000"/>
          <w:szCs w:val="32"/>
          <w:lang w:eastAsia="zh-CN"/>
        </w:rPr>
        <w:t>产处置，并</w:t>
      </w:r>
      <w:r>
        <w:rPr>
          <w:rFonts w:hint="eastAsia" w:ascii="Times New Roman" w:hAnsi="Times New Roman" w:eastAsia="方正仿宋_GBK" w:cs="宋体"/>
          <w:snapToGrid w:val="0"/>
          <w:color w:val="000000"/>
          <w:szCs w:val="32"/>
        </w:rPr>
        <w:t>及时办理</w:t>
      </w:r>
      <w:r>
        <w:rPr>
          <w:rFonts w:hint="eastAsia" w:ascii="Times New Roman" w:hAnsi="Times New Roman" w:eastAsia="方正仿宋_GBK" w:cs="宋体"/>
          <w:snapToGrid w:val="0"/>
          <w:color w:val="000000"/>
          <w:szCs w:val="32"/>
          <w:lang w:eastAsia="zh-CN"/>
        </w:rPr>
        <w:t>资源</w:t>
      </w:r>
      <w:r>
        <w:rPr>
          <w:rFonts w:hint="eastAsia" w:ascii="Times New Roman" w:hAnsi="Times New Roman" w:eastAsia="方正仿宋_GBK" w:cs="宋体"/>
          <w:snapToGrid w:val="0"/>
          <w:color w:val="000000"/>
          <w:szCs w:val="32"/>
        </w:rPr>
        <w:t>资产转移手续。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640" w:firstLineChars="200"/>
        <w:textAlignment w:val="auto"/>
        <w:rPr>
          <w:rFonts w:hint="eastAsia" w:eastAsia="方正仿宋_GBK" w:cs="宋体"/>
          <w:snapToGrid w:val="0"/>
          <w:color w:val="000000"/>
          <w:szCs w:val="32"/>
        </w:rPr>
      </w:pPr>
      <w:r>
        <w:rPr>
          <w:rFonts w:hint="eastAsia" w:eastAsia="方正仿宋_GBK" w:cs="宋体"/>
          <w:snapToGrid w:val="0"/>
          <w:color w:val="000000"/>
          <w:szCs w:val="32"/>
        </w:rPr>
        <w:t>（三）</w:t>
      </w:r>
      <w:r>
        <w:rPr>
          <w:rFonts w:hint="eastAsia" w:eastAsia="方正仿宋_GBK" w:cs="宋体"/>
          <w:snapToGrid w:val="0"/>
          <w:color w:val="000000"/>
          <w:szCs w:val="32"/>
          <w:lang w:eastAsia="zh-CN"/>
        </w:rPr>
        <w:t>以自愿为</w:t>
      </w:r>
      <w:r>
        <w:rPr>
          <w:rFonts w:hint="eastAsia" w:eastAsia="方正仿宋_GBK" w:cs="宋体"/>
          <w:snapToGrid w:val="0"/>
          <w:color w:val="000000"/>
          <w:szCs w:val="32"/>
        </w:rPr>
        <w:t>原则</w:t>
      </w:r>
      <w:r>
        <w:rPr>
          <w:rFonts w:hint="eastAsia" w:eastAsia="方正仿宋_GBK" w:cs="宋体"/>
          <w:snapToGrid w:val="0"/>
          <w:color w:val="000000"/>
          <w:szCs w:val="32"/>
          <w:lang w:eastAsia="zh-CN"/>
        </w:rPr>
        <w:t>，由</w:t>
      </w:r>
      <w:r>
        <w:rPr>
          <w:rFonts w:hint="eastAsia" w:eastAsia="方正仿宋_GBK" w:cs="宋体"/>
          <w:snapToGrid w:val="0"/>
          <w:color w:val="000000"/>
          <w:szCs w:val="32"/>
        </w:rPr>
        <w:t>资产</w:t>
      </w:r>
      <w:r>
        <w:rPr>
          <w:rFonts w:hint="eastAsia" w:eastAsia="方正仿宋_GBK" w:cs="宋体"/>
          <w:snapToGrid w:val="0"/>
          <w:color w:val="000000"/>
          <w:szCs w:val="32"/>
          <w:lang w:eastAsia="zh-CN"/>
        </w:rPr>
        <w:t>管理</w:t>
      </w:r>
      <w:r>
        <w:rPr>
          <w:rFonts w:hint="eastAsia" w:eastAsia="方正仿宋_GBK" w:cs="宋体"/>
          <w:snapToGrid w:val="0"/>
          <w:color w:val="000000"/>
          <w:szCs w:val="32"/>
        </w:rPr>
        <w:t>部门</w:t>
      </w:r>
      <w:r>
        <w:rPr>
          <w:rFonts w:hint="eastAsia" w:eastAsia="方正仿宋_GBK" w:cs="宋体"/>
          <w:snapToGrid w:val="0"/>
          <w:color w:val="000000"/>
          <w:szCs w:val="32"/>
          <w:lang w:eastAsia="zh-CN"/>
        </w:rPr>
        <w:t>确认非涉密数据中心可利用的资源资产是否实施</w:t>
      </w:r>
      <w:r>
        <w:rPr>
          <w:rFonts w:hint="eastAsia" w:eastAsia="方正仿宋_GBK" w:cs="宋体"/>
          <w:snapToGrid w:val="0"/>
          <w:color w:val="000000"/>
          <w:szCs w:val="32"/>
        </w:rPr>
        <w:t>托管或移交</w:t>
      </w:r>
      <w:r>
        <w:rPr>
          <w:rFonts w:hint="eastAsia" w:eastAsia="方正仿宋_GBK" w:cs="宋体"/>
          <w:snapToGrid w:val="0"/>
          <w:color w:val="000000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textAlignment w:val="auto"/>
        <w:rPr>
          <w:rFonts w:hint="eastAsia" w:eastAsia="方正仿宋_GBK"/>
          <w:color w:val="000000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ind w:firstLine="640" w:firstLineChars="200"/>
        <w:textAlignment w:val="auto"/>
        <w:rPr>
          <w:rFonts w:hint="eastAsia" w:eastAsia="方正仿宋_GBK" w:cs="宋体"/>
          <w:snapToGrid w:val="0"/>
          <w:color w:val="000000"/>
          <w:szCs w:val="32"/>
        </w:rPr>
      </w:pPr>
      <w:r>
        <w:rPr>
          <w:rFonts w:hint="eastAsia" w:eastAsia="方正仿宋_GBK" w:cs="宋体"/>
          <w:snapToGrid w:val="0"/>
          <w:color w:val="000000"/>
          <w:szCs w:val="32"/>
        </w:rPr>
        <w:t>附表：非涉密数据中心资源统筹利用标准表</w:t>
      </w:r>
    </w:p>
    <w:p>
      <w:pPr>
        <w:adjustRightInd w:val="0"/>
        <w:snapToGrid w:val="0"/>
        <w:rPr>
          <w:rFonts w:hint="eastAsia" w:ascii="方正黑体_GBK" w:eastAsia="方正黑体_GBK"/>
          <w:snapToGrid w:val="0"/>
          <w:color w:val="000000"/>
          <w:szCs w:val="32"/>
        </w:rPr>
      </w:pPr>
      <w:r>
        <w:rPr>
          <w:rFonts w:hint="eastAsia" w:ascii="方正黑体_GBK" w:eastAsia="方正黑体_GBK"/>
          <w:snapToGrid w:val="0"/>
          <w:color w:val="000000"/>
          <w:szCs w:val="32"/>
        </w:rPr>
        <w:t>附表</w:t>
      </w:r>
    </w:p>
    <w:p>
      <w:pPr>
        <w:adjustRightInd w:val="0"/>
        <w:snapToGrid w:val="0"/>
        <w:ind w:firstLine="640" w:firstLineChars="200"/>
        <w:rPr>
          <w:rFonts w:hint="eastAsia" w:eastAsia="方正仿宋_GBK"/>
          <w:snapToGrid w:val="0"/>
          <w:color w:val="000000"/>
          <w:szCs w:val="32"/>
        </w:rPr>
      </w:pPr>
      <w:r>
        <w:rPr>
          <w:rFonts w:hint="eastAsia" w:eastAsia="方正仿宋_GBK"/>
          <w:snapToGrid w:val="0"/>
          <w:color w:val="000000"/>
          <w:szCs w:val="32"/>
        </w:rPr>
        <w:t xml:space="preserve"> </w:t>
      </w:r>
    </w:p>
    <w:p>
      <w:pPr>
        <w:adjustRightInd w:val="0"/>
        <w:snapToGrid w:val="0"/>
        <w:jc w:val="center"/>
        <w:rPr>
          <w:rFonts w:hint="eastAsia" w:ascii="方正小标宋_GBK" w:eastAsia="方正小标宋_GBK"/>
          <w:snapToGrid w:val="0"/>
          <w:color w:val="000000"/>
          <w:sz w:val="44"/>
          <w:szCs w:val="44"/>
        </w:rPr>
      </w:pPr>
      <w:r>
        <w:rPr>
          <w:rFonts w:hint="eastAsia" w:ascii="方正小标宋_GBK" w:eastAsia="方正小标宋_GBK"/>
          <w:snapToGrid w:val="0"/>
          <w:color w:val="000000"/>
          <w:sz w:val="44"/>
          <w:szCs w:val="44"/>
        </w:rPr>
        <w:t>非涉密数据中心资源统筹利用标准表</w:t>
      </w:r>
    </w:p>
    <w:p>
      <w:pPr>
        <w:pStyle w:val="2"/>
        <w:adjustRightInd w:val="0"/>
        <w:snapToGrid w:val="0"/>
        <w:spacing w:after="0"/>
        <w:ind w:firstLine="640" w:firstLineChars="200"/>
        <w:rPr>
          <w:rFonts w:hint="eastAsia" w:eastAsia="方正仿宋_GBK"/>
          <w:snapToGrid w:val="0"/>
          <w:color w:val="000000"/>
          <w:szCs w:val="32"/>
        </w:rPr>
      </w:pPr>
      <w:r>
        <w:rPr>
          <w:rFonts w:hint="eastAsia" w:eastAsia="方正仿宋_GBK"/>
          <w:snapToGrid w:val="0"/>
          <w:color w:val="000000"/>
          <w:szCs w:val="32"/>
        </w:rPr>
        <w:t xml:space="preserve"> </w:t>
      </w:r>
    </w:p>
    <w:tbl>
      <w:tblPr>
        <w:tblStyle w:val="7"/>
        <w:tblW w:w="130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1" w:type="dxa"/>
          <w:bottom w:w="0" w:type="dxa"/>
          <w:right w:w="51" w:type="dxa"/>
        </w:tblCellMar>
      </w:tblPr>
      <w:tblGrid>
        <w:gridCol w:w="420"/>
        <w:gridCol w:w="943"/>
        <w:gridCol w:w="2705"/>
        <w:gridCol w:w="839"/>
        <w:gridCol w:w="826"/>
        <w:gridCol w:w="834"/>
        <w:gridCol w:w="5430"/>
        <w:gridCol w:w="1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tblHeader/>
          <w:jc w:val="center"/>
        </w:trPr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方正黑体_GBK" w:eastAsia="方正黑体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snapToGrid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方正黑体_GBK" w:eastAsia="方正黑体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snapToGrid w:val="0"/>
                <w:color w:val="000000"/>
                <w:sz w:val="21"/>
                <w:szCs w:val="21"/>
              </w:rPr>
              <w:t>设备类型</w:t>
            </w:r>
          </w:p>
        </w:tc>
        <w:tc>
          <w:tcPr>
            <w:tcW w:w="2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方正黑体_GBK" w:eastAsia="方正黑体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snapToGrid w:val="0"/>
                <w:color w:val="000000"/>
                <w:sz w:val="21"/>
                <w:szCs w:val="21"/>
              </w:rPr>
              <w:t>设备品牌</w:t>
            </w: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方正黑体_GBK" w:eastAsia="方正黑体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snapToGrid w:val="0"/>
                <w:color w:val="000000"/>
                <w:sz w:val="21"/>
                <w:szCs w:val="21"/>
              </w:rPr>
              <w:t>采购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方正黑体_GBK" w:eastAsia="方正黑体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snapToGrid w:val="0"/>
                <w:color w:val="000000"/>
                <w:sz w:val="21"/>
                <w:szCs w:val="21"/>
              </w:rPr>
              <w:t>年份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方正黑体_GBK" w:eastAsia="方正黑体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snapToGrid w:val="0"/>
                <w:color w:val="000000"/>
                <w:sz w:val="21"/>
                <w:szCs w:val="21"/>
              </w:rPr>
              <w:t>生产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方正黑体_GBK" w:eastAsia="方正黑体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snapToGrid w:val="0"/>
                <w:color w:val="000000"/>
                <w:sz w:val="21"/>
                <w:szCs w:val="21"/>
              </w:rPr>
              <w:t>日期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方正黑体_GBK" w:eastAsia="方正黑体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snapToGrid w:val="0"/>
                <w:color w:val="000000"/>
                <w:sz w:val="21"/>
                <w:szCs w:val="21"/>
              </w:rPr>
              <w:t>是否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方正黑体_GBK" w:eastAsia="方正黑体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snapToGrid w:val="0"/>
                <w:color w:val="000000"/>
                <w:sz w:val="21"/>
                <w:szCs w:val="21"/>
              </w:rPr>
              <w:t>在保</w:t>
            </w:r>
          </w:p>
        </w:tc>
        <w:tc>
          <w:tcPr>
            <w:tcW w:w="5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方正黑体_GBK" w:eastAsia="方正黑体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snapToGrid w:val="0"/>
                <w:color w:val="000000"/>
                <w:sz w:val="21"/>
                <w:szCs w:val="21"/>
              </w:rPr>
              <w:t>参数要求</w:t>
            </w: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方正黑体_GBK" w:eastAsia="方正黑体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snapToGrid w:val="0"/>
                <w:color w:val="000000"/>
                <w:sz w:val="21"/>
                <w:szCs w:val="21"/>
              </w:rPr>
              <w:t>符合条件设备数量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eastAsia="方正书宋_GBK"/>
                <w:snapToGrid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eastAsia="方正书宋_GBK"/>
                <w:snapToGrid w:val="0"/>
                <w:color w:val="000000"/>
                <w:sz w:val="21"/>
                <w:szCs w:val="21"/>
              </w:rPr>
              <w:t>服务器</w:t>
            </w:r>
          </w:p>
        </w:tc>
        <w:tc>
          <w:tcPr>
            <w:tcW w:w="2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hint="eastAsia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eastAsia="方正书宋_GBK"/>
                <w:snapToGrid w:val="0"/>
                <w:color w:val="000000"/>
                <w:sz w:val="21"/>
                <w:szCs w:val="21"/>
              </w:rPr>
              <w:t>包括但不限于：联想、华为、华三、浪潮、中兴、宝德、曙光、惠普、戴尔</w:t>
            </w: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eastAsia="方正书宋_GBK"/>
                <w:snapToGrid w:val="0"/>
                <w:color w:val="000000"/>
                <w:sz w:val="21"/>
                <w:szCs w:val="21"/>
              </w:rPr>
              <w:t>2018年1月后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eastAsia="方正书宋_GBK"/>
                <w:snapToGrid w:val="0"/>
                <w:color w:val="000000"/>
                <w:sz w:val="21"/>
                <w:szCs w:val="21"/>
              </w:rPr>
              <w:t>2017年1月后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eastAsia="方正书宋_GBK"/>
                <w:snapToGrid w:val="0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5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hint="eastAsia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eastAsia="方正书宋_GBK"/>
                <w:snapToGrid w:val="0"/>
                <w:color w:val="000000"/>
                <w:sz w:val="21"/>
                <w:szCs w:val="21"/>
              </w:rPr>
              <w:t>2颗cpu以上，每颗至少16核，主频2.0HZ以上，CPU必须支持和开启硬件辅助虚拟化技术；DDR4内存，存容量256GB以上；硬盘容量至少600GB；至少配备两个FC口，至少两个万兆光口，至少四个电口</w:t>
            </w: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方正书宋_GBK"/>
                <w:snapToGrid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eastAsia="方正书宋_GBK"/>
                <w:snapToGrid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eastAsia="方正书宋_GBK"/>
                <w:snapToGrid w:val="0"/>
                <w:color w:val="000000"/>
                <w:sz w:val="21"/>
                <w:szCs w:val="21"/>
              </w:rPr>
              <w:t>存储</w:t>
            </w:r>
          </w:p>
        </w:tc>
        <w:tc>
          <w:tcPr>
            <w:tcW w:w="2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hint="eastAsia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eastAsia="方正书宋_GBK"/>
                <w:snapToGrid w:val="0"/>
                <w:color w:val="000000"/>
                <w:sz w:val="21"/>
                <w:szCs w:val="21"/>
              </w:rPr>
              <w:t>包括但不限于：惠普、联想、IBM、戴尔、EMC、NetApp、华三、宏衫、华为、日立、曙光</w:t>
            </w: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eastAsia="方正书宋_GBK"/>
                <w:snapToGrid w:val="0"/>
                <w:color w:val="000000"/>
                <w:sz w:val="21"/>
                <w:szCs w:val="21"/>
              </w:rPr>
              <w:t>2018年1月后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eastAsia="方正书宋_GBK"/>
                <w:snapToGrid w:val="0"/>
                <w:color w:val="000000"/>
                <w:sz w:val="21"/>
                <w:szCs w:val="21"/>
              </w:rPr>
              <w:t>2017年1月后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eastAsia="方正书宋_GBK"/>
                <w:snapToGrid w:val="0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5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hint="eastAsia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eastAsia="方正书宋_GBK"/>
                <w:snapToGrid w:val="0"/>
                <w:color w:val="000000"/>
                <w:sz w:val="21"/>
                <w:szCs w:val="21"/>
              </w:rPr>
              <w:t>支持虚拟化部署，存储容量50T以上</w:t>
            </w: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方正书宋_GBK"/>
                <w:snapToGrid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eastAsia="方正书宋_GBK"/>
                <w:snapToGrid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eastAsia="方正书宋_GBK"/>
                <w:snapToGrid w:val="0"/>
                <w:color w:val="000000"/>
                <w:sz w:val="21"/>
                <w:szCs w:val="21"/>
              </w:rPr>
              <w:t>交换机</w:t>
            </w:r>
          </w:p>
        </w:tc>
        <w:tc>
          <w:tcPr>
            <w:tcW w:w="2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hint="eastAsia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eastAsia="方正书宋_GBK"/>
                <w:snapToGrid w:val="0"/>
                <w:color w:val="000000"/>
                <w:sz w:val="21"/>
                <w:szCs w:val="21"/>
              </w:rPr>
              <w:t>包括但不限于华为、华三、锐捷、神州数码、中兴、迈普</w:t>
            </w: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eastAsia="方正书宋_GBK"/>
                <w:snapToGrid w:val="0"/>
                <w:color w:val="000000"/>
                <w:sz w:val="21"/>
                <w:szCs w:val="21"/>
              </w:rPr>
              <w:t>2018年1月后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eastAsia="方正书宋_GBK"/>
                <w:snapToGrid w:val="0"/>
                <w:color w:val="000000"/>
                <w:sz w:val="21"/>
                <w:szCs w:val="21"/>
              </w:rPr>
              <w:t>2017年1月后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eastAsia="方正书宋_GBK"/>
                <w:snapToGrid w:val="0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5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hint="eastAsia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eastAsia="方正书宋_GBK"/>
                <w:snapToGrid w:val="0"/>
                <w:color w:val="000000"/>
                <w:sz w:val="21"/>
                <w:szCs w:val="21"/>
              </w:rPr>
              <w:t>框式：双引擎，双电源，支持横向N:1虚拟化技术：可将两台物理设备虚拟化为一台逻辑设备，虚拟组内可以实现一致的转发表项，统一的管理，跨物理设备的链路聚合，支持IPv6，支持L3 MPLS VPN和MPLS VPN组播，要求实际配置具备MPLS VPN功能的硬件板卡或功能license；万兆端口16个以上，千兆端口48以上。</w:t>
            </w:r>
            <w:r>
              <w:rPr>
                <w:rFonts w:hint="eastAsia" w:eastAsia="方正书宋_GBK"/>
                <w:snapToGrid w:val="0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eastAsia="方正书宋_GBK"/>
                <w:snapToGrid w:val="0"/>
                <w:color w:val="000000"/>
                <w:sz w:val="21"/>
                <w:szCs w:val="21"/>
              </w:rPr>
              <w:t>盒式：双电源，万兆端口4个以上，千兆端口24以上；支持SNMP v1/v2/v3、RMON、SSHv2；支持OAM（802.1AG，802.3AH）以太网运行、维护和管理标准，支持MCE，路由协议支持RIPv1/v2，RIPng,OSPFv1/v2，OSPFv3,BGP4，BGP4+ for IPv6，支持策略路由和等价路由，支持IPv6协议；支持MPLS、L2VPN、L3VPN、VPLS和MCE功能</w:t>
            </w: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方正书宋_GBK"/>
                <w:snapToGrid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eastAsia="方正书宋_GBK"/>
                <w:snapToGrid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eastAsia="方正书宋_GBK"/>
                <w:snapToGrid w:val="0"/>
                <w:color w:val="000000"/>
                <w:sz w:val="21"/>
                <w:szCs w:val="21"/>
              </w:rPr>
              <w:t>路由器</w:t>
            </w:r>
          </w:p>
        </w:tc>
        <w:tc>
          <w:tcPr>
            <w:tcW w:w="2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hint="eastAsia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eastAsia="方正书宋_GBK"/>
                <w:snapToGrid w:val="0"/>
                <w:color w:val="000000"/>
                <w:sz w:val="21"/>
                <w:szCs w:val="21"/>
              </w:rPr>
              <w:t>包括但不限于华为、华三、锐捷、神州数码、中兴、迈普</w:t>
            </w: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eastAsia="方正书宋_GBK"/>
                <w:snapToGrid w:val="0"/>
                <w:color w:val="000000"/>
                <w:sz w:val="21"/>
                <w:szCs w:val="21"/>
              </w:rPr>
              <w:t>2018年1月后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eastAsia="方正书宋_GBK"/>
                <w:snapToGrid w:val="0"/>
                <w:color w:val="000000"/>
                <w:sz w:val="21"/>
                <w:szCs w:val="21"/>
              </w:rPr>
              <w:t>2017年1月后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eastAsia="方正书宋_GBK"/>
                <w:snapToGrid w:val="0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5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hint="eastAsia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eastAsia="方正书宋_GBK"/>
                <w:snapToGrid w:val="0"/>
                <w:color w:val="000000"/>
                <w:sz w:val="21"/>
                <w:szCs w:val="21"/>
              </w:rPr>
              <w:t xml:space="preserve">框式：具备双主控、双电源、48个万兆以太网光接口、支持IPv6、BGP、支持分布式L3 MPLS VPN和MPLS VPN组播、硬件支持NAT功能，要求实际配置具备NAT 功能的硬件板卡 </w:t>
            </w: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方正书宋_GBK"/>
                <w:snapToGrid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eastAsia="方正书宋_GBK"/>
                <w:snapToGrid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eastAsia="方正书宋_GBK"/>
                <w:snapToGrid w:val="0"/>
                <w:color w:val="000000"/>
                <w:sz w:val="21"/>
                <w:szCs w:val="21"/>
              </w:rPr>
              <w:t>安全设备</w:t>
            </w:r>
          </w:p>
        </w:tc>
        <w:tc>
          <w:tcPr>
            <w:tcW w:w="2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hint="eastAsia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eastAsia="方正书宋_GBK"/>
                <w:snapToGrid w:val="0"/>
                <w:color w:val="000000"/>
                <w:sz w:val="21"/>
                <w:szCs w:val="21"/>
              </w:rPr>
              <w:t>包括但不限于：深信服、天融信、迪普、奇安信、科博、山石、启明星辰、网御星云、安恒</w:t>
            </w: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eastAsia="方正书宋_GBK"/>
                <w:snapToGrid w:val="0"/>
                <w:color w:val="000000"/>
                <w:sz w:val="21"/>
                <w:szCs w:val="21"/>
              </w:rPr>
              <w:t>2018年1月后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eastAsia="方正书宋_GBK"/>
                <w:snapToGrid w:val="0"/>
                <w:color w:val="000000"/>
                <w:sz w:val="21"/>
                <w:szCs w:val="21"/>
              </w:rPr>
              <w:t>2017年1月后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eastAsia="方正书宋_GBK"/>
                <w:snapToGrid w:val="0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5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hint="eastAsia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eastAsia="方正书宋_GBK"/>
                <w:snapToGrid w:val="0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方正书宋_GBK"/>
                <w:snapToGrid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eastAsia="方正书宋_GBK"/>
                <w:snapToGrid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eastAsia="方正书宋_GBK"/>
                <w:snapToGrid w:val="0"/>
                <w:color w:val="000000"/>
                <w:sz w:val="21"/>
                <w:szCs w:val="21"/>
              </w:rPr>
              <w:t>光模块</w:t>
            </w:r>
          </w:p>
        </w:tc>
        <w:tc>
          <w:tcPr>
            <w:tcW w:w="2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hint="eastAsia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eastAsia="方正书宋_GBK"/>
                <w:snapToGrid w:val="0"/>
                <w:color w:val="000000"/>
                <w:sz w:val="21"/>
                <w:szCs w:val="21"/>
              </w:rPr>
              <w:t>包括但不限于：华为、华三、锐捷、中兴</w:t>
            </w: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eastAsia="方正书宋_GBK"/>
                <w:snapToGrid w:val="0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eastAsia="方正书宋_GBK"/>
                <w:snapToGrid w:val="0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eastAsia="方正书宋_GBK"/>
                <w:snapToGrid w:val="0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5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hint="eastAsia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eastAsia="方正书宋_GBK"/>
                <w:snapToGrid w:val="0"/>
                <w:color w:val="000000"/>
                <w:sz w:val="21"/>
                <w:szCs w:val="21"/>
              </w:rPr>
              <w:t>万兆单模、万兆多模、千兆单模、千兆多模</w:t>
            </w: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方正书宋_GBK"/>
                <w:snapToGrid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eastAsia="方正书宋_GBK"/>
                <w:snapToGrid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eastAsia="方正书宋_GBK"/>
                <w:snapToGrid w:val="0"/>
                <w:color w:val="000000"/>
                <w:sz w:val="21"/>
                <w:szCs w:val="21"/>
              </w:rPr>
              <w:t>UPS不间断电源</w:t>
            </w:r>
          </w:p>
        </w:tc>
        <w:tc>
          <w:tcPr>
            <w:tcW w:w="2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hint="eastAsia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eastAsia="方正书宋_GBK"/>
                <w:snapToGrid w:val="0"/>
                <w:color w:val="000000"/>
                <w:sz w:val="21"/>
                <w:szCs w:val="21"/>
              </w:rPr>
              <w:t>包括但不限于：施耐德、APC、艾默生（维谛技术）、伊顿、华为、科华、易事特等</w:t>
            </w: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eastAsia="方正书宋_GBK"/>
                <w:snapToGrid w:val="0"/>
                <w:color w:val="000000"/>
                <w:sz w:val="21"/>
                <w:szCs w:val="21"/>
              </w:rPr>
              <w:t>2019年1月后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eastAsia="方正书宋_GBK"/>
                <w:snapToGrid w:val="0"/>
                <w:color w:val="000000"/>
                <w:sz w:val="21"/>
                <w:szCs w:val="21"/>
              </w:rPr>
              <w:t>2018年1月后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eastAsia="方正书宋_GBK"/>
                <w:snapToGrid w:val="0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5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hint="eastAsia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eastAsia="方正书宋_GBK"/>
                <w:snapToGrid w:val="0"/>
                <w:color w:val="000000"/>
                <w:sz w:val="21"/>
                <w:szCs w:val="21"/>
              </w:rPr>
              <w:t>在线式UPS，UPS容量在20-500KVA之间，输入电压220V（相电压）380V（线电压），电压范围（-45％～+15％），宽频范围（50Hz±10%），输出功率因素≥0.9。提供RS232、RS485或智能SNMP监测接口，无重大维修记录</w:t>
            </w: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方正书宋_GBK"/>
                <w:snapToGrid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eastAsia="方正书宋_GBK"/>
                <w:snapToGrid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eastAsia="方正书宋_GBK"/>
                <w:snapToGrid w:val="0"/>
                <w:color w:val="000000"/>
                <w:sz w:val="21"/>
                <w:szCs w:val="21"/>
              </w:rPr>
              <w:t>精密空调</w:t>
            </w:r>
          </w:p>
        </w:tc>
        <w:tc>
          <w:tcPr>
            <w:tcW w:w="2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hint="eastAsia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eastAsia="方正书宋_GBK"/>
                <w:snapToGrid w:val="0"/>
                <w:color w:val="000000"/>
                <w:sz w:val="21"/>
                <w:szCs w:val="21"/>
              </w:rPr>
              <w:t>包括但不限于：艾默生、史图斯、佳力图、海洛斯、约顿、依米康、阿尔西、施耐德</w:t>
            </w: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eastAsia="方正书宋_GBK"/>
                <w:snapToGrid w:val="0"/>
                <w:color w:val="000000"/>
                <w:sz w:val="21"/>
                <w:szCs w:val="21"/>
              </w:rPr>
              <w:t>2019年1月后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eastAsia="方正书宋_GBK"/>
                <w:snapToGrid w:val="0"/>
                <w:color w:val="000000"/>
                <w:sz w:val="21"/>
                <w:szCs w:val="21"/>
              </w:rPr>
              <w:t>2018年1月后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eastAsia="方正书宋_GBK"/>
                <w:snapToGrid w:val="0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5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hint="eastAsia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eastAsia="方正书宋_GBK"/>
                <w:snapToGrid w:val="0"/>
                <w:color w:val="000000"/>
                <w:sz w:val="21"/>
                <w:szCs w:val="21"/>
              </w:rPr>
              <w:t>恒温恒湿，制冷量在12.5KW-50KW之间，提供远程监控接口，无重大维修记录</w:t>
            </w: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方正书宋_GBK"/>
                <w:snapToGrid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eastAsia="方正书宋_GBK"/>
                <w:snapToGrid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eastAsia="方正书宋_GBK"/>
                <w:snapToGrid w:val="0"/>
                <w:color w:val="000000"/>
                <w:sz w:val="21"/>
                <w:szCs w:val="21"/>
              </w:rPr>
              <w:t>机柜</w:t>
            </w:r>
          </w:p>
        </w:tc>
        <w:tc>
          <w:tcPr>
            <w:tcW w:w="2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hint="eastAsia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eastAsia="方正书宋_GBK"/>
                <w:snapToGrid w:val="0"/>
                <w:color w:val="000000"/>
                <w:sz w:val="21"/>
                <w:szCs w:val="21"/>
              </w:rPr>
              <w:t>包括但不限于华为、金盾、图腾等</w:t>
            </w: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eastAsia="方正书宋_GBK"/>
                <w:snapToGrid w:val="0"/>
                <w:color w:val="000000"/>
                <w:sz w:val="21"/>
                <w:szCs w:val="21"/>
              </w:rPr>
              <w:t>2018年1月后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eastAsia="方正书宋_GBK"/>
                <w:snapToGrid w:val="0"/>
                <w:color w:val="000000"/>
                <w:sz w:val="21"/>
                <w:szCs w:val="21"/>
              </w:rPr>
              <w:t>2018年1月后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eastAsia="方正书宋_GBK"/>
                <w:snapToGrid w:val="0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5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hint="eastAsia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eastAsia="方正书宋_GBK"/>
                <w:snapToGrid w:val="0"/>
                <w:color w:val="000000"/>
                <w:sz w:val="21"/>
                <w:szCs w:val="21"/>
              </w:rPr>
              <w:t>具备两路PDU，42U机柜</w:t>
            </w: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方正书宋_GBK"/>
                <w:snapToGrid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eastAsia="方正书宋_GBK"/>
                <w:snapToGrid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eastAsia="方正书宋_GBK"/>
                <w:snapToGrid w:val="0"/>
                <w:color w:val="000000"/>
                <w:sz w:val="21"/>
                <w:szCs w:val="21"/>
              </w:rPr>
              <w:t>蓄电池</w:t>
            </w:r>
          </w:p>
        </w:tc>
        <w:tc>
          <w:tcPr>
            <w:tcW w:w="2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hint="eastAsia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eastAsia="方正书宋_GBK"/>
                <w:snapToGrid w:val="0"/>
                <w:color w:val="000000"/>
                <w:sz w:val="21"/>
                <w:szCs w:val="21"/>
              </w:rPr>
              <w:t>包括但不限于汤浅、阳光、松下、双登、光宇、南都、锂士等</w:t>
            </w: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eastAsia="方正书宋_GBK"/>
                <w:snapToGrid w:val="0"/>
                <w:color w:val="000000"/>
                <w:sz w:val="21"/>
                <w:szCs w:val="21"/>
              </w:rPr>
              <w:t>2020年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eastAsia="方正书宋_GBK"/>
                <w:snapToGrid w:val="0"/>
                <w:color w:val="000000"/>
                <w:sz w:val="21"/>
                <w:szCs w:val="21"/>
              </w:rPr>
              <w:t>2020年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eastAsia="方正书宋_GBK"/>
                <w:snapToGrid w:val="0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5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hint="eastAsia" w:eastAsia="方正书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eastAsia="方正书宋_GBK"/>
                <w:snapToGrid w:val="0"/>
                <w:color w:val="000000"/>
                <w:sz w:val="21"/>
                <w:szCs w:val="21"/>
              </w:rPr>
              <w:t>同批次同型号，附带连接电缆及电池柜（架）</w:t>
            </w: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方正书宋_GBK"/>
                <w:snapToGrid w:val="0"/>
                <w:color w:val="00000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小标宋简体">
    <w:altName w:val="汉仪书宋二KW"/>
    <w:panose1 w:val="03000509000000000000"/>
    <w:charset w:val="00"/>
    <w:family w:val="script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_GBK">
    <w:altName w:val="苹方-简"/>
    <w:panose1 w:val="03000509000000000000"/>
    <w:charset w:val="00"/>
    <w:family w:val="script"/>
    <w:pitch w:val="default"/>
    <w:sig w:usb0="00000000" w:usb1="00000000" w:usb2="00000000" w:usb3="00000000" w:csb0="00040000" w:csb1="0000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等线">
    <w:altName w:val="汉仪中等线KW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804030504040204"/>
    <w:charset w:val="00"/>
    <w:family w:val="swiss"/>
    <w:pitch w:val="default"/>
    <w:sig w:usb0="E1002AFF" w:usb1="C000605B" w:usb2="00000029" w:usb3="00000000" w:csb0="200101FF" w:csb1="20280000"/>
  </w:font>
  <w:font w:name="方正楷体_GBK">
    <w:altName w:val="苹方-简"/>
    <w:panose1 w:val="03000509000000000000"/>
    <w:charset w:val="00"/>
    <w:family w:val="script"/>
    <w:pitch w:val="default"/>
    <w:sig w:usb0="00000000" w:usb1="00000000" w:usb2="00000000" w:usb3="00000000" w:csb0="0004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9BF9908"/>
    <w:rsid w:val="68CCD3FB"/>
    <w:rsid w:val="F9BF9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90" w:lineRule="exact"/>
      <w:jc w:val="both"/>
    </w:pPr>
    <w:rPr>
      <w:rFonts w:eastAsia="仿宋_GB2312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pPr>
      <w:spacing w:after="120"/>
    </w:pPr>
  </w:style>
  <w:style w:type="paragraph" w:styleId="3">
    <w:name w:val="Title"/>
    <w:basedOn w:val="1"/>
    <w:next w:val="1"/>
    <w:qFormat/>
    <w:uiPriority w:val="0"/>
    <w:pPr>
      <w:spacing w:before="60" w:after="120" w:line="560" w:lineRule="exact"/>
      <w:jc w:val="center"/>
      <w:outlineLvl w:val="0"/>
    </w:pPr>
    <w:rPr>
      <w:rFonts w:eastAsia="方正小标宋简体"/>
      <w:bCs/>
      <w:sz w:val="44"/>
      <w:szCs w:val="32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kern w:val="0"/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Office_3.4.0.5283_F1E327BC-269C-435d-A152-05C5408002CA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2021-07-06T15:16:00Z</dcterms:created>
  <dc:creator>yincongcong</dc:creator>
  <cp:lastModifiedBy>yincongcong</cp:lastModifiedBy>
  <dcterms:modified xsi:type="dcterms:W3CDTF">2021-07-06T15:17:40Z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2052-3.4.0.5283</vt:lpwstr>
  </property>
</Properties>
</file>