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B90D6">
      <w:pPr>
        <w:keepNext w:val="0"/>
        <w:keepLines w:val="0"/>
        <w:pageBreakBefore w:val="0"/>
        <w:kinsoku/>
        <w:wordWrap/>
        <w:topLinePunct w:val="0"/>
        <w:bidi w:val="0"/>
        <w:spacing w:line="560" w:lineRule="exact"/>
        <w:jc w:val="both"/>
        <w:textAlignment w:val="auto"/>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lang w:val="en-US" w:eastAsia="zh-CN"/>
        </w:rPr>
        <w:t>附件3</w:t>
      </w:r>
    </w:p>
    <w:p w14:paraId="1105A3CE">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default" w:ascii="Times New Roman" w:hAnsi="Times New Roman" w:eastAsia="方正小标宋简体" w:cs="Times New Roman"/>
          <w:color w:val="auto"/>
          <w:spacing w:val="0"/>
          <w:sz w:val="44"/>
          <w:szCs w:val="44"/>
          <w:highlight w:val="none"/>
          <w:lang w:val="en-US" w:eastAsia="zh-CN"/>
        </w:rPr>
      </w:pPr>
    </w:p>
    <w:p w14:paraId="12D8CC96">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spacing w:val="0"/>
          <w:sz w:val="44"/>
          <w:szCs w:val="44"/>
          <w:highlight w:val="none"/>
          <w:lang w:val="en-US" w:eastAsia="zh-CN"/>
        </w:rPr>
      </w:pPr>
      <w:r>
        <w:rPr>
          <w:rFonts w:hint="eastAsia" w:ascii="方正小标宋简体" w:hAnsi="方正小标宋简体" w:eastAsia="方正小标宋简体" w:cs="方正小标宋简体"/>
          <w:color w:val="auto"/>
          <w:spacing w:val="0"/>
          <w:sz w:val="44"/>
          <w:szCs w:val="44"/>
          <w:highlight w:val="none"/>
          <w:lang w:val="en-US" w:eastAsia="zh-CN"/>
        </w:rPr>
        <w:t>广西信创产品</w:t>
      </w:r>
      <w:r>
        <w:rPr>
          <w:rFonts w:hint="eastAsia" w:ascii="方正小标宋简体" w:hAnsi="方正小标宋简体" w:eastAsia="方正小标宋简体" w:cs="方正小标宋简体"/>
          <w:b w:val="0"/>
          <w:bCs/>
          <w:color w:val="auto"/>
          <w:spacing w:val="0"/>
          <w:sz w:val="44"/>
          <w:szCs w:val="44"/>
          <w:highlight w:val="none"/>
          <w:lang w:val="en-US" w:eastAsia="zh-CN"/>
        </w:rPr>
        <w:t>服务保障体系建设评估机制</w:t>
      </w:r>
    </w:p>
    <w:p w14:paraId="39E20FA6">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黑体" w:cs="Times New Roman"/>
          <w:b w:val="0"/>
          <w:bCs/>
          <w:color w:val="auto"/>
          <w:spacing w:val="0"/>
          <w:sz w:val="32"/>
          <w:szCs w:val="32"/>
          <w:highlight w:val="none"/>
          <w:lang w:val="en-US" w:eastAsia="zh-CN"/>
        </w:rPr>
      </w:pPr>
    </w:p>
    <w:p w14:paraId="19A0D6CB">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为高质量建设全区信创产品服务保障体系，统筹协调单位根据全区信创产品服务保障体系建设标准，对</w:t>
      </w:r>
      <w:r>
        <w:rPr>
          <w:rFonts w:hint="default" w:ascii="Times New Roman" w:hAnsi="Times New Roman" w:eastAsia="仿宋_GB2312" w:cs="Times New Roman"/>
          <w:b w:val="0"/>
          <w:snapToGrid w:val="0"/>
          <w:color w:val="auto"/>
          <w:spacing w:val="0"/>
          <w:kern w:val="2"/>
          <w:sz w:val="32"/>
          <w:szCs w:val="32"/>
          <w:highlight w:val="none"/>
          <w:lang w:val="en-US" w:eastAsia="zh-CN" w:bidi="ar-SA"/>
        </w:rPr>
        <w:t>企业</w:t>
      </w:r>
      <w:r>
        <w:rPr>
          <w:rFonts w:hint="default" w:ascii="Times New Roman" w:hAnsi="Times New Roman" w:eastAsia="仿宋_GB2312" w:cs="Times New Roman"/>
          <w:color w:val="auto"/>
          <w:spacing w:val="0"/>
          <w:sz w:val="32"/>
          <w:szCs w:val="32"/>
          <w:highlight w:val="none"/>
          <w:lang w:val="en-US" w:eastAsia="zh-CN"/>
        </w:rPr>
        <w:t>服务保障体系建设能力开展评估，重点评估企业管理体系、服务网络、技术体系、培训体系及知识库能力等，确保框采入围企业具备符合标准的体系化服务能力。该评估要求适用于框采项目所有入围企业。</w:t>
      </w:r>
    </w:p>
    <w:p w14:paraId="5797416E">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default" w:ascii="Times New Roman" w:hAnsi="Times New Roman" w:eastAsia="楷体" w:cs="Times New Roman"/>
          <w:b/>
          <w:bCs/>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一、明确评估目的</w:t>
      </w:r>
    </w:p>
    <w:p w14:paraId="7BFD75CD">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为了确保框采入围企业能够高效、稳定地完成服务保障体系建设工作，具备体系化服务保障能力，统筹协调单位组建专项团队对企业服务保障体系建设内容开展定期评估。</w:t>
      </w:r>
    </w:p>
    <w:p w14:paraId="36254493">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二、设定评估标准</w:t>
      </w:r>
    </w:p>
    <w:p w14:paraId="7E8DC930">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统筹协调单位联合采购预算单位根据收集的服务保障台账，通过实地调研核验的方式，每年组织开展1次</w:t>
      </w:r>
      <w:r>
        <w:rPr>
          <w:rFonts w:hint="default" w:ascii="Times New Roman" w:hAnsi="Times New Roman" w:eastAsia="仿宋_GB2312" w:cs="Times New Roman"/>
          <w:b w:val="0"/>
          <w:snapToGrid w:val="0"/>
          <w:color w:val="auto"/>
          <w:spacing w:val="0"/>
          <w:kern w:val="2"/>
          <w:sz w:val="32"/>
          <w:szCs w:val="32"/>
          <w:highlight w:val="none"/>
          <w:lang w:val="en-US" w:eastAsia="zh-CN" w:bidi="ar-SA"/>
        </w:rPr>
        <w:t>框采内企业的</w:t>
      </w:r>
      <w:r>
        <w:rPr>
          <w:rFonts w:hint="default" w:ascii="Times New Roman" w:hAnsi="Times New Roman" w:eastAsia="仿宋_GB2312" w:cs="Times New Roman"/>
          <w:color w:val="auto"/>
          <w:spacing w:val="0"/>
          <w:sz w:val="32"/>
          <w:szCs w:val="32"/>
          <w:highlight w:val="none"/>
          <w:lang w:val="en-US" w:eastAsia="zh-CN"/>
        </w:rPr>
        <w:t>服务保障能力水平评估，从管理体系建设、服务网络建设、技术体系建设、培训体系建设及知识库建设等基础的综合服务保障能力，综合评估验证</w:t>
      </w:r>
      <w:r>
        <w:rPr>
          <w:rFonts w:hint="default" w:ascii="Times New Roman" w:hAnsi="Times New Roman" w:eastAsia="仿宋_GB2312" w:cs="Times New Roman"/>
          <w:b w:val="0"/>
          <w:snapToGrid w:val="0"/>
          <w:color w:val="auto"/>
          <w:spacing w:val="0"/>
          <w:kern w:val="2"/>
          <w:sz w:val="32"/>
          <w:szCs w:val="32"/>
          <w:highlight w:val="none"/>
          <w:lang w:val="en-US" w:eastAsia="zh-CN" w:bidi="ar-SA"/>
        </w:rPr>
        <w:t>框采内企业</w:t>
      </w:r>
      <w:r>
        <w:rPr>
          <w:rFonts w:hint="default" w:ascii="Times New Roman" w:hAnsi="Times New Roman" w:eastAsia="仿宋_GB2312" w:cs="Times New Roman"/>
          <w:color w:val="auto"/>
          <w:spacing w:val="0"/>
          <w:sz w:val="32"/>
          <w:szCs w:val="32"/>
          <w:highlight w:val="none"/>
          <w:lang w:val="en-US" w:eastAsia="zh-CN"/>
        </w:rPr>
        <w:t>内部能力建设情况。服务保障能力评估内容涵盖管理体系、服务网络、技术体系、培训体系、知识库能力及服务数据交互能力等6项服务保障建设要求，共16项能力评估内容，详见下表：</w:t>
      </w:r>
    </w:p>
    <w:p w14:paraId="05203E9D">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p>
    <w:tbl>
      <w:tblPr>
        <w:tblStyle w:val="4"/>
        <w:tblpPr w:leftFromText="180" w:rightFromText="180" w:vertAnchor="text" w:horzAnchor="page" w:tblpX="1362" w:tblpY="127"/>
        <w:tblOverlap w:val="never"/>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3470"/>
        <w:gridCol w:w="2743"/>
        <w:gridCol w:w="1223"/>
      </w:tblGrid>
      <w:tr w14:paraId="22F6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9"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A8442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pacing w:val="0"/>
                <w:sz w:val="24"/>
                <w:szCs w:val="24"/>
                <w:highlight w:val="none"/>
                <w:lang w:val="en-US" w:eastAsia="zh-CN"/>
              </w:rPr>
            </w:pPr>
            <w:r>
              <w:rPr>
                <w:rFonts w:hint="default" w:ascii="Times New Roman" w:hAnsi="Times New Roman" w:eastAsia="黑体" w:cs="Times New Roman"/>
                <w:b/>
                <w:color w:val="auto"/>
                <w:spacing w:val="0"/>
                <w:sz w:val="28"/>
                <w:szCs w:val="28"/>
                <w:highlight w:val="none"/>
                <w:lang w:val="en-US" w:eastAsia="zh-CN"/>
              </w:rPr>
              <w:t>服务保障建设情况评估表</w:t>
            </w:r>
          </w:p>
        </w:tc>
      </w:tr>
      <w:tr w14:paraId="1982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70" w:type="pct"/>
            <w:tcBorders>
              <w:top w:val="single" w:color="auto" w:sz="4" w:space="0"/>
              <w:left w:val="single" w:color="auto" w:sz="4" w:space="0"/>
              <w:bottom w:val="single" w:color="auto" w:sz="4" w:space="0"/>
              <w:right w:val="single" w:color="auto" w:sz="4" w:space="0"/>
            </w:tcBorders>
            <w:noWrap w:val="0"/>
            <w:vAlign w:val="center"/>
          </w:tcPr>
          <w:p w14:paraId="5F3998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pacing w:val="0"/>
                <w:sz w:val="24"/>
                <w:szCs w:val="24"/>
                <w:highlight w:val="none"/>
              </w:rPr>
            </w:pPr>
            <w:r>
              <w:rPr>
                <w:rFonts w:hint="default" w:ascii="Times New Roman" w:hAnsi="Times New Roman" w:eastAsia="仿宋_GB2312" w:cs="Times New Roman"/>
                <w:b/>
                <w:color w:val="auto"/>
                <w:spacing w:val="0"/>
                <w:sz w:val="24"/>
                <w:szCs w:val="24"/>
                <w:highlight w:val="none"/>
                <w:lang w:val="en-US" w:eastAsia="zh-CN"/>
              </w:rPr>
              <w:t>评估项目</w:t>
            </w:r>
          </w:p>
        </w:tc>
        <w:tc>
          <w:tcPr>
            <w:tcW w:w="1834" w:type="pct"/>
            <w:tcBorders>
              <w:top w:val="single" w:color="auto" w:sz="4" w:space="0"/>
              <w:left w:val="single" w:color="auto" w:sz="4" w:space="0"/>
              <w:bottom w:val="single" w:color="auto" w:sz="4" w:space="0"/>
              <w:right w:val="single" w:color="auto" w:sz="4" w:space="0"/>
            </w:tcBorders>
            <w:noWrap w:val="0"/>
            <w:vAlign w:val="center"/>
          </w:tcPr>
          <w:p w14:paraId="16C92D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pacing w:val="0"/>
                <w:sz w:val="24"/>
                <w:szCs w:val="24"/>
                <w:highlight w:val="none"/>
              </w:rPr>
            </w:pPr>
            <w:r>
              <w:rPr>
                <w:rFonts w:hint="default" w:ascii="Times New Roman" w:hAnsi="Times New Roman" w:eastAsia="仿宋_GB2312" w:cs="Times New Roman"/>
                <w:b/>
                <w:color w:val="auto"/>
                <w:spacing w:val="0"/>
                <w:sz w:val="24"/>
                <w:szCs w:val="24"/>
                <w:highlight w:val="none"/>
                <w:lang w:val="en-US" w:eastAsia="zh-CN"/>
              </w:rPr>
              <w:t>评估</w:t>
            </w:r>
            <w:r>
              <w:rPr>
                <w:rFonts w:hint="default" w:ascii="Times New Roman" w:hAnsi="Times New Roman" w:eastAsia="仿宋_GB2312" w:cs="Times New Roman"/>
                <w:b/>
                <w:color w:val="auto"/>
                <w:spacing w:val="0"/>
                <w:sz w:val="24"/>
                <w:szCs w:val="24"/>
                <w:highlight w:val="none"/>
              </w:rPr>
              <w:t>内容</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3B11B4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pacing w:val="0"/>
                <w:sz w:val="24"/>
                <w:szCs w:val="24"/>
                <w:highlight w:val="none"/>
                <w:lang w:val="en-US" w:eastAsia="zh-CN"/>
              </w:rPr>
            </w:pPr>
            <w:r>
              <w:rPr>
                <w:rFonts w:hint="default" w:ascii="Times New Roman" w:hAnsi="Times New Roman" w:eastAsia="仿宋_GB2312" w:cs="Times New Roman"/>
                <w:b/>
                <w:color w:val="auto"/>
                <w:spacing w:val="0"/>
                <w:sz w:val="24"/>
                <w:szCs w:val="24"/>
                <w:highlight w:val="none"/>
              </w:rPr>
              <w:t>是否</w:t>
            </w:r>
            <w:r>
              <w:rPr>
                <w:rFonts w:hint="default" w:ascii="Times New Roman" w:hAnsi="Times New Roman" w:eastAsia="仿宋_GB2312" w:cs="Times New Roman"/>
                <w:b/>
                <w:color w:val="auto"/>
                <w:spacing w:val="0"/>
                <w:sz w:val="24"/>
                <w:szCs w:val="24"/>
                <w:highlight w:val="none"/>
                <w:lang w:val="en-US" w:eastAsia="zh-CN"/>
              </w:rPr>
              <w:t>合格</w:t>
            </w:r>
          </w:p>
        </w:tc>
        <w:tc>
          <w:tcPr>
            <w:tcW w:w="644" w:type="pct"/>
            <w:tcBorders>
              <w:top w:val="single" w:color="auto" w:sz="4" w:space="0"/>
              <w:left w:val="single" w:color="auto" w:sz="4" w:space="0"/>
              <w:bottom w:val="single" w:color="auto" w:sz="4" w:space="0"/>
              <w:right w:val="single" w:color="auto" w:sz="4" w:space="0"/>
            </w:tcBorders>
            <w:noWrap w:val="0"/>
            <w:vAlign w:val="center"/>
          </w:tcPr>
          <w:p w14:paraId="5858A2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pacing w:val="0"/>
                <w:sz w:val="24"/>
                <w:szCs w:val="24"/>
                <w:highlight w:val="none"/>
              </w:rPr>
            </w:pPr>
            <w:r>
              <w:rPr>
                <w:rFonts w:hint="default" w:ascii="Times New Roman" w:hAnsi="Times New Roman" w:eastAsia="仿宋_GB2312" w:cs="Times New Roman"/>
                <w:b/>
                <w:color w:val="auto"/>
                <w:spacing w:val="0"/>
                <w:sz w:val="24"/>
                <w:szCs w:val="24"/>
                <w:highlight w:val="none"/>
                <w:lang w:val="en-US" w:eastAsia="zh-CN"/>
              </w:rPr>
              <w:t>整改建议</w:t>
            </w:r>
          </w:p>
        </w:tc>
      </w:tr>
      <w:tr w14:paraId="6EEC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070" w:type="pct"/>
            <w:vMerge w:val="restart"/>
            <w:tcBorders>
              <w:top w:val="single" w:color="auto" w:sz="4" w:space="0"/>
              <w:left w:val="single" w:color="auto" w:sz="4" w:space="0"/>
              <w:bottom w:val="single" w:color="auto" w:sz="4" w:space="0"/>
              <w:right w:val="single" w:color="auto" w:sz="4" w:space="0"/>
            </w:tcBorders>
            <w:noWrap w:val="0"/>
            <w:vAlign w:val="center"/>
          </w:tcPr>
          <w:p w14:paraId="5EDA40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一</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管理体系能力</w:t>
            </w:r>
          </w:p>
          <w:p w14:paraId="0720D8E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4</w:t>
            </w:r>
            <w:r>
              <w:rPr>
                <w:rFonts w:hint="default" w:ascii="Times New Roman" w:hAnsi="Times New Roman" w:eastAsia="仿宋_GB2312" w:cs="Times New Roman"/>
                <w:color w:val="auto"/>
                <w:spacing w:val="0"/>
                <w:sz w:val="24"/>
                <w:szCs w:val="24"/>
                <w:highlight w:val="none"/>
              </w:rPr>
              <w:t>项）</w:t>
            </w:r>
          </w:p>
        </w:tc>
        <w:tc>
          <w:tcPr>
            <w:tcW w:w="1834" w:type="pct"/>
            <w:tcBorders>
              <w:top w:val="single" w:color="auto" w:sz="4" w:space="0"/>
              <w:left w:val="single" w:color="auto" w:sz="4" w:space="0"/>
              <w:bottom w:val="single" w:color="auto" w:sz="4" w:space="0"/>
              <w:right w:val="single" w:color="auto" w:sz="4" w:space="0"/>
            </w:tcBorders>
            <w:noWrap w:val="0"/>
            <w:vAlign w:val="center"/>
          </w:tcPr>
          <w:p w14:paraId="47D5BBE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1.</w:t>
            </w:r>
            <w:r>
              <w:rPr>
                <w:rFonts w:hint="default" w:ascii="Times New Roman" w:hAnsi="Times New Roman" w:eastAsia="仿宋_GB2312" w:cs="Times New Roman"/>
                <w:color w:val="auto"/>
                <w:spacing w:val="0"/>
                <w:sz w:val="24"/>
                <w:szCs w:val="24"/>
                <w:highlight w:val="none"/>
                <w:lang w:val="en-US" w:eastAsia="zh-CN"/>
              </w:rPr>
              <w:t>是否设立明确的服务保障组织架构，明确了服务保障第一负责人并进行备案。</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2FE585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581FF5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4A20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70" w:type="pct"/>
            <w:vMerge w:val="continue"/>
            <w:tcBorders>
              <w:top w:val="single" w:color="auto" w:sz="4" w:space="0"/>
              <w:left w:val="single" w:color="auto" w:sz="4" w:space="0"/>
              <w:bottom w:val="single" w:color="auto" w:sz="4" w:space="0"/>
              <w:right w:val="single" w:color="auto" w:sz="4" w:space="0"/>
            </w:tcBorders>
            <w:noWrap w:val="0"/>
            <w:vAlign w:val="center"/>
          </w:tcPr>
          <w:p w14:paraId="69C64A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c>
          <w:tcPr>
            <w:tcW w:w="1834" w:type="pct"/>
            <w:tcBorders>
              <w:top w:val="single" w:color="auto" w:sz="4" w:space="0"/>
              <w:left w:val="single" w:color="auto" w:sz="4" w:space="0"/>
              <w:bottom w:val="single" w:color="auto" w:sz="4" w:space="0"/>
              <w:right w:val="single" w:color="auto" w:sz="4" w:space="0"/>
            </w:tcBorders>
            <w:noWrap w:val="0"/>
            <w:vAlign w:val="center"/>
          </w:tcPr>
          <w:p w14:paraId="52087A8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2.</w:t>
            </w:r>
            <w:r>
              <w:rPr>
                <w:rFonts w:hint="default" w:ascii="Times New Roman" w:hAnsi="Times New Roman" w:eastAsia="仿宋_GB2312" w:cs="Times New Roman"/>
                <w:color w:val="auto"/>
                <w:spacing w:val="0"/>
                <w:sz w:val="24"/>
                <w:szCs w:val="24"/>
                <w:highlight w:val="none"/>
                <w:lang w:val="en-US" w:eastAsia="zh-CN"/>
              </w:rPr>
              <w:t>是否具有清晰的服务质量规范要求并设置工作考核指标。</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2FBC1A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202A1B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54B8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70" w:type="pct"/>
            <w:vMerge w:val="continue"/>
            <w:tcBorders>
              <w:top w:val="single" w:color="auto" w:sz="4" w:space="0"/>
              <w:left w:val="single" w:color="auto" w:sz="4" w:space="0"/>
              <w:bottom w:val="single" w:color="auto" w:sz="4" w:space="0"/>
              <w:right w:val="single" w:color="auto" w:sz="4" w:space="0"/>
            </w:tcBorders>
            <w:noWrap w:val="0"/>
            <w:vAlign w:val="center"/>
          </w:tcPr>
          <w:p w14:paraId="382D7FE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c>
          <w:tcPr>
            <w:tcW w:w="1834" w:type="pct"/>
            <w:tcBorders>
              <w:top w:val="single" w:color="auto" w:sz="4" w:space="0"/>
              <w:left w:val="single" w:color="auto" w:sz="4" w:space="0"/>
              <w:bottom w:val="single" w:color="auto" w:sz="4" w:space="0"/>
              <w:right w:val="single" w:color="auto" w:sz="4" w:space="0"/>
            </w:tcBorders>
            <w:noWrap w:val="0"/>
            <w:vAlign w:val="center"/>
          </w:tcPr>
          <w:p w14:paraId="599B0C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3.</w:t>
            </w:r>
            <w:r>
              <w:rPr>
                <w:rFonts w:hint="default" w:ascii="Times New Roman" w:hAnsi="Times New Roman" w:eastAsia="仿宋_GB2312" w:cs="Times New Roman"/>
                <w:color w:val="auto"/>
                <w:spacing w:val="0"/>
                <w:sz w:val="24"/>
                <w:szCs w:val="24"/>
                <w:highlight w:val="none"/>
                <w:lang w:val="en-US" w:eastAsia="zh-CN"/>
              </w:rPr>
              <w:t>是否建立内部监督和改进机制保障服务质量。</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5EBB76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06E15B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553D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70" w:type="pct"/>
            <w:vMerge w:val="continue"/>
            <w:tcBorders>
              <w:top w:val="single" w:color="auto" w:sz="4" w:space="0"/>
              <w:left w:val="single" w:color="auto" w:sz="4" w:space="0"/>
              <w:bottom w:val="single" w:color="auto" w:sz="4" w:space="0"/>
              <w:right w:val="single" w:color="auto" w:sz="4" w:space="0"/>
            </w:tcBorders>
            <w:noWrap w:val="0"/>
            <w:vAlign w:val="center"/>
          </w:tcPr>
          <w:p w14:paraId="2D554E4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c>
          <w:tcPr>
            <w:tcW w:w="1834" w:type="pct"/>
            <w:tcBorders>
              <w:top w:val="single" w:color="auto" w:sz="4" w:space="0"/>
              <w:left w:val="single" w:color="auto" w:sz="4" w:space="0"/>
              <w:bottom w:val="single" w:color="auto" w:sz="4" w:space="0"/>
              <w:right w:val="single" w:color="auto" w:sz="4" w:space="0"/>
            </w:tcBorders>
            <w:noWrap w:val="0"/>
            <w:vAlign w:val="center"/>
          </w:tcPr>
          <w:p w14:paraId="720616B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lang w:val="en-US" w:eastAsia="zh-CN"/>
              </w:rPr>
              <w:t>4</w:t>
            </w:r>
            <w:r>
              <w:rPr>
                <w:rFonts w:hint="default" w:ascii="Times New Roman" w:hAnsi="Times New Roman" w:eastAsia="仿宋_GB2312" w:cs="Times New Roman"/>
                <w:color w:val="auto"/>
                <w:spacing w:val="0"/>
                <w:sz w:val="24"/>
                <w:szCs w:val="24"/>
                <w:highlight w:val="none"/>
              </w:rPr>
              <w:t>.是否建立服务满意度红线机制，制定明确惩罚机制，提升问题处理完成率、投诉解决率、用户满意度</w:t>
            </w:r>
            <w:r>
              <w:rPr>
                <w:rFonts w:hint="default" w:ascii="Times New Roman" w:hAnsi="Times New Roman" w:eastAsia="仿宋_GB2312" w:cs="Times New Roman"/>
                <w:color w:val="auto"/>
                <w:spacing w:val="0"/>
                <w:sz w:val="24"/>
                <w:szCs w:val="24"/>
                <w:highlight w:val="none"/>
                <w:lang w:val="en-US" w:eastAsia="zh-CN"/>
              </w:rPr>
              <w:t>。</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5DBBC1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1E73A9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31CC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70" w:type="pct"/>
            <w:vMerge w:val="restart"/>
            <w:tcBorders>
              <w:top w:val="single" w:color="auto" w:sz="4" w:space="0"/>
              <w:left w:val="single" w:color="auto" w:sz="4" w:space="0"/>
              <w:bottom w:val="single" w:color="auto" w:sz="4" w:space="0"/>
              <w:right w:val="single" w:color="auto" w:sz="4" w:space="0"/>
            </w:tcBorders>
            <w:noWrap w:val="0"/>
            <w:vAlign w:val="center"/>
          </w:tcPr>
          <w:p w14:paraId="44A3D4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二</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服务网络能力</w:t>
            </w:r>
          </w:p>
          <w:p w14:paraId="6373FC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3</w:t>
            </w:r>
            <w:r>
              <w:rPr>
                <w:rFonts w:hint="default" w:ascii="Times New Roman" w:hAnsi="Times New Roman" w:eastAsia="仿宋_GB2312" w:cs="Times New Roman"/>
                <w:color w:val="auto"/>
                <w:spacing w:val="0"/>
                <w:sz w:val="24"/>
                <w:szCs w:val="24"/>
                <w:highlight w:val="none"/>
              </w:rPr>
              <w:t>项）</w:t>
            </w:r>
          </w:p>
        </w:tc>
        <w:tc>
          <w:tcPr>
            <w:tcW w:w="1834" w:type="pct"/>
            <w:tcBorders>
              <w:top w:val="single" w:color="auto" w:sz="4" w:space="0"/>
              <w:left w:val="single" w:color="auto" w:sz="4" w:space="0"/>
              <w:bottom w:val="single" w:color="auto" w:sz="4" w:space="0"/>
              <w:right w:val="single" w:color="auto" w:sz="4" w:space="0"/>
            </w:tcBorders>
            <w:noWrap w:val="0"/>
            <w:vAlign w:val="center"/>
          </w:tcPr>
          <w:p w14:paraId="0695D15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lang w:val="en-US" w:eastAsia="zh-CN"/>
              </w:rPr>
              <w:t>5</w:t>
            </w:r>
            <w:r>
              <w:rPr>
                <w:rFonts w:hint="default" w:ascii="Times New Roman" w:hAnsi="Times New Roman" w:eastAsia="仿宋_GB2312" w:cs="Times New Roman"/>
                <w:color w:val="auto"/>
                <w:spacing w:val="0"/>
                <w:sz w:val="24"/>
                <w:szCs w:val="24"/>
                <w:highlight w:val="none"/>
              </w:rPr>
              <w:t>.是否具备覆盖全区，深入到县的服务网络。</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4DD629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025D7B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60D2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70" w:type="pct"/>
            <w:vMerge w:val="continue"/>
            <w:tcBorders>
              <w:top w:val="single" w:color="auto" w:sz="4" w:space="0"/>
              <w:left w:val="single" w:color="auto" w:sz="4" w:space="0"/>
              <w:bottom w:val="single" w:color="auto" w:sz="4" w:space="0"/>
              <w:right w:val="single" w:color="auto" w:sz="4" w:space="0"/>
            </w:tcBorders>
            <w:noWrap w:val="0"/>
            <w:vAlign w:val="center"/>
          </w:tcPr>
          <w:p w14:paraId="28F59D9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c>
          <w:tcPr>
            <w:tcW w:w="1834" w:type="pct"/>
            <w:tcBorders>
              <w:top w:val="single" w:color="auto" w:sz="4" w:space="0"/>
              <w:left w:val="single" w:color="auto" w:sz="4" w:space="0"/>
              <w:bottom w:val="single" w:color="auto" w:sz="4" w:space="0"/>
              <w:right w:val="single" w:color="auto" w:sz="4" w:space="0"/>
            </w:tcBorders>
            <w:noWrap w:val="0"/>
            <w:vAlign w:val="center"/>
          </w:tcPr>
          <w:p w14:paraId="6468319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lang w:val="en-US" w:eastAsia="zh-CN"/>
              </w:rPr>
              <w:t>6</w:t>
            </w:r>
            <w:r>
              <w:rPr>
                <w:rFonts w:hint="default" w:ascii="Times New Roman" w:hAnsi="Times New Roman" w:eastAsia="仿宋_GB2312" w:cs="Times New Roman"/>
                <w:color w:val="auto"/>
                <w:spacing w:val="0"/>
                <w:sz w:val="24"/>
                <w:szCs w:val="24"/>
                <w:highlight w:val="none"/>
              </w:rPr>
              <w:t>.在“同城4小时，异地12小时”到场服务</w:t>
            </w:r>
            <w:r>
              <w:rPr>
                <w:rFonts w:hint="eastAsia" w:ascii="Times New Roman" w:hAnsi="Times New Roman" w:eastAsia="仿宋_GB2312" w:cs="Times New Roman"/>
                <w:color w:val="auto"/>
                <w:spacing w:val="0"/>
                <w:sz w:val="24"/>
                <w:szCs w:val="24"/>
                <w:highlight w:val="none"/>
                <w:lang w:eastAsia="zh-CN"/>
              </w:rPr>
              <w:t>保障要</w:t>
            </w:r>
            <w:r>
              <w:rPr>
                <w:rFonts w:hint="default" w:ascii="Times New Roman" w:hAnsi="Times New Roman" w:eastAsia="仿宋_GB2312" w:cs="Times New Roman"/>
                <w:color w:val="auto"/>
                <w:spacing w:val="0"/>
                <w:sz w:val="24"/>
                <w:szCs w:val="24"/>
                <w:highlight w:val="none"/>
              </w:rPr>
              <w:t>求方面的落实情况。</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6ADFC3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4A31A2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187C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70" w:type="pct"/>
            <w:vMerge w:val="continue"/>
            <w:tcBorders>
              <w:top w:val="single" w:color="auto" w:sz="4" w:space="0"/>
              <w:left w:val="single" w:color="auto" w:sz="4" w:space="0"/>
              <w:bottom w:val="single" w:color="auto" w:sz="4" w:space="0"/>
              <w:right w:val="single" w:color="auto" w:sz="4" w:space="0"/>
            </w:tcBorders>
            <w:noWrap w:val="0"/>
            <w:vAlign w:val="center"/>
          </w:tcPr>
          <w:p w14:paraId="18307F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c>
          <w:tcPr>
            <w:tcW w:w="1834" w:type="pct"/>
            <w:tcBorders>
              <w:top w:val="single" w:color="auto" w:sz="4" w:space="0"/>
              <w:left w:val="single" w:color="auto" w:sz="4" w:space="0"/>
              <w:bottom w:val="single" w:color="auto" w:sz="4" w:space="0"/>
              <w:right w:val="single" w:color="auto" w:sz="4" w:space="0"/>
            </w:tcBorders>
            <w:noWrap w:val="0"/>
            <w:vAlign w:val="center"/>
          </w:tcPr>
          <w:p w14:paraId="7102B56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lang w:val="en-US" w:eastAsia="zh-CN"/>
              </w:rPr>
              <w:t>7</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产品供应商</w:t>
            </w:r>
            <w:r>
              <w:rPr>
                <w:rFonts w:hint="default" w:ascii="Times New Roman" w:hAnsi="Times New Roman" w:eastAsia="仿宋_GB2312" w:cs="Times New Roman"/>
                <w:color w:val="auto"/>
                <w:spacing w:val="0"/>
                <w:sz w:val="24"/>
                <w:szCs w:val="24"/>
                <w:highlight w:val="none"/>
              </w:rPr>
              <w:t>是否设立区域供应备品备件库，对用户提供及时维修、更换等服务保障，保障服务时限和效果。</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69B27E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29F939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0B06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70" w:type="pct"/>
            <w:vMerge w:val="restart"/>
            <w:tcBorders>
              <w:top w:val="single" w:color="auto" w:sz="4" w:space="0"/>
              <w:left w:val="single" w:color="auto" w:sz="4" w:space="0"/>
              <w:right w:val="single" w:color="auto" w:sz="4" w:space="0"/>
            </w:tcBorders>
            <w:noWrap w:val="0"/>
            <w:vAlign w:val="center"/>
          </w:tcPr>
          <w:p w14:paraId="7E26485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rPr>
              <w:t>三</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lang w:val="en-US" w:eastAsia="zh-CN"/>
              </w:rPr>
              <w:t>技术体系能力</w:t>
            </w:r>
          </w:p>
          <w:p w14:paraId="0B1B3C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2</w:t>
            </w:r>
            <w:r>
              <w:rPr>
                <w:rFonts w:hint="default" w:ascii="Times New Roman" w:hAnsi="Times New Roman" w:eastAsia="仿宋_GB2312" w:cs="Times New Roman"/>
                <w:color w:val="auto"/>
                <w:spacing w:val="0"/>
                <w:sz w:val="24"/>
                <w:szCs w:val="24"/>
                <w:highlight w:val="none"/>
              </w:rPr>
              <w:t>项）</w:t>
            </w:r>
          </w:p>
        </w:tc>
        <w:tc>
          <w:tcPr>
            <w:tcW w:w="1834" w:type="pct"/>
            <w:tcBorders>
              <w:top w:val="single" w:color="auto" w:sz="4" w:space="0"/>
              <w:left w:val="single" w:color="auto" w:sz="4" w:space="0"/>
              <w:bottom w:val="single" w:color="auto" w:sz="4" w:space="0"/>
              <w:right w:val="single" w:color="auto" w:sz="4" w:space="0"/>
            </w:tcBorders>
            <w:noWrap w:val="0"/>
            <w:vAlign w:val="center"/>
          </w:tcPr>
          <w:p w14:paraId="7042F2E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lang w:val="en-US" w:eastAsia="zh-CN"/>
              </w:rPr>
              <w:t>8</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是否具备服务保障管理平台，提升服务能力与效率</w:t>
            </w:r>
            <w:r>
              <w:rPr>
                <w:rFonts w:hint="default" w:ascii="Times New Roman" w:hAnsi="Times New Roman" w:eastAsia="仿宋_GB2312" w:cs="Times New Roman"/>
                <w:color w:val="auto"/>
                <w:spacing w:val="0"/>
                <w:sz w:val="24"/>
                <w:szCs w:val="24"/>
                <w:highlight w:val="none"/>
              </w:rPr>
              <w:t>。</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36760D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0E2A48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4208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70" w:type="pct"/>
            <w:vMerge w:val="continue"/>
            <w:tcBorders>
              <w:left w:val="single" w:color="auto" w:sz="4" w:space="0"/>
              <w:right w:val="single" w:color="auto" w:sz="4" w:space="0"/>
            </w:tcBorders>
            <w:noWrap w:val="0"/>
            <w:vAlign w:val="center"/>
          </w:tcPr>
          <w:p w14:paraId="128235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c>
          <w:tcPr>
            <w:tcW w:w="1834" w:type="pct"/>
            <w:tcBorders>
              <w:top w:val="single" w:color="auto" w:sz="4" w:space="0"/>
              <w:left w:val="single" w:color="auto" w:sz="4" w:space="0"/>
              <w:bottom w:val="single" w:color="auto" w:sz="4" w:space="0"/>
              <w:right w:val="single" w:color="auto" w:sz="4" w:space="0"/>
            </w:tcBorders>
            <w:noWrap w:val="0"/>
            <w:vAlign w:val="center"/>
          </w:tcPr>
          <w:p w14:paraId="781845E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lang w:val="en-US" w:eastAsia="zh-CN"/>
              </w:rPr>
              <w:t>9</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企业的服务保障管理平台功能是否完备，支撑实现服务全流程管理。</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570183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6B5EEE7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7ACC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70" w:type="pct"/>
            <w:vMerge w:val="restart"/>
            <w:tcBorders>
              <w:top w:val="single" w:color="auto" w:sz="4" w:space="0"/>
              <w:left w:val="single" w:color="auto" w:sz="4" w:space="0"/>
              <w:right w:val="single" w:color="auto" w:sz="4" w:space="0"/>
            </w:tcBorders>
            <w:noWrap w:val="0"/>
            <w:vAlign w:val="center"/>
          </w:tcPr>
          <w:p w14:paraId="12274E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四</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lang w:val="en-US" w:eastAsia="zh-CN"/>
              </w:rPr>
              <w:t>培训体系能力</w:t>
            </w:r>
          </w:p>
          <w:p w14:paraId="48016E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3</w:t>
            </w:r>
            <w:r>
              <w:rPr>
                <w:rFonts w:hint="default" w:ascii="Times New Roman" w:hAnsi="Times New Roman" w:eastAsia="仿宋_GB2312" w:cs="Times New Roman"/>
                <w:color w:val="auto"/>
                <w:spacing w:val="0"/>
                <w:sz w:val="24"/>
                <w:szCs w:val="24"/>
                <w:highlight w:val="none"/>
              </w:rPr>
              <w:t>项）</w:t>
            </w:r>
          </w:p>
        </w:tc>
        <w:tc>
          <w:tcPr>
            <w:tcW w:w="1834" w:type="pct"/>
            <w:tcBorders>
              <w:top w:val="single" w:color="auto" w:sz="4" w:space="0"/>
              <w:left w:val="single" w:color="auto" w:sz="4" w:space="0"/>
              <w:bottom w:val="single" w:color="auto" w:sz="4" w:space="0"/>
              <w:right w:val="single" w:color="auto" w:sz="4" w:space="0"/>
            </w:tcBorders>
            <w:noWrap w:val="0"/>
            <w:vAlign w:val="center"/>
          </w:tcPr>
          <w:p w14:paraId="11CAD7F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lang w:val="en-US" w:eastAsia="zh-CN"/>
              </w:rPr>
              <w:t>10</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是否设置培训认证考核机制，落实先培训，后上岗的要求</w:t>
            </w:r>
            <w:r>
              <w:rPr>
                <w:rFonts w:hint="default" w:ascii="Times New Roman" w:hAnsi="Times New Roman" w:eastAsia="仿宋_GB2312" w:cs="Times New Roman"/>
                <w:color w:val="auto"/>
                <w:spacing w:val="0"/>
                <w:sz w:val="24"/>
                <w:szCs w:val="24"/>
                <w:highlight w:val="none"/>
              </w:rPr>
              <w:t>。</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7C066E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442CD7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0E5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070" w:type="pct"/>
            <w:vMerge w:val="continue"/>
            <w:tcBorders>
              <w:left w:val="single" w:color="auto" w:sz="4" w:space="0"/>
              <w:right w:val="single" w:color="auto" w:sz="4" w:space="0"/>
            </w:tcBorders>
            <w:noWrap w:val="0"/>
            <w:vAlign w:val="center"/>
          </w:tcPr>
          <w:p w14:paraId="4915FE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c>
          <w:tcPr>
            <w:tcW w:w="1834" w:type="pct"/>
            <w:tcBorders>
              <w:top w:val="single" w:color="auto" w:sz="4" w:space="0"/>
              <w:left w:val="single" w:color="auto" w:sz="4" w:space="0"/>
              <w:bottom w:val="single" w:color="auto" w:sz="4" w:space="0"/>
              <w:right w:val="single" w:color="auto" w:sz="4" w:space="0"/>
            </w:tcBorders>
            <w:noWrap w:val="0"/>
            <w:vAlign w:val="center"/>
          </w:tcPr>
          <w:p w14:paraId="4E417DE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1</w:t>
            </w:r>
            <w:r>
              <w:rPr>
                <w:rFonts w:hint="default" w:ascii="Times New Roman" w:hAnsi="Times New Roman" w:eastAsia="仿宋_GB2312" w:cs="Times New Roman"/>
                <w:color w:val="auto"/>
                <w:spacing w:val="0"/>
                <w:sz w:val="24"/>
                <w:szCs w:val="24"/>
                <w:highlight w:val="none"/>
                <w:lang w:val="en-US" w:eastAsia="zh-CN"/>
              </w:rPr>
              <w:t>1</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是否建立人员服务能力分级认证机制，实现技术人员能力分级</w:t>
            </w:r>
            <w:r>
              <w:rPr>
                <w:rFonts w:hint="default" w:ascii="Times New Roman" w:hAnsi="Times New Roman" w:eastAsia="仿宋_GB2312" w:cs="Times New Roman"/>
                <w:color w:val="auto"/>
                <w:spacing w:val="0"/>
                <w:sz w:val="24"/>
                <w:szCs w:val="24"/>
                <w:highlight w:val="none"/>
              </w:rPr>
              <w:t>。</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291B2A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0396F5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6F5E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1070" w:type="pct"/>
            <w:vMerge w:val="continue"/>
            <w:tcBorders>
              <w:left w:val="single" w:color="auto" w:sz="4" w:space="0"/>
              <w:right w:val="single" w:color="auto" w:sz="4" w:space="0"/>
            </w:tcBorders>
            <w:noWrap w:val="0"/>
            <w:vAlign w:val="center"/>
          </w:tcPr>
          <w:p w14:paraId="32CB259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c>
          <w:tcPr>
            <w:tcW w:w="1834" w:type="pct"/>
            <w:tcBorders>
              <w:top w:val="single" w:color="auto" w:sz="4" w:space="0"/>
              <w:left w:val="single" w:color="auto" w:sz="4" w:space="0"/>
              <w:bottom w:val="single" w:color="auto" w:sz="4" w:space="0"/>
              <w:right w:val="single" w:color="auto" w:sz="4" w:space="0"/>
            </w:tcBorders>
            <w:noWrap w:val="0"/>
            <w:vAlign w:val="center"/>
          </w:tcPr>
          <w:p w14:paraId="589C54E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1</w:t>
            </w:r>
            <w:r>
              <w:rPr>
                <w:rFonts w:hint="default" w:ascii="Times New Roman" w:hAnsi="Times New Roman" w:eastAsia="仿宋_GB2312" w:cs="Times New Roman"/>
                <w:color w:val="auto"/>
                <w:spacing w:val="0"/>
                <w:sz w:val="24"/>
                <w:szCs w:val="24"/>
                <w:highlight w:val="none"/>
                <w:lang w:val="en-US" w:eastAsia="zh-CN"/>
              </w:rPr>
              <w:t>2</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产品供应商是否建立合作伙伴能力认证机制，对代理商、外包服务商等合作伙伴开展培训认证，保障同等服务能力</w:t>
            </w:r>
            <w:r>
              <w:rPr>
                <w:rFonts w:hint="default" w:ascii="Times New Roman" w:hAnsi="Times New Roman" w:eastAsia="仿宋_GB2312" w:cs="Times New Roman"/>
                <w:color w:val="auto"/>
                <w:spacing w:val="0"/>
                <w:sz w:val="24"/>
                <w:szCs w:val="24"/>
                <w:highlight w:val="none"/>
              </w:rPr>
              <w:t>。</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354942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581FA3E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r>
      <w:tr w14:paraId="14B7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1070" w:type="pct"/>
            <w:vMerge w:val="restart"/>
            <w:tcBorders>
              <w:left w:val="single" w:color="auto" w:sz="4" w:space="0"/>
              <w:right w:val="single" w:color="auto" w:sz="4" w:space="0"/>
            </w:tcBorders>
            <w:noWrap w:val="0"/>
            <w:vAlign w:val="center"/>
          </w:tcPr>
          <w:p w14:paraId="39D79A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五、知识库能力</w:t>
            </w:r>
          </w:p>
          <w:p w14:paraId="757BA7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2</w:t>
            </w:r>
            <w:r>
              <w:rPr>
                <w:rFonts w:hint="default" w:ascii="Times New Roman" w:hAnsi="Times New Roman" w:eastAsia="仿宋_GB2312" w:cs="Times New Roman"/>
                <w:color w:val="auto"/>
                <w:spacing w:val="0"/>
                <w:sz w:val="24"/>
                <w:szCs w:val="24"/>
                <w:highlight w:val="none"/>
              </w:rPr>
              <w:t>项）</w:t>
            </w:r>
          </w:p>
        </w:tc>
        <w:tc>
          <w:tcPr>
            <w:tcW w:w="1834" w:type="pct"/>
            <w:tcBorders>
              <w:top w:val="single" w:color="auto" w:sz="4" w:space="0"/>
              <w:left w:val="single" w:color="auto" w:sz="4" w:space="0"/>
              <w:bottom w:val="single" w:color="auto" w:sz="4" w:space="0"/>
              <w:right w:val="single" w:color="auto" w:sz="4" w:space="0"/>
            </w:tcBorders>
            <w:noWrap w:val="0"/>
            <w:vAlign w:val="center"/>
          </w:tcPr>
          <w:p w14:paraId="609FD64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13</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是否建立了服务保障知识库，汇聚常见服务问题、疑难问题、解决方案、操作指南等内容</w:t>
            </w:r>
            <w:r>
              <w:rPr>
                <w:rFonts w:hint="default" w:ascii="Times New Roman" w:hAnsi="Times New Roman" w:eastAsia="仿宋_GB2312" w:cs="Times New Roman"/>
                <w:color w:val="auto"/>
                <w:spacing w:val="0"/>
                <w:sz w:val="24"/>
                <w:szCs w:val="24"/>
                <w:highlight w:val="none"/>
              </w:rPr>
              <w:t>。</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124714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1B9FAC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p>
        </w:tc>
      </w:tr>
      <w:tr w14:paraId="3A80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1070" w:type="pct"/>
            <w:vMerge w:val="continue"/>
            <w:tcBorders>
              <w:left w:val="single" w:color="auto" w:sz="4" w:space="0"/>
              <w:right w:val="single" w:color="auto" w:sz="4" w:space="0"/>
            </w:tcBorders>
            <w:noWrap w:val="0"/>
            <w:vAlign w:val="center"/>
          </w:tcPr>
          <w:p w14:paraId="4F6279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rPr>
            </w:pPr>
          </w:p>
        </w:tc>
        <w:tc>
          <w:tcPr>
            <w:tcW w:w="1834" w:type="pct"/>
            <w:tcBorders>
              <w:top w:val="single" w:color="auto" w:sz="4" w:space="0"/>
              <w:left w:val="single" w:color="auto" w:sz="4" w:space="0"/>
              <w:bottom w:val="single" w:color="auto" w:sz="4" w:space="0"/>
              <w:right w:val="single" w:color="auto" w:sz="4" w:space="0"/>
            </w:tcBorders>
            <w:noWrap w:val="0"/>
            <w:vAlign w:val="center"/>
          </w:tcPr>
          <w:p w14:paraId="6800B47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rPr>
              <w:t>1</w:t>
            </w:r>
            <w:r>
              <w:rPr>
                <w:rFonts w:hint="default" w:ascii="Times New Roman" w:hAnsi="Times New Roman" w:eastAsia="仿宋_GB2312" w:cs="Times New Roman"/>
                <w:color w:val="auto"/>
                <w:spacing w:val="0"/>
                <w:sz w:val="24"/>
                <w:szCs w:val="24"/>
                <w:highlight w:val="none"/>
                <w:lang w:val="en-US" w:eastAsia="zh-CN"/>
              </w:rPr>
              <w:t>4</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是否面向用户开放共享知识库</w:t>
            </w:r>
            <w:r>
              <w:rPr>
                <w:rFonts w:hint="default" w:ascii="Times New Roman" w:hAnsi="Times New Roman" w:eastAsia="仿宋_GB2312" w:cs="Times New Roman"/>
                <w:color w:val="auto"/>
                <w:spacing w:val="0"/>
                <w:sz w:val="24"/>
                <w:szCs w:val="24"/>
                <w:highlight w:val="none"/>
              </w:rPr>
              <w:t>。</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69CC8C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58D271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p>
        </w:tc>
      </w:tr>
      <w:tr w14:paraId="031A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70" w:type="pct"/>
            <w:vMerge w:val="restart"/>
            <w:tcBorders>
              <w:left w:val="single" w:color="auto" w:sz="4" w:space="0"/>
              <w:right w:val="single" w:color="auto" w:sz="4" w:space="0"/>
            </w:tcBorders>
            <w:noWrap w:val="0"/>
            <w:vAlign w:val="center"/>
          </w:tcPr>
          <w:p w14:paraId="53F421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六、服务数据交互能力</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2</w:t>
            </w:r>
            <w:r>
              <w:rPr>
                <w:rFonts w:hint="default" w:ascii="Times New Roman" w:hAnsi="Times New Roman" w:eastAsia="仿宋_GB2312" w:cs="Times New Roman"/>
                <w:color w:val="auto"/>
                <w:spacing w:val="0"/>
                <w:sz w:val="24"/>
                <w:szCs w:val="24"/>
                <w:highlight w:val="none"/>
              </w:rPr>
              <w:t>项）</w:t>
            </w:r>
          </w:p>
        </w:tc>
        <w:tc>
          <w:tcPr>
            <w:tcW w:w="1834" w:type="pct"/>
            <w:tcBorders>
              <w:top w:val="single" w:color="auto" w:sz="4" w:space="0"/>
              <w:left w:val="single" w:color="auto" w:sz="4" w:space="0"/>
              <w:bottom w:val="single" w:color="auto" w:sz="4" w:space="0"/>
              <w:right w:val="single" w:color="auto" w:sz="4" w:space="0"/>
            </w:tcBorders>
            <w:noWrap w:val="0"/>
            <w:vAlign w:val="center"/>
          </w:tcPr>
          <w:p w14:paraId="6FCC3D9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15.是否按数据归集接口标准，建设框采项目服务数据归集接口</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49CFFA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6023F2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p>
        </w:tc>
      </w:tr>
      <w:tr w14:paraId="5BC9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70" w:type="pct"/>
            <w:vMerge w:val="continue"/>
            <w:tcBorders>
              <w:left w:val="single" w:color="auto" w:sz="4" w:space="0"/>
              <w:right w:val="single" w:color="auto" w:sz="4" w:space="0"/>
            </w:tcBorders>
            <w:noWrap w:val="0"/>
            <w:vAlign w:val="center"/>
          </w:tcPr>
          <w:p w14:paraId="5E3257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p>
        </w:tc>
        <w:tc>
          <w:tcPr>
            <w:tcW w:w="1834" w:type="pct"/>
            <w:tcBorders>
              <w:top w:val="single" w:color="auto" w:sz="4" w:space="0"/>
              <w:left w:val="single" w:color="auto" w:sz="4" w:space="0"/>
              <w:bottom w:val="single" w:color="auto" w:sz="4" w:space="0"/>
              <w:right w:val="single" w:color="auto" w:sz="4" w:space="0"/>
            </w:tcBorders>
            <w:noWrap w:val="0"/>
            <w:vAlign w:val="center"/>
          </w:tcPr>
          <w:p w14:paraId="29715B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16.是否按时归集数据至全区服务保障平台。</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3F513E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是</w:t>
            </w:r>
            <w:r>
              <w:rPr>
                <w:rFonts w:hint="default" w:ascii="Times New Roman" w:hAnsi="Times New Roman" w:eastAsia="仿宋_GB2312" w:cs="Times New Roman"/>
                <w:color w:val="auto"/>
                <w:spacing w:val="0"/>
                <w:sz w:val="24"/>
                <w:szCs w:val="24"/>
                <w:highlight w:val="none"/>
              </w:rPr>
              <w:sym w:font="Wingdings 2" w:char="F0A3"/>
            </w:r>
            <w:r>
              <w:rPr>
                <w:rFonts w:hint="default" w:ascii="Times New Roman" w:hAnsi="Times New Roman" w:eastAsia="仿宋_GB2312" w:cs="Times New Roman"/>
                <w:color w:val="auto"/>
                <w:spacing w:val="0"/>
                <w:sz w:val="24"/>
                <w:szCs w:val="24"/>
                <w:highlight w:val="none"/>
              </w:rPr>
              <w:t xml:space="preserve">  否</w:t>
            </w:r>
            <w:r>
              <w:rPr>
                <w:rFonts w:hint="default" w:ascii="Times New Roman" w:hAnsi="Times New Roman" w:eastAsia="仿宋_GB2312" w:cs="Times New Roman"/>
                <w:color w:val="auto"/>
                <w:spacing w:val="0"/>
                <w:sz w:val="24"/>
                <w:szCs w:val="24"/>
                <w:highlight w:val="none"/>
              </w:rPr>
              <w:sym w:font="Wingdings 2" w:char="00A3"/>
            </w:r>
            <w:r>
              <w:rPr>
                <w:rFonts w:hint="default" w:ascii="Times New Roman" w:hAnsi="Times New Roman" w:eastAsia="仿宋_GB2312" w:cs="Times New Roman"/>
                <w:color w:val="auto"/>
                <w:spacing w:val="0"/>
                <w:sz w:val="24"/>
                <w:szCs w:val="24"/>
                <w:highlight w:val="none"/>
                <w:lang w:val="en-US" w:eastAsia="zh-CN"/>
              </w:rPr>
              <w:t xml:space="preserve"> 不涉及</w:t>
            </w:r>
            <w:r>
              <w:rPr>
                <w:rFonts w:hint="default" w:ascii="Times New Roman" w:hAnsi="Times New Roman" w:eastAsia="仿宋_GB2312" w:cs="Times New Roman"/>
                <w:color w:val="auto"/>
                <w:spacing w:val="0"/>
                <w:sz w:val="24"/>
                <w:szCs w:val="24"/>
                <w:highlight w:val="none"/>
              </w:rPr>
              <w:sym w:font="Wingdings 2" w:char="F0A3"/>
            </w:r>
          </w:p>
        </w:tc>
        <w:tc>
          <w:tcPr>
            <w:tcW w:w="644" w:type="pct"/>
            <w:tcBorders>
              <w:top w:val="single" w:color="auto" w:sz="4" w:space="0"/>
              <w:left w:val="single" w:color="auto" w:sz="4" w:space="0"/>
              <w:bottom w:val="single" w:color="auto" w:sz="4" w:space="0"/>
              <w:right w:val="single" w:color="auto" w:sz="4" w:space="0"/>
            </w:tcBorders>
            <w:noWrap w:val="0"/>
            <w:vAlign w:val="top"/>
          </w:tcPr>
          <w:p w14:paraId="0B1811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p>
        </w:tc>
      </w:tr>
    </w:tbl>
    <w:p w14:paraId="63EBC4AA">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三、选择评估方法</w:t>
      </w:r>
    </w:p>
    <w:p w14:paraId="122EA3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采取多种评估方式全面了解企业服务保障体系建设情况。</w:t>
      </w:r>
    </w:p>
    <w:p w14:paraId="08C2A77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华文楷体" w:cs="Times New Roman"/>
          <w:b/>
          <w:bCs/>
          <w:color w:val="auto"/>
          <w:spacing w:val="0"/>
          <w:sz w:val="32"/>
          <w:szCs w:val="32"/>
          <w:highlight w:val="none"/>
          <w:lang w:val="en-US" w:eastAsia="zh-CN"/>
        </w:rPr>
      </w:pPr>
      <w:r>
        <w:rPr>
          <w:rFonts w:hint="default" w:ascii="Times New Roman" w:hAnsi="Times New Roman" w:eastAsia="华文楷体" w:cs="Times New Roman"/>
          <w:b/>
          <w:bCs/>
          <w:color w:val="auto"/>
          <w:spacing w:val="0"/>
          <w:sz w:val="32"/>
          <w:szCs w:val="32"/>
          <w:highlight w:val="none"/>
          <w:lang w:val="en-US" w:eastAsia="zh-CN"/>
        </w:rPr>
        <w:t>（一）座谈交流</w:t>
      </w:r>
    </w:p>
    <w:p w14:paraId="3A978E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与企业相关人员进行深入交流，了解企业服务保障体系规划及整体建设情况。</w:t>
      </w:r>
    </w:p>
    <w:p w14:paraId="15E51FA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华文楷体" w:cs="Times New Roman"/>
          <w:b/>
          <w:bCs/>
          <w:color w:val="auto"/>
          <w:spacing w:val="0"/>
          <w:sz w:val="32"/>
          <w:szCs w:val="32"/>
          <w:highlight w:val="none"/>
          <w:lang w:val="en-US" w:eastAsia="zh-CN"/>
        </w:rPr>
      </w:pPr>
      <w:r>
        <w:rPr>
          <w:rFonts w:hint="default" w:ascii="Times New Roman" w:hAnsi="Times New Roman" w:eastAsia="华文楷体" w:cs="Times New Roman"/>
          <w:b/>
          <w:bCs/>
          <w:color w:val="auto"/>
          <w:spacing w:val="0"/>
          <w:sz w:val="32"/>
          <w:szCs w:val="32"/>
          <w:highlight w:val="none"/>
          <w:lang w:val="en-US" w:eastAsia="zh-CN"/>
        </w:rPr>
        <w:t>（二）实地考察</w:t>
      </w:r>
    </w:p>
    <w:p w14:paraId="304A3E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现场实地查看企业的职场环境、服务设施、操作流程以及员工工作状态，判断企业实际服务能力及服务质量。</w:t>
      </w:r>
    </w:p>
    <w:p w14:paraId="00F0D83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华文楷体" w:cs="Times New Roman"/>
          <w:b/>
          <w:bCs/>
          <w:color w:val="auto"/>
          <w:spacing w:val="0"/>
          <w:sz w:val="32"/>
          <w:szCs w:val="32"/>
          <w:highlight w:val="none"/>
          <w:lang w:val="en-US" w:eastAsia="zh-CN"/>
        </w:rPr>
      </w:pPr>
      <w:r>
        <w:rPr>
          <w:rFonts w:hint="default" w:ascii="Times New Roman" w:hAnsi="Times New Roman" w:eastAsia="华文楷体" w:cs="Times New Roman"/>
          <w:b/>
          <w:bCs/>
          <w:color w:val="auto"/>
          <w:spacing w:val="0"/>
          <w:sz w:val="32"/>
          <w:szCs w:val="32"/>
          <w:highlight w:val="none"/>
          <w:lang w:val="en-US" w:eastAsia="zh-CN"/>
        </w:rPr>
        <w:t>（三）实际操作</w:t>
      </w:r>
    </w:p>
    <w:p w14:paraId="2B90D5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对企业服务保障平台相关功能进行现场模拟、操作，评估企业在服务保障平台功能建设方面的完备情况。</w:t>
      </w:r>
    </w:p>
    <w:p w14:paraId="384CB96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华文楷体" w:cs="Times New Roman"/>
          <w:b/>
          <w:bCs/>
          <w:color w:val="auto"/>
          <w:spacing w:val="0"/>
          <w:sz w:val="32"/>
          <w:szCs w:val="32"/>
          <w:highlight w:val="none"/>
          <w:lang w:val="en-US" w:eastAsia="zh-CN"/>
        </w:rPr>
      </w:pPr>
      <w:r>
        <w:rPr>
          <w:rFonts w:hint="default" w:ascii="Times New Roman" w:hAnsi="Times New Roman" w:eastAsia="华文楷体" w:cs="Times New Roman"/>
          <w:b/>
          <w:bCs/>
          <w:color w:val="auto"/>
          <w:spacing w:val="0"/>
          <w:sz w:val="32"/>
          <w:szCs w:val="32"/>
          <w:highlight w:val="none"/>
          <w:lang w:val="en-US" w:eastAsia="zh-CN"/>
        </w:rPr>
        <w:t>（四）资料审核</w:t>
      </w:r>
    </w:p>
    <w:p w14:paraId="4BEA77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查阅企业相关服务制度资料，包括服务制度文件、服务记录文档、培训资料、知识库内容等，全面评估企业在服务保障体系制度方面</w:t>
      </w:r>
      <w:r>
        <w:rPr>
          <w:rFonts w:hint="eastAsia" w:ascii="Times New Roman" w:hAnsi="Times New Roman" w:eastAsia="仿宋_GB2312" w:cs="Times New Roman"/>
          <w:color w:val="auto"/>
          <w:spacing w:val="0"/>
          <w:sz w:val="32"/>
          <w:szCs w:val="32"/>
          <w:highlight w:val="none"/>
          <w:lang w:val="en-US" w:eastAsia="zh-CN"/>
        </w:rPr>
        <w:t>的建设情况</w:t>
      </w:r>
      <w:r>
        <w:rPr>
          <w:rFonts w:hint="default" w:ascii="Times New Roman" w:hAnsi="Times New Roman" w:eastAsia="仿宋_GB2312" w:cs="Times New Roman"/>
          <w:color w:val="auto"/>
          <w:spacing w:val="0"/>
          <w:sz w:val="32"/>
          <w:szCs w:val="32"/>
          <w:highlight w:val="none"/>
          <w:lang w:val="en-US" w:eastAsia="zh-CN"/>
        </w:rPr>
        <w:t>。</w:t>
      </w:r>
    </w:p>
    <w:p w14:paraId="3BF47946">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四、组建评估团队</w:t>
      </w:r>
    </w:p>
    <w:p w14:paraId="6262A6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统筹协调单位根据实际需要，组建3人以上评估小组。评估小组由组长及组员组成</w:t>
      </w:r>
      <w:r>
        <w:rPr>
          <w:rFonts w:hint="default" w:ascii="Times New Roman" w:hAnsi="Times New Roman" w:eastAsia="仿宋_GB2312" w:cs="Times New Roman"/>
          <w:color w:val="auto"/>
          <w:spacing w:val="0"/>
          <w:kern w:val="2"/>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职责分工如下：</w:t>
      </w:r>
    </w:p>
    <w:p w14:paraId="1D12C15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组长：</w:t>
      </w:r>
      <w:r>
        <w:rPr>
          <w:rFonts w:hint="default" w:ascii="Times New Roman" w:hAnsi="Times New Roman" w:eastAsia="仿宋_GB2312" w:cs="Times New Roman"/>
          <w:color w:val="auto"/>
          <w:spacing w:val="0"/>
          <w:sz w:val="32"/>
          <w:szCs w:val="32"/>
          <w:highlight w:val="none"/>
          <w:lang w:val="en-US" w:eastAsia="zh-CN"/>
        </w:rPr>
        <w:t>负责全面指导和协调评估工作，确保评估过程的公正、客观和高效。负责制定评估计划，明确评估目标和方法。负责组织召开评估会议，协调各方资源。负责监督评估进度，确保评估工作按时完成。负责对评估结果进行审核和汇总，形成最终评估报告。</w:t>
      </w:r>
    </w:p>
    <w:p w14:paraId="34BB970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color w:val="auto"/>
          <w:spacing w:val="0"/>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组员：</w:t>
      </w:r>
      <w:r>
        <w:rPr>
          <w:rFonts w:hint="default" w:ascii="Times New Roman" w:hAnsi="Times New Roman" w:eastAsia="仿宋_GB2312" w:cs="Times New Roman"/>
          <w:color w:val="auto"/>
          <w:spacing w:val="0"/>
          <w:sz w:val="32"/>
          <w:szCs w:val="32"/>
          <w:highlight w:val="none"/>
          <w:lang w:val="en-US" w:eastAsia="zh-CN"/>
        </w:rPr>
        <w:t>根据组长工作安排，开展评估工作。负责根据评估计划，深入企业进行实地考察、交流，评估企业服务保障体系建设情况。负责分析企业提供的资料和数据，进行专业评估和判断。负责撰写评估报告，提出改进意见和建议。负责参与评估结果的讨论和汇总，为组长提供决策支持。</w:t>
      </w:r>
    </w:p>
    <w:p w14:paraId="60D22137">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五、确定评估周期</w:t>
      </w:r>
    </w:p>
    <w:p w14:paraId="57741DA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首次评估：</w:t>
      </w:r>
      <w:r>
        <w:rPr>
          <w:rFonts w:hint="default" w:ascii="Times New Roman" w:hAnsi="Times New Roman" w:eastAsia="仿宋_GB2312" w:cs="Times New Roman"/>
          <w:color w:val="auto"/>
          <w:spacing w:val="0"/>
          <w:sz w:val="32"/>
          <w:szCs w:val="32"/>
          <w:highlight w:val="none"/>
          <w:lang w:val="en-US" w:eastAsia="zh-CN"/>
        </w:rPr>
        <w:t>在确定框采</w:t>
      </w:r>
      <w:r>
        <w:rPr>
          <w:rFonts w:hint="eastAsia" w:ascii="Times New Roman" w:hAnsi="Times New Roman" w:eastAsia="仿宋_GB2312" w:cs="Times New Roman"/>
          <w:color w:val="auto"/>
          <w:spacing w:val="0"/>
          <w:sz w:val="32"/>
          <w:szCs w:val="32"/>
          <w:highlight w:val="none"/>
          <w:lang w:val="en-US" w:eastAsia="zh-CN"/>
        </w:rPr>
        <w:t>项目</w:t>
      </w:r>
      <w:r>
        <w:rPr>
          <w:rFonts w:hint="default" w:ascii="Times New Roman" w:hAnsi="Times New Roman" w:eastAsia="仿宋_GB2312" w:cs="Times New Roman"/>
          <w:color w:val="auto"/>
          <w:spacing w:val="0"/>
          <w:sz w:val="32"/>
          <w:szCs w:val="32"/>
          <w:highlight w:val="none"/>
          <w:lang w:val="en-US" w:eastAsia="zh-CN"/>
        </w:rPr>
        <w:t>入围企业名单1个月内，对各企业开展首次评估，评估工作应在启动后1个月内完成。对于在投标时承诺收到中标通知书2个月内提供服务保障体系并通过征集人核验的企业，在企业完成准备后开始评估，整体在中标通知书发出后2个月内完成。</w:t>
      </w:r>
    </w:p>
    <w:p w14:paraId="527514D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持续评估：</w:t>
      </w:r>
      <w:r>
        <w:rPr>
          <w:rFonts w:hint="default" w:ascii="Times New Roman" w:hAnsi="Times New Roman" w:eastAsia="仿宋_GB2312" w:cs="Times New Roman"/>
          <w:color w:val="auto"/>
          <w:spacing w:val="0"/>
          <w:sz w:val="32"/>
          <w:szCs w:val="32"/>
          <w:highlight w:val="none"/>
          <w:lang w:val="en-US" w:eastAsia="zh-CN"/>
        </w:rPr>
        <w:t>根据各企业完成首次评估的时间，每年开展1次评估工作。</w:t>
      </w:r>
    </w:p>
    <w:p w14:paraId="61F54740">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六、评估结果应用</w:t>
      </w:r>
    </w:p>
    <w:p w14:paraId="320CC8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统筹协调单位在开展服务保障</w:t>
      </w:r>
      <w:r>
        <w:rPr>
          <w:rFonts w:hint="eastAsia" w:ascii="Times New Roman" w:hAnsi="Times New Roman" w:eastAsia="仿宋_GB2312" w:cs="Times New Roman"/>
          <w:color w:val="auto"/>
          <w:spacing w:val="0"/>
          <w:sz w:val="32"/>
          <w:szCs w:val="32"/>
          <w:highlight w:val="none"/>
          <w:lang w:val="en-US" w:eastAsia="zh-CN"/>
        </w:rPr>
        <w:t>体系</w:t>
      </w:r>
      <w:r>
        <w:rPr>
          <w:rFonts w:hint="default" w:ascii="Times New Roman" w:hAnsi="Times New Roman" w:eastAsia="仿宋_GB2312" w:cs="Times New Roman"/>
          <w:color w:val="auto"/>
          <w:spacing w:val="0"/>
          <w:sz w:val="32"/>
          <w:szCs w:val="32"/>
          <w:highlight w:val="none"/>
          <w:lang w:val="en-US" w:eastAsia="zh-CN"/>
        </w:rPr>
        <w:t>建设情况评估时，受评估企业应积极配合开展相关工作，并主动提供相关佐证材料。</w:t>
      </w:r>
    </w:p>
    <w:p w14:paraId="64D544E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评估结果分为</w:t>
      </w:r>
      <w:r>
        <w:rPr>
          <w:rFonts w:hint="default" w:ascii="Times New Roman" w:hAnsi="Times New Roman" w:eastAsia="仿宋_GB2312" w:cs="Times New Roman"/>
          <w:b/>
          <w:bCs/>
          <w:color w:val="auto"/>
          <w:spacing w:val="0"/>
          <w:sz w:val="32"/>
          <w:szCs w:val="32"/>
          <w:highlight w:val="none"/>
          <w:lang w:val="en-US" w:eastAsia="zh-CN"/>
        </w:rPr>
        <w:t>优秀、合格、基本合格和不合格</w:t>
      </w:r>
      <w:r>
        <w:rPr>
          <w:rFonts w:hint="default" w:ascii="Times New Roman" w:hAnsi="Times New Roman" w:eastAsia="仿宋_GB2312" w:cs="Times New Roman"/>
          <w:color w:val="auto"/>
          <w:spacing w:val="0"/>
          <w:sz w:val="32"/>
          <w:szCs w:val="32"/>
          <w:highlight w:val="none"/>
          <w:lang w:val="en-US" w:eastAsia="zh-CN"/>
        </w:rPr>
        <w:t>。统筹协调单位根据服务保障建设情况评估表进行打分，所有评估项全部合格为优秀，1-2项不合格为合格，3项不合格为基本合格，4项及以上不合格为不合格。最终评估结果由统筹协调单位发布，评估结果将作为对框采项目入围企业奖惩的重要参考依据。</w:t>
      </w:r>
    </w:p>
    <w:p w14:paraId="356FF6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对于评估结果为优秀或合格的企业，其在框架协议内产品供应商或集成服务商资格不受影响。</w:t>
      </w:r>
    </w:p>
    <w:p w14:paraId="72BA0AF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对于评估结果为基本合格的企业，暂停其在框架协议内产品供应商或集成服务商资格。</w:t>
      </w:r>
    </w:p>
    <w:p w14:paraId="7A4436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spacing w:val="0"/>
          <w:sz w:val="32"/>
          <w:szCs w:val="32"/>
          <w:highlight w:val="none"/>
          <w:lang w:val="en-US" w:eastAsia="zh-CN"/>
        </w:rPr>
        <w:sectPr>
          <w:pgSz w:w="11906" w:h="16838"/>
          <w:pgMar w:top="2098" w:right="1474" w:bottom="1440" w:left="1587" w:header="851" w:footer="992" w:gutter="0"/>
          <w:pgNumType w:fmt="decimal"/>
          <w:cols w:space="720" w:num="1"/>
          <w:docGrid w:type="lines" w:linePitch="312" w:charSpace="0"/>
        </w:sectPr>
      </w:pPr>
      <w:r>
        <w:rPr>
          <w:rFonts w:hint="default" w:ascii="Times New Roman" w:hAnsi="Times New Roman" w:eastAsia="仿宋_GB2312" w:cs="Times New Roman"/>
          <w:color w:val="auto"/>
          <w:spacing w:val="0"/>
          <w:sz w:val="32"/>
          <w:szCs w:val="32"/>
          <w:highlight w:val="none"/>
          <w:lang w:val="en-US" w:eastAsia="zh-CN"/>
        </w:rPr>
        <w:t>对于评估结果为不合格的企业，终止其在框架协议内产品供应商或集成服务商资格</w:t>
      </w:r>
      <w:bookmarkStart w:id="0" w:name="_GoBack"/>
      <w:bookmarkEnd w:id="0"/>
    </w:p>
    <w:p w14:paraId="6B8B77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楷体">
    <w:altName w:val="方正楷体_GBK"/>
    <w:panose1 w:val="02010600040101010101"/>
    <w:charset w:val="00"/>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B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2025-06-26T10:06:34Z</dcterms:created>
  <dc:creator>SHINELON</dc:creator>
  <cp:lastModifiedBy>Sakura.</cp:lastModifiedBy>
  <dcterms:modified xsi:type="dcterms:W3CDTF">2025-06-26T10:06:58Z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eyJoZGlkIjoiYjcxNzI1YTQ4ZGVkOTc4NTc4YTljNDI0YTFjYjUzMWMiLCJ1c2VySWQiOiI0OTc1MzI4MDQifQ==</vt:lpwstr>
  </property>
  <property fmtid="{D5CDD505-2E9C-101B-9397-08002B2CF9AE}" pid="4" name="ICV">
    <vt:lpwstr>24E6A78829854DE48A64A5E56F9BCEEF_12</vt:lpwstr>
  </property>
</Properties>
</file>