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Times New Roman Regular" w:hAnsi="Times New Roman Regular" w:eastAsia="黑体" w:cs="Times New Roman Regular"/>
          <w:snapToGrid w:val="0"/>
          <w:sz w:val="32"/>
          <w:szCs w:val="32"/>
        </w:rPr>
      </w:pPr>
      <w:bookmarkStart w:id="0" w:name="_GoBack"/>
      <w:r>
        <w:rPr>
          <w:rFonts w:ascii="Times New Roman Regular" w:hAnsi="Times New Roman Regular" w:eastAsia="黑体" w:cs="Times New Roman Regular"/>
          <w:snapToGrid w:val="0"/>
          <w:sz w:val="32"/>
          <w:szCs w:val="32"/>
        </w:rPr>
        <w:t>附件3</w:t>
      </w:r>
    </w:p>
    <w:p>
      <w:pPr>
        <w:adjustRightInd w:val="0"/>
        <w:snapToGrid w:val="0"/>
        <w:spacing w:before="405" w:beforeLines="130" w:after="405" w:afterLines="130" w:line="560" w:lineRule="exact"/>
        <w:jc w:val="left"/>
        <w:rPr>
          <w:rFonts w:ascii="Times New Roman Regular" w:hAnsi="Times New Roman Regular" w:eastAsia="黑体" w:cs="Times New Roman Regular"/>
          <w:snapToGrid w:val="0"/>
          <w:sz w:val="32"/>
          <w:szCs w:val="32"/>
        </w:rPr>
      </w:pPr>
    </w:p>
    <w:p>
      <w:pPr>
        <w:adjustRightInd w:val="0"/>
        <w:snapToGrid w:val="0"/>
        <w:spacing w:before="405" w:beforeLines="130" w:after="405" w:afterLines="130" w:line="560" w:lineRule="exact"/>
        <w:jc w:val="left"/>
        <w:rPr>
          <w:rFonts w:ascii="Times New Roman Regular" w:hAnsi="Times New Roman Regular" w:eastAsia="黑体" w:cs="Times New Roman Regular"/>
          <w:snapToGrid w:val="0"/>
          <w:sz w:val="32"/>
          <w:szCs w:val="32"/>
        </w:rPr>
      </w:pPr>
    </w:p>
    <w:p>
      <w:pPr>
        <w:adjustRightInd w:val="0"/>
        <w:snapToGrid w:val="0"/>
        <w:spacing w:line="530" w:lineRule="exact"/>
        <w:ind w:firstLine="2173" w:firstLineChars="494"/>
        <w:rPr>
          <w:rFonts w:ascii="方正小标宋_GBK" w:hAnsi="方正小标宋_GBK" w:eastAsia="方正小标宋_GBK" w:cs="方正小标宋_GBK"/>
          <w:kern w:val="32"/>
          <w:sz w:val="44"/>
          <w:szCs w:val="44"/>
        </w:rPr>
      </w:pPr>
      <w:r>
        <w:rPr>
          <w:rFonts w:hint="eastAsia" w:ascii="方正小标宋_GBK" w:hAnsi="方正小标宋_GBK" w:eastAsia="方正小标宋_GBK" w:cs="方正小标宋_GBK"/>
          <w:kern w:val="32"/>
          <w:sz w:val="44"/>
          <w:szCs w:val="44"/>
        </w:rPr>
        <w:t>2023年全区</w:t>
      </w:r>
      <w:r>
        <w:rPr>
          <w:rFonts w:hint="eastAsia" w:ascii="方正小标宋_GBK" w:hAnsi="方正小标宋_GBK" w:eastAsia="方正小标宋_GBK" w:cs="方正小标宋_GBK"/>
          <w:kern w:val="32"/>
          <w:sz w:val="44"/>
          <w:szCs w:val="44"/>
          <w:lang w:eastAsia="zh-CN"/>
        </w:rPr>
        <w:t>政府网站与政务新媒体</w:t>
      </w:r>
      <w:r>
        <w:rPr>
          <w:rFonts w:hint="eastAsia" w:ascii="方正小标宋_GBK" w:hAnsi="方正小标宋_GBK" w:eastAsia="方正小标宋_GBK" w:cs="方正小标宋_GBK"/>
          <w:kern w:val="32"/>
          <w:sz w:val="44"/>
          <w:szCs w:val="44"/>
        </w:rPr>
        <w:t>绩效评估指标</w:t>
      </w:r>
    </w:p>
    <w:bookmarkEnd w:id="0"/>
    <w:p>
      <w:pPr>
        <w:adjustRightInd w:val="0"/>
        <w:snapToGrid w:val="0"/>
        <w:spacing w:before="405" w:beforeLines="130" w:after="405" w:afterLines="130" w:line="560" w:lineRule="exact"/>
        <w:jc w:val="center"/>
        <w:outlineLvl w:val="0"/>
        <w:rPr>
          <w:rFonts w:ascii="Times New Roman Regular" w:hAnsi="Times New Roman Regular" w:eastAsia="黑体" w:cs="Times New Roman Regular"/>
          <w:snapToGrid w:val="0"/>
          <w:sz w:val="32"/>
          <w:szCs w:val="32"/>
        </w:rPr>
      </w:pPr>
    </w:p>
    <w:p>
      <w:pPr>
        <w:adjustRightInd w:val="0"/>
        <w:snapToGrid w:val="0"/>
        <w:spacing w:before="405" w:beforeLines="130" w:after="405" w:afterLines="130" w:line="560" w:lineRule="exact"/>
        <w:jc w:val="center"/>
        <w:outlineLvl w:val="0"/>
        <w:rPr>
          <w:rFonts w:ascii="Times New Roman Regular" w:hAnsi="Times New Roman Regular" w:eastAsia="黑体" w:cs="Times New Roman Regular"/>
          <w:snapToGrid w:val="0"/>
          <w:sz w:val="32"/>
          <w:szCs w:val="32"/>
        </w:rPr>
      </w:pPr>
    </w:p>
    <w:p>
      <w:pPr>
        <w:adjustRightInd w:val="0"/>
        <w:snapToGrid w:val="0"/>
        <w:spacing w:before="405" w:beforeLines="130" w:after="405" w:afterLines="130" w:line="560" w:lineRule="exact"/>
        <w:jc w:val="center"/>
        <w:outlineLvl w:val="0"/>
        <w:rPr>
          <w:rFonts w:ascii="Times New Roman Regular" w:hAnsi="Times New Roman Regular" w:eastAsia="黑体" w:cs="Times New Roman Regular"/>
          <w:snapToGrid w:val="0"/>
          <w:sz w:val="32"/>
          <w:szCs w:val="32"/>
        </w:rPr>
      </w:pPr>
    </w:p>
    <w:p>
      <w:pPr>
        <w:adjustRightInd w:val="0"/>
        <w:snapToGrid w:val="0"/>
        <w:spacing w:before="405" w:beforeLines="130" w:after="405" w:afterLines="130" w:line="560" w:lineRule="exact"/>
        <w:jc w:val="center"/>
        <w:outlineLvl w:val="0"/>
        <w:rPr>
          <w:rFonts w:ascii="Times New Roman Regular" w:hAnsi="Times New Roman Regular" w:eastAsia="黑体" w:cs="Times New Roman Regular"/>
          <w:snapToGrid w:val="0"/>
          <w:sz w:val="32"/>
          <w:szCs w:val="32"/>
        </w:rPr>
      </w:pPr>
    </w:p>
    <w:p>
      <w:pPr>
        <w:adjustRightInd w:val="0"/>
        <w:snapToGrid w:val="0"/>
        <w:spacing w:before="405" w:beforeLines="130" w:after="405" w:afterLines="130" w:line="560" w:lineRule="exact"/>
        <w:jc w:val="center"/>
        <w:outlineLvl w:val="0"/>
        <w:rPr>
          <w:rFonts w:ascii="Times New Roman Regular" w:hAnsi="Times New Roman Regular" w:eastAsia="黑体" w:cs="Times New Roman Regular"/>
          <w:snapToGrid w:val="0"/>
          <w:sz w:val="32"/>
          <w:szCs w:val="32"/>
        </w:rPr>
      </w:pPr>
      <w:r>
        <w:rPr>
          <w:rFonts w:ascii="Times New Roman Regular" w:hAnsi="Times New Roman Regular" w:eastAsia="黑体" w:cs="Times New Roman Regular"/>
          <w:snapToGrid w:val="0"/>
          <w:sz w:val="32"/>
          <w:szCs w:val="32"/>
        </w:rPr>
        <w:t>一、自治区部门</w:t>
      </w:r>
      <w:r>
        <w:rPr>
          <w:rFonts w:hint="eastAsia" w:ascii="Times New Roman Regular" w:hAnsi="Times New Roman Regular" w:eastAsia="黑体" w:cs="Times New Roman Regular"/>
          <w:snapToGrid w:val="0"/>
          <w:sz w:val="32"/>
          <w:szCs w:val="32"/>
          <w:lang w:val="en-US" w:eastAsia="zh-CN"/>
        </w:rPr>
        <w:t>网站</w:t>
      </w:r>
      <w:r>
        <w:rPr>
          <w:rFonts w:ascii="Times New Roman Regular" w:hAnsi="Times New Roman Regular" w:eastAsia="黑体" w:cs="Times New Roman Regular"/>
          <w:snapToGrid w:val="0"/>
          <w:sz w:val="32"/>
          <w:szCs w:val="32"/>
        </w:rPr>
        <w:t>评估指标</w:t>
      </w:r>
    </w:p>
    <w:tbl>
      <w:tblPr>
        <w:tblStyle w:val="5"/>
        <w:tblW w:w="13173" w:type="dxa"/>
        <w:tblInd w:w="11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4"/>
        <w:gridCol w:w="1134"/>
        <w:gridCol w:w="1134"/>
        <w:gridCol w:w="709"/>
        <w:gridCol w:w="90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blHeader/>
        </w:trPr>
        <w:tc>
          <w:tcPr>
            <w:tcW w:w="1124" w:type="dxa"/>
            <w:tcBorders>
              <w:tl2br w:val="nil"/>
              <w:tr2bl w:val="nil"/>
            </w:tcBorders>
            <w:noWrap/>
            <w:vAlign w:val="center"/>
          </w:tcPr>
          <w:p>
            <w:pPr>
              <w:adjustRightInd w:val="0"/>
              <w:snapToGrid w:val="0"/>
              <w:spacing w:line="500" w:lineRule="exact"/>
              <w:jc w:val="center"/>
              <w:textAlignment w:val="center"/>
              <w:rPr>
                <w:rFonts w:ascii="Times New Roman Regular" w:hAnsi="Times New Roman Regular" w:eastAsia="方正黑体_GBK" w:cs="Times New Roman Regular"/>
                <w:kern w:val="0"/>
                <w:szCs w:val="21"/>
              </w:rPr>
            </w:pPr>
            <w:r>
              <w:rPr>
                <w:rFonts w:hint="eastAsia" w:ascii="Times New Roman Regular" w:hAnsi="Times New Roman Regular" w:eastAsia="方正黑体_GBK" w:cs="Times New Roman Regular"/>
                <w:kern w:val="0"/>
                <w:sz w:val="21"/>
                <w:szCs w:val="21"/>
              </w:rPr>
              <w:t>一级指标</w:t>
            </w:r>
          </w:p>
        </w:tc>
        <w:tc>
          <w:tcPr>
            <w:tcW w:w="1134" w:type="dxa"/>
            <w:tcBorders>
              <w:tl2br w:val="nil"/>
              <w:tr2bl w:val="nil"/>
            </w:tcBorders>
            <w:noWrap/>
            <w:vAlign w:val="center"/>
          </w:tcPr>
          <w:p>
            <w:pPr>
              <w:adjustRightInd w:val="0"/>
              <w:snapToGrid w:val="0"/>
              <w:spacing w:line="500" w:lineRule="exact"/>
              <w:jc w:val="center"/>
              <w:textAlignment w:val="center"/>
              <w:rPr>
                <w:rFonts w:ascii="Times New Roman Regular" w:hAnsi="Times New Roman Regular" w:eastAsia="方正黑体_GBK" w:cs="Times New Roman Regular"/>
                <w:kern w:val="0"/>
                <w:szCs w:val="21"/>
              </w:rPr>
            </w:pPr>
            <w:r>
              <w:rPr>
                <w:rFonts w:hint="eastAsia" w:ascii="Times New Roman Regular" w:hAnsi="Times New Roman Regular" w:eastAsia="方正黑体_GBK" w:cs="Times New Roman Regular"/>
                <w:kern w:val="0"/>
                <w:sz w:val="21"/>
                <w:szCs w:val="21"/>
              </w:rPr>
              <w:t>二级指标</w:t>
            </w:r>
          </w:p>
        </w:tc>
        <w:tc>
          <w:tcPr>
            <w:tcW w:w="1134" w:type="dxa"/>
            <w:tcBorders>
              <w:tl2br w:val="nil"/>
              <w:tr2bl w:val="nil"/>
            </w:tcBorders>
            <w:noWrap/>
            <w:vAlign w:val="center"/>
          </w:tcPr>
          <w:p>
            <w:pPr>
              <w:adjustRightInd w:val="0"/>
              <w:snapToGrid w:val="0"/>
              <w:spacing w:line="500" w:lineRule="exact"/>
              <w:jc w:val="center"/>
              <w:textAlignment w:val="center"/>
              <w:rPr>
                <w:rFonts w:ascii="Times New Roman Regular" w:hAnsi="Times New Roman Regular" w:eastAsia="方正黑体_GBK" w:cs="Times New Roman Regular"/>
                <w:kern w:val="0"/>
                <w:szCs w:val="21"/>
              </w:rPr>
            </w:pPr>
            <w:r>
              <w:rPr>
                <w:rFonts w:hint="eastAsia" w:ascii="Times New Roman Regular" w:hAnsi="Times New Roman Regular" w:eastAsia="方正黑体_GBK" w:cs="Times New Roman Regular"/>
                <w:kern w:val="0"/>
                <w:sz w:val="21"/>
                <w:szCs w:val="21"/>
              </w:rPr>
              <w:t>三级指标</w:t>
            </w:r>
          </w:p>
        </w:tc>
        <w:tc>
          <w:tcPr>
            <w:tcW w:w="709" w:type="dxa"/>
            <w:tcBorders>
              <w:tl2br w:val="nil"/>
              <w:tr2bl w:val="nil"/>
            </w:tcBorders>
            <w:noWrap/>
            <w:vAlign w:val="center"/>
          </w:tcPr>
          <w:p>
            <w:pPr>
              <w:adjustRightInd w:val="0"/>
              <w:snapToGrid w:val="0"/>
              <w:spacing w:line="500" w:lineRule="exact"/>
              <w:jc w:val="center"/>
              <w:textAlignment w:val="center"/>
              <w:rPr>
                <w:rFonts w:ascii="Times New Roman Regular" w:hAnsi="Times New Roman Regular" w:eastAsia="方正黑体_GBK" w:cs="Times New Roman Regular"/>
                <w:kern w:val="0"/>
                <w:szCs w:val="21"/>
              </w:rPr>
            </w:pPr>
            <w:r>
              <w:rPr>
                <w:rFonts w:hint="eastAsia" w:ascii="Times New Roman Regular" w:hAnsi="Times New Roman Regular" w:eastAsia="方正黑体_GBK" w:cs="Times New Roman Regular"/>
                <w:kern w:val="0"/>
                <w:sz w:val="21"/>
                <w:szCs w:val="21"/>
              </w:rPr>
              <w:t>权重</w:t>
            </w:r>
          </w:p>
        </w:tc>
        <w:tc>
          <w:tcPr>
            <w:tcW w:w="9072" w:type="dxa"/>
            <w:tcBorders>
              <w:tl2br w:val="nil"/>
              <w:tr2bl w:val="nil"/>
            </w:tcBorders>
            <w:noWrap w:val="0"/>
            <w:vAlign w:val="center"/>
          </w:tcPr>
          <w:p>
            <w:pPr>
              <w:adjustRightInd w:val="0"/>
              <w:snapToGrid w:val="0"/>
              <w:spacing w:line="500" w:lineRule="exact"/>
              <w:jc w:val="center"/>
              <w:textAlignment w:val="center"/>
              <w:rPr>
                <w:rFonts w:ascii="Times New Roman Regular" w:hAnsi="Times New Roman Regular" w:eastAsia="方正黑体_GBK" w:cs="Times New Roman Regular"/>
                <w:kern w:val="0"/>
                <w:szCs w:val="21"/>
              </w:rPr>
            </w:pPr>
            <w:r>
              <w:rPr>
                <w:rFonts w:hint="eastAsia" w:ascii="Times New Roman Regular" w:hAnsi="Times New Roman Regular" w:eastAsia="方正黑体_GBK" w:cs="Times New Roman Regular"/>
                <w:kern w:val="0"/>
                <w:sz w:val="21"/>
                <w:szCs w:val="21"/>
              </w:rPr>
              <w:t>评估内容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restart"/>
            <w:tcBorders>
              <w:tl2br w:val="nil"/>
              <w:tr2bl w:val="nil"/>
            </w:tcBorders>
            <w:noWrap w:val="0"/>
            <w:vAlign w:val="center"/>
          </w:tcPr>
          <w:p>
            <w:pPr>
              <w:widowControl/>
              <w:spacing w:line="240" w:lineRule="auto"/>
              <w:jc w:val="center"/>
              <w:rPr>
                <w:rFonts w:hint="eastAsia" w:ascii="仿宋_GB2312" w:hAnsi="等线" w:cs="宋体"/>
                <w:kern w:val="0"/>
                <w:sz w:val="21"/>
                <w:szCs w:val="21"/>
              </w:rPr>
            </w:pPr>
          </w:p>
          <w:p>
            <w:pPr>
              <w:widowControl/>
              <w:spacing w:line="240" w:lineRule="auto"/>
              <w:jc w:val="center"/>
              <w:rPr>
                <w:rFonts w:hint="eastAsia" w:ascii="仿宋_GB2312" w:hAnsi="等线" w:cs="宋体"/>
                <w:kern w:val="0"/>
                <w:sz w:val="21"/>
                <w:szCs w:val="21"/>
              </w:rPr>
            </w:pPr>
          </w:p>
          <w:p>
            <w:pPr>
              <w:widowControl/>
              <w:spacing w:line="240" w:lineRule="auto"/>
              <w:jc w:val="center"/>
              <w:rPr>
                <w:rFonts w:hint="eastAsia" w:ascii="仿宋_GB2312" w:hAnsi="等线" w:cs="宋体"/>
                <w:kern w:val="0"/>
                <w:sz w:val="21"/>
                <w:szCs w:val="21"/>
              </w:rPr>
            </w:pPr>
          </w:p>
          <w:p>
            <w:pPr>
              <w:widowControl/>
              <w:spacing w:line="240" w:lineRule="auto"/>
              <w:jc w:val="center"/>
              <w:rPr>
                <w:rFonts w:hint="eastAsia" w:ascii="仿宋_GB2312" w:hAnsi="等线" w:cs="宋体"/>
                <w:kern w:val="0"/>
                <w:sz w:val="21"/>
                <w:szCs w:val="21"/>
              </w:rPr>
            </w:pPr>
          </w:p>
          <w:p>
            <w:pPr>
              <w:widowControl/>
              <w:spacing w:line="240" w:lineRule="auto"/>
              <w:jc w:val="center"/>
              <w:rPr>
                <w:rFonts w:hint="eastAsia" w:ascii="仿宋_GB2312" w:hAnsi="等线" w:cs="宋体"/>
                <w:kern w:val="0"/>
                <w:sz w:val="21"/>
                <w:szCs w:val="21"/>
              </w:rPr>
            </w:pPr>
          </w:p>
          <w:p>
            <w:pPr>
              <w:widowControl/>
              <w:spacing w:line="240" w:lineRule="auto"/>
              <w:jc w:val="center"/>
              <w:rPr>
                <w:rFonts w:hint="eastAsia" w:ascii="仿宋_GB2312" w:hAnsi="等线" w:cs="宋体"/>
                <w:kern w:val="0"/>
                <w:sz w:val="21"/>
                <w:szCs w:val="21"/>
              </w:rPr>
            </w:pPr>
          </w:p>
          <w:p>
            <w:pPr>
              <w:widowControl/>
              <w:spacing w:line="240" w:lineRule="auto"/>
              <w:jc w:val="center"/>
              <w:rPr>
                <w:rFonts w:hint="eastAsia" w:ascii="仿宋_GB2312" w:hAnsi="等线" w:cs="宋体"/>
                <w:kern w:val="0"/>
                <w:sz w:val="21"/>
                <w:szCs w:val="21"/>
              </w:rPr>
            </w:pPr>
            <w:r>
              <w:rPr>
                <w:rFonts w:hint="eastAsia" w:ascii="仿宋_GB2312" w:hAnsi="等线" w:cs="宋体"/>
                <w:kern w:val="0"/>
                <w:sz w:val="21"/>
                <w:szCs w:val="21"/>
              </w:rPr>
              <w:t>发布解读（44</w:t>
            </w:r>
            <w:r>
              <w:rPr>
                <w:rFonts w:hint="eastAsia" w:ascii="仿宋_GB2312" w:hAnsi="等线" w:cs="宋体"/>
                <w:kern w:val="0"/>
                <w:sz w:val="21"/>
                <w:szCs w:val="21"/>
                <w:lang w:val="en-US" w:eastAsia="zh-CN"/>
              </w:rPr>
              <w:t>分</w:t>
            </w:r>
            <w:r>
              <w:rPr>
                <w:rFonts w:hint="eastAsia" w:ascii="仿宋_GB2312" w:hAnsi="等线" w:cs="宋体"/>
                <w:kern w:val="0"/>
                <w:sz w:val="21"/>
                <w:szCs w:val="21"/>
              </w:rPr>
              <w:t>）</w:t>
            </w:r>
          </w:p>
          <w:p>
            <w:pPr>
              <w:pStyle w:val="2"/>
              <w:rPr>
                <w:rFonts w:hint="eastAsia"/>
              </w:rPr>
            </w:pPr>
          </w:p>
          <w:p>
            <w:pPr>
              <w:pStyle w:val="3"/>
              <w:spacing w:line="240" w:lineRule="auto"/>
              <w:rPr>
                <w:rFonts w:hint="eastAsia"/>
              </w:rPr>
            </w:pPr>
          </w:p>
          <w:p>
            <w:pPr>
              <w:spacing w:line="240" w:lineRule="auto"/>
              <w:rPr>
                <w:rFonts w:hint="eastAsia"/>
              </w:rPr>
            </w:pPr>
          </w:p>
          <w:p>
            <w:pPr>
              <w:pStyle w:val="2"/>
              <w:rPr>
                <w:rFonts w:hint="eastAsia"/>
              </w:rPr>
            </w:pPr>
          </w:p>
          <w:p>
            <w:pPr>
              <w:pStyle w:val="3"/>
              <w:spacing w:line="240" w:lineRule="auto"/>
              <w:rPr>
                <w:rFonts w:hint="eastAsia"/>
              </w:rPr>
            </w:pPr>
          </w:p>
          <w:p>
            <w:pPr>
              <w:spacing w:line="240" w:lineRule="auto"/>
              <w:rPr>
                <w:rFonts w:hint="eastAsia"/>
              </w:rPr>
            </w:pPr>
          </w:p>
          <w:p>
            <w:pPr>
              <w:pStyle w:val="2"/>
              <w:rPr>
                <w:rFonts w:hint="eastAsia"/>
              </w:rPr>
            </w:pPr>
          </w:p>
          <w:p>
            <w:pPr>
              <w:pStyle w:val="3"/>
              <w:spacing w:line="240" w:lineRule="auto"/>
              <w:rPr>
                <w:rFonts w:hint="eastAsia"/>
              </w:rPr>
            </w:pPr>
          </w:p>
          <w:p>
            <w:pPr>
              <w:pStyle w:val="3"/>
              <w:spacing w:line="240" w:lineRule="auto"/>
              <w:jc w:val="both"/>
              <w:rPr>
                <w:rFonts w:hint="eastAsia"/>
              </w:rPr>
            </w:pPr>
          </w:p>
          <w:p>
            <w:pPr>
              <w:pStyle w:val="3"/>
              <w:spacing w:line="240" w:lineRule="auto"/>
              <w:jc w:val="both"/>
              <w:rPr>
                <w:rFonts w:hint="eastAsia"/>
              </w:rPr>
            </w:pPr>
          </w:p>
          <w:p>
            <w:pPr>
              <w:pStyle w:val="3"/>
              <w:spacing w:line="240" w:lineRule="auto"/>
              <w:jc w:val="both"/>
              <w:rPr>
                <w:rFonts w:hint="eastAsia"/>
              </w:rPr>
            </w:pPr>
          </w:p>
          <w:p>
            <w:pPr>
              <w:pStyle w:val="3"/>
              <w:spacing w:line="240" w:lineRule="auto"/>
              <w:jc w:val="both"/>
              <w:rPr>
                <w:rFonts w:hint="eastAsia"/>
              </w:rPr>
            </w:pPr>
          </w:p>
          <w:p>
            <w:pPr>
              <w:spacing w:line="240" w:lineRule="auto"/>
              <w:jc w:val="center"/>
            </w:pPr>
            <w:r>
              <w:rPr>
                <w:rFonts w:hint="eastAsia" w:ascii="仿宋_GB2312" w:hAnsi="等线" w:eastAsia="仿宋_GB2312" w:cs="宋体"/>
                <w:kern w:val="0"/>
                <w:sz w:val="21"/>
                <w:szCs w:val="21"/>
              </w:rPr>
              <w:t>发布解读（44</w:t>
            </w:r>
            <w:r>
              <w:rPr>
                <w:rFonts w:hint="eastAsia" w:ascii="仿宋_GB2312" w:hAnsi="等线" w:cs="宋体"/>
                <w:kern w:val="0"/>
                <w:sz w:val="21"/>
                <w:szCs w:val="21"/>
                <w:lang w:val="en-US" w:eastAsia="zh-CN"/>
              </w:rPr>
              <w:t>分</w:t>
            </w:r>
            <w:r>
              <w:rPr>
                <w:rFonts w:hint="eastAsia" w:ascii="仿宋_GB2312" w:hAnsi="等线" w:eastAsia="仿宋_GB2312" w:cs="宋体"/>
                <w:kern w:val="0"/>
                <w:sz w:val="21"/>
                <w:szCs w:val="21"/>
              </w:rPr>
              <w:t>）</w:t>
            </w:r>
          </w:p>
        </w:tc>
        <w:tc>
          <w:tcPr>
            <w:tcW w:w="1134" w:type="dxa"/>
            <w:vMerge w:val="restart"/>
            <w:tcBorders>
              <w:tl2br w:val="nil"/>
              <w:tr2bl w:val="nil"/>
            </w:tcBorders>
            <w:noWrap w:val="0"/>
            <w:vAlign w:val="center"/>
          </w:tcPr>
          <w:p>
            <w:pPr>
              <w:pStyle w:val="2"/>
              <w:rPr>
                <w:rFonts w:hint="eastAsia" w:ascii="仿宋_GB2312" w:hAnsi="等线" w:eastAsia="仿宋_GB2312" w:cs="宋体"/>
                <w:kern w:val="0"/>
                <w:szCs w:val="21"/>
              </w:rPr>
            </w:pPr>
          </w:p>
          <w:p>
            <w:pPr>
              <w:pStyle w:val="2"/>
              <w:rPr>
                <w:rFonts w:hint="eastAsia" w:ascii="仿宋_GB2312" w:hAnsi="等线" w:eastAsia="仿宋_GB2312" w:cs="宋体"/>
                <w:kern w:val="0"/>
                <w:szCs w:val="21"/>
              </w:rPr>
            </w:pPr>
          </w:p>
          <w:p>
            <w:pPr>
              <w:pStyle w:val="2"/>
              <w:rPr>
                <w:rFonts w:hint="eastAsia" w:ascii="仿宋_GB2312" w:hAnsi="等线" w:eastAsia="仿宋_GB2312" w:cs="宋体"/>
                <w:kern w:val="0"/>
                <w:szCs w:val="21"/>
              </w:rPr>
            </w:pPr>
          </w:p>
          <w:p>
            <w:pPr>
              <w:pStyle w:val="2"/>
              <w:rPr>
                <w:rFonts w:hint="eastAsia" w:ascii="仿宋_GB2312" w:hAnsi="等线" w:eastAsia="仿宋_GB2312" w:cs="宋体"/>
                <w:kern w:val="0"/>
                <w:szCs w:val="21"/>
              </w:rPr>
            </w:pPr>
          </w:p>
          <w:p>
            <w:pPr>
              <w:pStyle w:val="2"/>
              <w:rPr>
                <w:rFonts w:hint="eastAsia" w:ascii="仿宋_GB2312" w:hAnsi="等线" w:eastAsia="仿宋_GB2312" w:cs="宋体"/>
                <w:kern w:val="0"/>
                <w:szCs w:val="21"/>
              </w:rPr>
            </w:pPr>
            <w:r>
              <w:rPr>
                <w:rFonts w:hint="eastAsia" w:ascii="仿宋_GB2312" w:hAnsi="等线" w:eastAsia="仿宋_GB2312" w:cs="宋体"/>
                <w:kern w:val="0"/>
                <w:szCs w:val="21"/>
              </w:rPr>
              <w:t>主动公开（各部门考核范围详见附录1）</w:t>
            </w:r>
          </w:p>
          <w:p>
            <w:pPr>
              <w:pStyle w:val="3"/>
              <w:rPr>
                <w:rFonts w:hint="eastAsia" w:ascii="仿宋_GB2312" w:hAnsi="等线" w:eastAsia="仿宋_GB2312" w:cs="宋体"/>
                <w:kern w:val="0"/>
                <w:szCs w:val="21"/>
              </w:rPr>
            </w:pPr>
          </w:p>
          <w:p>
            <w:pPr>
              <w:rPr>
                <w:rFonts w:hint="eastAsia" w:ascii="仿宋_GB2312" w:hAnsi="等线" w:eastAsia="仿宋_GB2312" w:cs="宋体"/>
                <w:kern w:val="0"/>
                <w:szCs w:val="21"/>
              </w:rPr>
            </w:pPr>
          </w:p>
          <w:p>
            <w:pPr>
              <w:pStyle w:val="2"/>
              <w:rPr>
                <w:rFonts w:hint="eastAsia" w:ascii="仿宋_GB2312" w:hAnsi="等线" w:eastAsia="仿宋_GB2312" w:cs="宋体"/>
                <w:kern w:val="0"/>
                <w:szCs w:val="21"/>
              </w:rPr>
            </w:pPr>
          </w:p>
          <w:p>
            <w:pPr>
              <w:rPr>
                <w:rFonts w:hint="default"/>
              </w:rPr>
            </w:pPr>
          </w:p>
          <w:p>
            <w:pPr>
              <w:pStyle w:val="2"/>
            </w:pPr>
            <w:r>
              <w:rPr>
                <w:rFonts w:hint="eastAsia" w:ascii="仿宋_GB2312" w:hAnsi="等线" w:eastAsia="仿宋_GB2312" w:cs="宋体"/>
                <w:kern w:val="0"/>
                <w:sz w:val="21"/>
                <w:szCs w:val="21"/>
              </w:rPr>
              <w:t>主动公开（各部门考核范围详见附录1）</w:t>
            </w:r>
          </w:p>
        </w:tc>
        <w:tc>
          <w:tcPr>
            <w:tcW w:w="1134" w:type="dxa"/>
            <w:vMerge w:val="restart"/>
            <w:tcBorders>
              <w:tl2br w:val="nil"/>
              <w:tr2bl w:val="nil"/>
            </w:tcBorders>
            <w:noWrap/>
            <w:vAlign w:val="center"/>
          </w:tcPr>
          <w:p>
            <w:pPr>
              <w:widowControl/>
              <w:spacing w:line="240" w:lineRule="auto"/>
              <w:jc w:val="center"/>
              <w:rPr>
                <w:rFonts w:ascii="仿宋_GB2312" w:hAnsi="等线" w:eastAsia="仿宋_GB2312" w:cs="宋体"/>
                <w:kern w:val="0"/>
                <w:szCs w:val="21"/>
              </w:rPr>
            </w:pPr>
            <w:r>
              <w:rPr>
                <w:rFonts w:hint="eastAsia" w:ascii="仿宋_GB2312" w:hAnsi="等线" w:eastAsia="仿宋_GB2312" w:cs="宋体"/>
                <w:kern w:val="0"/>
                <w:sz w:val="21"/>
                <w:szCs w:val="21"/>
              </w:rPr>
              <w:t>基础信息</w:t>
            </w:r>
          </w:p>
        </w:tc>
        <w:tc>
          <w:tcPr>
            <w:tcW w:w="709" w:type="dxa"/>
            <w:vMerge w:val="restart"/>
            <w:tcBorders>
              <w:tl2br w:val="nil"/>
              <w:tr2bl w:val="nil"/>
            </w:tcBorders>
            <w:noWrap/>
            <w:vAlign w:val="center"/>
          </w:tcPr>
          <w:p>
            <w:pPr>
              <w:widowControl/>
              <w:spacing w:line="240" w:lineRule="auto"/>
              <w:jc w:val="center"/>
              <w:rPr>
                <w:rFonts w:ascii="仿宋_GB2312" w:hAnsi="等线" w:eastAsia="仿宋_GB2312" w:cs="宋体"/>
                <w:kern w:val="0"/>
                <w:szCs w:val="21"/>
              </w:rPr>
            </w:pPr>
            <w:r>
              <w:rPr>
                <w:rFonts w:hint="eastAsia" w:ascii="仿宋_GB2312" w:hAnsi="等线" w:eastAsia="仿宋_GB2312" w:cs="宋体"/>
                <w:kern w:val="0"/>
                <w:sz w:val="21"/>
                <w:szCs w:val="21"/>
              </w:rPr>
              <w:t>15</w:t>
            </w:r>
          </w:p>
        </w:tc>
        <w:tc>
          <w:tcPr>
            <w:tcW w:w="9072" w:type="dxa"/>
            <w:tcBorders>
              <w:tl2br w:val="nil"/>
              <w:tr2bl w:val="nil"/>
            </w:tcBorders>
            <w:noWrap w:val="0"/>
            <w:vAlign w:val="center"/>
          </w:tcPr>
          <w:p>
            <w:pPr>
              <w:widowControl/>
              <w:spacing w:line="240" w:lineRule="auto"/>
              <w:jc w:val="both"/>
              <w:rPr>
                <w:rFonts w:ascii="仿宋_GB2312" w:hAnsi="等线" w:eastAsia="仿宋_GB2312" w:cs="宋体"/>
                <w:kern w:val="0"/>
                <w:szCs w:val="21"/>
              </w:rPr>
            </w:pPr>
            <w:r>
              <w:rPr>
                <w:rFonts w:hint="eastAsia" w:ascii="仿宋_GB2312" w:hAnsi="等线" w:eastAsia="仿宋_GB2312" w:cs="宋体"/>
                <w:kern w:val="0"/>
                <w:sz w:val="21"/>
                <w:szCs w:val="21"/>
              </w:rPr>
              <w:t>参照考核要点考核各部门机构职能、领导信息、政务动态、政策文件、人事信息、规划计划、财政信息、数据发布等基础信息公开栏目建设和内容维护情况：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Cs w:val="21"/>
                <w:lang w:eastAsia="zh-CN"/>
              </w:rPr>
            </w:pPr>
            <w:r>
              <w:rPr>
                <w:rFonts w:hint="eastAsia" w:ascii="仿宋_GB2312" w:hAnsi="等线" w:eastAsia="仿宋_GB2312" w:cs="宋体"/>
                <w:kern w:val="0"/>
                <w:sz w:val="21"/>
                <w:szCs w:val="21"/>
              </w:rPr>
              <w:t>1.</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栏目体系是否合理，是否按照用户使用习惯或业务逻辑分类设置栏目</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Cs w:val="21"/>
                <w:lang w:eastAsia="zh-CN"/>
              </w:rPr>
            </w:pPr>
            <w:r>
              <w:rPr>
                <w:rFonts w:hint="eastAsia" w:ascii="仿宋_GB2312" w:hAnsi="等线" w:eastAsia="仿宋_GB2312" w:cs="宋体"/>
                <w:kern w:val="0"/>
                <w:sz w:val="21"/>
                <w:szCs w:val="21"/>
              </w:rPr>
              <w:t>2.</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栏目内容与栏目名称的一致性、匹配度，是否存在关联性不高的信息噪音</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ascii="仿宋_GB2312" w:hAnsi="等线" w:eastAsia="仿宋_GB2312" w:cs="宋体"/>
                <w:kern w:val="0"/>
                <w:szCs w:val="21"/>
              </w:rPr>
            </w:pPr>
            <w:r>
              <w:rPr>
                <w:rFonts w:hint="eastAsia" w:ascii="仿宋_GB2312" w:hAnsi="等线" w:eastAsia="仿宋_GB2312" w:cs="宋体"/>
                <w:kern w:val="0"/>
                <w:sz w:val="21"/>
                <w:szCs w:val="21"/>
              </w:rPr>
              <w:t>3.</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政府信息公开专栏内容是否符合政府信息公开条例第二十条要求。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ascii="仿宋_GB2312" w:hAnsi="等线" w:eastAsia="仿宋_GB2312" w:cs="宋体"/>
                <w:kern w:val="0"/>
                <w:szCs w:val="21"/>
              </w:rPr>
            </w:pPr>
            <w:r>
              <w:rPr>
                <w:rFonts w:hint="eastAsia" w:ascii="仿宋_GB2312" w:hAnsi="等线" w:eastAsia="仿宋_GB2312" w:cs="宋体"/>
                <w:kern w:val="0"/>
                <w:sz w:val="21"/>
                <w:szCs w:val="21"/>
              </w:rPr>
              <w:t>额外加分：栏目设计新颖、展现形式多样，能够将信息视作数据并开发设计应用类栏目的。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ascii="仿宋_GB2312" w:hAnsi="等线" w:eastAsia="仿宋_GB2312" w:cs="宋体"/>
                <w:kern w:val="0"/>
                <w:szCs w:val="21"/>
              </w:rPr>
            </w:pPr>
            <w:r>
              <w:rPr>
                <w:rFonts w:hint="eastAsia" w:ascii="仿宋_GB2312" w:hAnsi="等线" w:eastAsia="仿宋_GB2312" w:cs="宋体"/>
                <w:kern w:val="0"/>
                <w:sz w:val="21"/>
                <w:szCs w:val="21"/>
              </w:rPr>
              <w:t>额外扣分：更新不及时、存在突击发布或弄虚作假情况的。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112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restart"/>
            <w:tcBorders>
              <w:tl2br w:val="nil"/>
              <w:tr2bl w:val="nil"/>
            </w:tcBorders>
            <w:noWrap/>
            <w:vAlign w:val="center"/>
          </w:tcPr>
          <w:p>
            <w:pPr>
              <w:widowControl/>
              <w:spacing w:line="240" w:lineRule="auto"/>
              <w:jc w:val="center"/>
              <w:rPr>
                <w:rFonts w:ascii="仿宋_GB2312" w:hAnsi="等线" w:eastAsia="仿宋_GB2312" w:cs="宋体"/>
                <w:kern w:val="0"/>
                <w:szCs w:val="21"/>
              </w:rPr>
            </w:pPr>
            <w:r>
              <w:rPr>
                <w:rFonts w:hint="eastAsia" w:ascii="仿宋_GB2312" w:hAnsi="等线" w:eastAsia="仿宋_GB2312" w:cs="宋体"/>
                <w:kern w:val="0"/>
                <w:sz w:val="21"/>
                <w:szCs w:val="21"/>
              </w:rPr>
              <w:t>重点信息</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12</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参照考核要点考核各部门重大建设项目批准和实施领域、公共资源配置领域、社会公益事业建设领域等重点领域信息公开栏目建设和内容维护情况：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hint="eastAsia" w:ascii="仿宋_GB2312" w:hAnsi="等线" w:eastAsia="仿宋_GB2312" w:cs="宋体"/>
                <w:kern w:val="0"/>
                <w:sz w:val="21"/>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栏目体系是否合理，是否按照用户使用习惯或业务逻辑分类设置栏目</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ascii="仿宋_GB2312" w:hAnsi="等线" w:eastAsia="仿宋_GB2312" w:cs="宋体"/>
                <w:kern w:val="0"/>
                <w:szCs w:val="21"/>
              </w:rPr>
            </w:pPr>
            <w:r>
              <w:rPr>
                <w:rFonts w:hint="eastAsia" w:ascii="仿宋_GB2312" w:hAnsi="等线" w:eastAsia="仿宋_GB2312" w:cs="宋体"/>
                <w:kern w:val="0"/>
                <w:sz w:val="21"/>
                <w:szCs w:val="21"/>
              </w:rPr>
              <w:t>2.</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栏目内容与栏目名称的一致性、匹配度，是否存在关联性不高的信息噪音。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ascii="仿宋_GB2312" w:hAnsi="等线" w:eastAsia="仿宋_GB2312" w:cs="宋体"/>
                <w:kern w:val="0"/>
                <w:szCs w:val="21"/>
              </w:rPr>
            </w:pPr>
            <w:r>
              <w:rPr>
                <w:rFonts w:hint="eastAsia" w:ascii="仿宋_GB2312" w:hAnsi="等线" w:eastAsia="仿宋_GB2312" w:cs="宋体"/>
                <w:kern w:val="0"/>
                <w:sz w:val="21"/>
                <w:szCs w:val="21"/>
              </w:rPr>
              <w:t>额外加分：栏目设计新颖、展现形式多样，能够将信息视作数据并开发设计应用类栏目的。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额外扣分：更新不及时、存在突击发布或弄虚作假情况的。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注：不涉及重点领域信息公开考核且不存在额外扣分情形的部门，该指标不加分，且分值平均分配到其他主动公开指标中。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restart"/>
            <w:tcBorders>
              <w:tl2br w:val="nil"/>
              <w:tr2bl w:val="nil"/>
            </w:tcBorders>
            <w:noWrap/>
            <w:vAlign w:val="center"/>
          </w:tcPr>
          <w:p>
            <w:pPr>
              <w:widowControl/>
              <w:jc w:val="center"/>
              <w:rPr>
                <w:rFonts w:ascii="仿宋_GB2312" w:hAnsi="等线" w:eastAsia="仿宋_GB2312" w:cs="宋体"/>
                <w:kern w:val="0"/>
                <w:szCs w:val="21"/>
              </w:rPr>
            </w:pPr>
            <w:r>
              <w:rPr>
                <w:rFonts w:hint="eastAsia" w:ascii="仿宋_GB2312" w:hAnsi="等线" w:eastAsia="仿宋_GB2312" w:cs="宋体"/>
                <w:kern w:val="0"/>
                <w:sz w:val="21"/>
                <w:szCs w:val="21"/>
              </w:rPr>
              <w:t>政策解读</w:t>
            </w:r>
          </w:p>
        </w:tc>
        <w:tc>
          <w:tcPr>
            <w:tcW w:w="709" w:type="dxa"/>
            <w:vMerge w:val="restart"/>
            <w:tcBorders>
              <w:tl2br w:val="nil"/>
              <w:tr2bl w:val="nil"/>
            </w:tcBorders>
            <w:noWrap/>
            <w:vAlign w:val="center"/>
          </w:tcPr>
          <w:p>
            <w:pPr>
              <w:widowControl/>
              <w:jc w:val="center"/>
              <w:rPr>
                <w:rFonts w:ascii="仿宋_GB2312" w:hAnsi="等线" w:eastAsia="仿宋_GB2312" w:cs="宋体"/>
                <w:kern w:val="0"/>
                <w:szCs w:val="21"/>
              </w:rPr>
            </w:pPr>
            <w:r>
              <w:rPr>
                <w:rFonts w:hint="eastAsia" w:ascii="仿宋_GB2312" w:hAnsi="等线" w:eastAsia="仿宋_GB2312" w:cs="宋体"/>
                <w:kern w:val="0"/>
                <w:sz w:val="21"/>
                <w:szCs w:val="21"/>
              </w:rPr>
              <w:t>5</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本部门通过政府网站开展政策解读的情况：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网站对本部门政策文件的解读比例和解读形式（如图形图表、音视频、新闻发布会等形式）</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栏目内容与栏目名称的一致性、匹配度，是否存在关联性不高的信息噪音。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额外加分：部门负责人对政策文件进行解读的。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额外扣分：存在突击发布或弄虚作假情况、信息噪音占据栏目主要内容的。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注：本年度本部门未发布需解读的政策文件且不存在额外扣分情形的部门，该指标不加分，且分值平均分配到其他主动公开指标中。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restart"/>
            <w:tcBorders>
              <w:tl2br w:val="nil"/>
              <w:tr2bl w:val="nil"/>
            </w:tcBorders>
            <w:noWrap/>
            <w:vAlign w:val="center"/>
          </w:tcPr>
          <w:p>
            <w:pPr>
              <w:widowControl/>
              <w:jc w:val="center"/>
              <w:rPr>
                <w:rFonts w:ascii="仿宋_GB2312" w:hAnsi="等线" w:eastAsia="仿宋_GB2312" w:cs="宋体"/>
                <w:kern w:val="0"/>
                <w:szCs w:val="21"/>
              </w:rPr>
            </w:pPr>
            <w:r>
              <w:rPr>
                <w:rFonts w:hint="eastAsia" w:ascii="仿宋_GB2312" w:hAnsi="等线" w:eastAsia="仿宋_GB2312" w:cs="宋体"/>
                <w:kern w:val="0"/>
                <w:sz w:val="21"/>
                <w:szCs w:val="21"/>
              </w:rPr>
              <w:t>特色栏目</w:t>
            </w:r>
          </w:p>
        </w:tc>
        <w:tc>
          <w:tcPr>
            <w:tcW w:w="1134" w:type="dxa"/>
            <w:vMerge w:val="restart"/>
            <w:tcBorders>
              <w:tl2br w:val="nil"/>
              <w:tr2bl w:val="nil"/>
            </w:tcBorders>
            <w:noWrap/>
            <w:vAlign w:val="center"/>
          </w:tcPr>
          <w:p>
            <w:pPr>
              <w:widowControl/>
              <w:jc w:val="center"/>
              <w:rPr>
                <w:rFonts w:ascii="仿宋_GB2312" w:hAnsi="等线" w:eastAsia="仿宋_GB2312" w:cs="宋体"/>
                <w:kern w:val="0"/>
                <w:szCs w:val="21"/>
              </w:rPr>
            </w:pPr>
            <w:r>
              <w:rPr>
                <w:rFonts w:hint="eastAsia" w:ascii="仿宋_GB2312" w:hAnsi="等线" w:eastAsia="仿宋_GB2312" w:cs="宋体"/>
                <w:kern w:val="0"/>
                <w:sz w:val="21"/>
                <w:szCs w:val="21"/>
              </w:rPr>
              <w:t>业务专题</w:t>
            </w:r>
          </w:p>
        </w:tc>
        <w:tc>
          <w:tcPr>
            <w:tcW w:w="709" w:type="dxa"/>
            <w:vMerge w:val="restart"/>
            <w:tcBorders>
              <w:tl2br w:val="nil"/>
              <w:tr2bl w:val="nil"/>
            </w:tcBorders>
            <w:noWrap/>
            <w:vAlign w:val="center"/>
          </w:tcPr>
          <w:p>
            <w:pPr>
              <w:widowControl/>
              <w:jc w:val="center"/>
              <w:rPr>
                <w:rFonts w:ascii="仿宋_GB2312" w:hAnsi="等线" w:eastAsia="仿宋_GB2312" w:cs="宋体"/>
                <w:kern w:val="0"/>
                <w:szCs w:val="21"/>
              </w:rPr>
            </w:pPr>
            <w:r>
              <w:rPr>
                <w:rFonts w:hint="eastAsia" w:ascii="仿宋_GB2312" w:hAnsi="等线" w:eastAsia="仿宋_GB2312" w:cs="宋体"/>
                <w:kern w:val="0"/>
                <w:sz w:val="21"/>
                <w:szCs w:val="21"/>
              </w:rPr>
              <w:t>12</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围绕本部门核心业务职能策划相关专题专栏综合提供业务相关的政策依据、行业标准、知识库、在线查询、办事服务等各类资源的情况：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1.业务专题是否对资源进行整合并分类展现（是否分类聚合动态、政策、标准、互动、服务、查询等四类以上资源）</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2.栏目功能实现情况，如名单名录等是否以查询等形式展现</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ascii="仿宋_GB2312" w:hAnsi="等线" w:eastAsia="仿宋_GB2312" w:cs="宋体"/>
                <w:kern w:val="0"/>
                <w:szCs w:val="21"/>
              </w:rPr>
            </w:pPr>
            <w:r>
              <w:rPr>
                <w:rFonts w:hint="eastAsia" w:ascii="仿宋_GB2312" w:hAnsi="等线" w:cs="宋体"/>
                <w:kern w:val="0"/>
                <w:sz w:val="21"/>
                <w:szCs w:val="21"/>
                <w:lang w:val="en-US" w:eastAsia="zh-CN"/>
              </w:rPr>
              <w:t>3</w:t>
            </w:r>
            <w:r>
              <w:rPr>
                <w:rFonts w:hint="eastAsia" w:ascii="仿宋_GB2312" w:hAnsi="等线" w:eastAsia="仿宋_GB2312" w:cs="宋体"/>
                <w:kern w:val="0"/>
                <w:sz w:val="21"/>
                <w:szCs w:val="21"/>
              </w:rPr>
              <w:t>.</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栏目内容与栏目名称的一致性、匹配度，是否存在关联性不高的信息噪音。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额外加分：栏目设计新颖、展现形式多样，能够将信息视作数据并开发设计应用类栏目的。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额外扣分：存在突击发布或弄虚作假情况、信息噪音占据栏目主要内容的。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restart"/>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政务服务</w:t>
            </w: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（12分）</w:t>
            </w:r>
          </w:p>
          <w:p>
            <w:pPr>
              <w:pStyle w:val="2"/>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政务服务</w:t>
            </w: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（12分）</w:t>
            </w:r>
          </w:p>
          <w:p>
            <w:pPr>
              <w:pStyle w:val="3"/>
              <w:spacing w:line="240" w:lineRule="auto"/>
              <w:jc w:val="both"/>
              <w:rPr>
                <w:rFonts w:hint="eastAsia"/>
              </w:rPr>
            </w:pPr>
          </w:p>
          <w:p>
            <w:pPr>
              <w:widowControl/>
              <w:spacing w:line="240" w:lineRule="auto"/>
              <w:jc w:val="center"/>
              <w:rPr>
                <w:rFonts w:hint="eastAsia" w:ascii="仿宋_GB2312" w:hAnsi="等线" w:eastAsia="仿宋_GB2312" w:cs="宋体"/>
                <w:kern w:val="0"/>
                <w:sz w:val="21"/>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办事指南</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办事指南的规范性、准确性：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仿宋_GB2312" w:hAnsi="等线" w:eastAsia="仿宋_GB2312"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办事指南要素的规范性，与</w:t>
            </w:r>
            <w:r>
              <w:rPr>
                <w:rFonts w:hint="eastAsia" w:ascii="仿宋_GB2312" w:hAnsi="等线" w:cs="宋体"/>
                <w:kern w:val="0"/>
                <w:sz w:val="21"/>
                <w:szCs w:val="21"/>
                <w:lang w:eastAsia="zh-CN"/>
              </w:rPr>
              <w:t>“</w:t>
            </w:r>
            <w:r>
              <w:rPr>
                <w:rFonts w:hint="eastAsia" w:ascii="仿宋_GB2312" w:hAnsi="等线" w:eastAsia="仿宋_GB2312" w:cs="宋体"/>
                <w:kern w:val="0"/>
                <w:sz w:val="21"/>
                <w:szCs w:val="21"/>
              </w:rPr>
              <w:t>桂通办</w:t>
            </w:r>
            <w:r>
              <w:rPr>
                <w:rFonts w:hint="eastAsia" w:ascii="仿宋_GB2312" w:hAnsi="等线" w:cs="宋体"/>
                <w:kern w:val="0"/>
                <w:sz w:val="21"/>
                <w:szCs w:val="21"/>
                <w:lang w:eastAsia="zh-CN"/>
              </w:rPr>
              <w:t>”</w:t>
            </w:r>
            <w:r>
              <w:rPr>
                <w:rFonts w:hint="eastAsia" w:ascii="仿宋_GB2312" w:hAnsi="等线" w:eastAsia="仿宋_GB2312" w:cs="宋体"/>
                <w:kern w:val="0"/>
                <w:sz w:val="21"/>
                <w:szCs w:val="21"/>
              </w:rPr>
              <w:t>平台政务服务事项实施清单同源一致性</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办事指南要素内容、办理流程、办理材料、表格下载等内容的准确性。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b w:val="0"/>
                <w:bCs w:val="0"/>
                <w:kern w:val="0"/>
                <w:sz w:val="21"/>
                <w:szCs w:val="21"/>
              </w:rPr>
            </w:pPr>
            <w:r>
              <w:rPr>
                <w:rFonts w:hint="eastAsia" w:ascii="仿宋_GB2312" w:hAnsi="等线" w:eastAsia="仿宋_GB2312" w:cs="宋体"/>
                <w:b w:val="0"/>
                <w:bCs w:val="0"/>
                <w:kern w:val="0"/>
                <w:sz w:val="21"/>
                <w:szCs w:val="21"/>
              </w:rPr>
              <w:t>注：无政务服务职能的部门，该项分值转移到便民查询服务指标。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restart"/>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网办深度</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本部门实现全程网办事项数量占比。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b w:val="0"/>
                <w:bCs w:val="0"/>
                <w:kern w:val="0"/>
                <w:sz w:val="21"/>
                <w:szCs w:val="21"/>
              </w:rPr>
            </w:pPr>
            <w:r>
              <w:rPr>
                <w:rFonts w:hint="eastAsia" w:ascii="仿宋_GB2312" w:hAnsi="等线" w:eastAsia="仿宋_GB2312" w:cs="宋体"/>
                <w:b w:val="0"/>
                <w:bCs w:val="0"/>
                <w:kern w:val="0"/>
                <w:sz w:val="21"/>
                <w:szCs w:val="21"/>
              </w:rPr>
              <w:t>注：无政务服务职能的部门，该项分值转移到便民查询服务指标。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restart"/>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便民查询服务</w:t>
            </w:r>
          </w:p>
        </w:tc>
        <w:tc>
          <w:tcPr>
            <w:tcW w:w="709" w:type="dxa"/>
            <w:vMerge w:val="restart"/>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10</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围绕业务职能提供便民查询服务的情况（详见附录2）：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1.附件2中的便民查询服务提供比例</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2.查询服务的提供形式（分数由低到高依次为：上级名单名录/上级查询系统/本级名单名录/本级查询系统/本级检索系统）</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栏目内是否存在关联性不高的信息噪音。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额外加分：栏目设计新颖，查询内容贴合本部门实际、采用地图或图形化等高级查询方式的。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额外扣分：存在提供查询但不可用，以及其他弄虚作假情况的。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restart"/>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互动交流</w:t>
            </w: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（8分）</w:t>
            </w:r>
          </w:p>
          <w:p>
            <w:pPr>
              <w:pStyle w:val="2"/>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both"/>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互动交流</w:t>
            </w: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（8分）</w:t>
            </w:r>
          </w:p>
          <w:p>
            <w:pPr>
              <w:pStyle w:val="3"/>
              <w:spacing w:line="240" w:lineRule="auto"/>
              <w:rPr>
                <w:rFonts w:hint="eastAsia"/>
              </w:rPr>
            </w:pPr>
          </w:p>
          <w:p>
            <w:pPr>
              <w:widowControl/>
              <w:spacing w:line="240" w:lineRule="auto"/>
              <w:jc w:val="center"/>
              <w:rPr>
                <w:rFonts w:hint="eastAsia" w:ascii="仿宋_GB2312" w:hAnsi="等线" w:eastAsia="仿宋_GB2312" w:cs="宋体"/>
                <w:kern w:val="0"/>
                <w:sz w:val="21"/>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咨询互动</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网站咨询互动渠道的实效性：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1.通过模拟用户进行简单问题提问检查网站是否在咨询后5个工作日内答复且内容准确</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2.留言统计信息的更新情况：实时更新/月度更新/月度以上。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额外扣分：留言统计数据弄虚作假、模拟用户提出的简单问题超过10个工作日未答复或答复内容存在敷衍塞责情况的。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vMerge w:val="restart"/>
            <w:tcBorders>
              <w:tl2br w:val="nil"/>
              <w:tr2bl w:val="nil"/>
            </w:tcBorders>
            <w:noWrap/>
            <w:vAlign w:val="center"/>
          </w:tcPr>
          <w:p>
            <w:pPr>
              <w:pStyle w:val="3"/>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民意征集</w:t>
            </w:r>
          </w:p>
          <w:p>
            <w:pPr>
              <w:pStyle w:val="2"/>
              <w:jc w:val="center"/>
              <w:rPr>
                <w:rFonts w:hint="eastAsia"/>
              </w:rPr>
            </w:pPr>
          </w:p>
          <w:p>
            <w:pPr>
              <w:pStyle w:val="3"/>
              <w:jc w:val="center"/>
              <w:rPr>
                <w:rFonts w:hint="eastAsia" w:ascii="仿宋_GB2312" w:hAnsi="等线" w:eastAsia="仿宋_GB2312" w:cs="宋体"/>
                <w:kern w:val="0"/>
                <w:sz w:val="21"/>
                <w:szCs w:val="21"/>
              </w:rPr>
            </w:pPr>
          </w:p>
          <w:p>
            <w:pPr>
              <w:pStyle w:val="3"/>
              <w:jc w:val="center"/>
              <w:rPr>
                <w:rFonts w:hint="eastAsia" w:ascii="仿宋_GB2312" w:hAnsi="等线" w:eastAsia="仿宋_GB2312" w:cs="宋体"/>
                <w:kern w:val="0"/>
                <w:sz w:val="21"/>
                <w:szCs w:val="21"/>
              </w:rPr>
            </w:pPr>
          </w:p>
          <w:p>
            <w:pPr>
              <w:pStyle w:val="3"/>
              <w:jc w:val="center"/>
              <w:rPr>
                <w:rFonts w:hint="eastAsia"/>
              </w:rPr>
            </w:pPr>
            <w:r>
              <w:rPr>
                <w:rFonts w:hint="eastAsia" w:ascii="仿宋_GB2312" w:hAnsi="等线" w:eastAsia="仿宋_GB2312" w:cs="宋体"/>
                <w:kern w:val="0"/>
                <w:sz w:val="21"/>
                <w:szCs w:val="21"/>
              </w:rPr>
              <w:t>民意征集</w:t>
            </w:r>
          </w:p>
        </w:tc>
        <w:tc>
          <w:tcPr>
            <w:tcW w:w="709" w:type="dxa"/>
            <w:vMerge w:val="restart"/>
            <w:tcBorders>
              <w:tl2br w:val="nil"/>
              <w:tr2bl w:val="nil"/>
            </w:tcBorders>
            <w:noWrap/>
            <w:vAlign w:val="center"/>
          </w:tcPr>
          <w:p>
            <w:pPr>
              <w:widowControl/>
              <w:spacing w:line="240" w:lineRule="auto"/>
              <w:jc w:val="center"/>
              <w:rPr>
                <w:rFonts w:hint="eastAsia" w:ascii="仿宋_GB2312" w:hAnsi="等线" w:cs="宋体"/>
                <w:kern w:val="0"/>
                <w:sz w:val="21"/>
                <w:szCs w:val="21"/>
              </w:rPr>
            </w:pPr>
            <w:r>
              <w:rPr>
                <w:rFonts w:hint="eastAsia" w:ascii="仿宋_GB2312" w:hAnsi="等线" w:cs="宋体"/>
                <w:kern w:val="0"/>
                <w:sz w:val="21"/>
                <w:szCs w:val="21"/>
              </w:rPr>
              <w:t>5</w:t>
            </w:r>
          </w:p>
          <w:p>
            <w:pPr>
              <w:pStyle w:val="2"/>
              <w:jc w:val="center"/>
              <w:rPr>
                <w:rFonts w:hint="eastAsia"/>
              </w:rPr>
            </w:pPr>
          </w:p>
          <w:p>
            <w:pPr>
              <w:pStyle w:val="3"/>
              <w:jc w:val="center"/>
              <w:rPr>
                <w:rFonts w:hint="eastAsia"/>
              </w:rPr>
            </w:pPr>
          </w:p>
          <w:p>
            <w:pPr>
              <w:jc w:val="center"/>
              <w:rPr>
                <w:rFonts w:hint="eastAsia" w:ascii="仿宋_GB2312" w:hAnsi="等线" w:eastAsia="仿宋_GB2312" w:cs="宋体"/>
                <w:kern w:val="0"/>
                <w:sz w:val="21"/>
                <w:szCs w:val="21"/>
              </w:rPr>
            </w:pPr>
          </w:p>
          <w:p>
            <w:pPr>
              <w:jc w:val="center"/>
              <w:rPr>
                <w:rFonts w:hint="eastAsia"/>
              </w:rPr>
            </w:pPr>
            <w:r>
              <w:rPr>
                <w:rFonts w:hint="eastAsia" w:ascii="仿宋_GB2312" w:hAnsi="等线" w:eastAsia="仿宋_GB2312" w:cs="宋体"/>
                <w:kern w:val="0"/>
                <w:sz w:val="21"/>
                <w:szCs w:val="21"/>
              </w:rPr>
              <w:t>5</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网站民意征集渠道建设情况、内容维护情况、功能实现情况以及征集实效情况：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1.是否提供在线提交功能并在征集公告中明确在线提交方式</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2.是否围绕政府决策、重点工作、用户关注热点开展意见征集</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3.一年内开展的民意征集（仅民意征集，不包括网上调查）次数不少于3次</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4.是否公开收到意见的总体情况</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5.是否公开意见具体采纳情况。（</w:t>
            </w:r>
            <w:r>
              <w:rPr>
                <w:rFonts w:hint="eastAsia" w:ascii="仿宋_GB2312" w:hAnsi="等线" w:cs="宋体"/>
                <w:kern w:val="0"/>
                <w:sz w:val="21"/>
                <w:szCs w:val="21"/>
                <w:lang w:val="en-US" w:eastAsia="zh-CN"/>
              </w:rPr>
              <w:t>一</w:t>
            </w:r>
            <w:r>
              <w:rPr>
                <w:rFonts w:hint="eastAsia" w:ascii="仿宋_GB2312" w:hAnsi="等线" w:eastAsia="仿宋_GB2312" w:cs="宋体"/>
                <w:kern w:val="0"/>
                <w:sz w:val="21"/>
                <w:szCs w:val="21"/>
              </w:rPr>
              <w:t>年内开展的民意征集活动，反馈结果全部为空白/共有0人发表意见或未收到意见等模板性话术显示，此项不得分）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额外加分：对收到的有效意见逐一进行答复的。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额外扣分：活动均为转载或与本部门无关、意见反馈内容存在弄虚作假的。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restart"/>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功能设计（4分）</w:t>
            </w: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规范设计</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网站规范性建设情况：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1.是否按照《政府网站发展指引》-网页设计规范进行网页设计</w:t>
            </w:r>
            <w:r>
              <w:rPr>
                <w:rFonts w:hint="eastAsia" w:ascii="仿宋_GB2312" w:hAnsi="等线" w:cs="宋体"/>
                <w:kern w:val="0"/>
                <w:sz w:val="21"/>
                <w:szCs w:val="21"/>
                <w:lang w:eastAsia="zh-CN"/>
              </w:rPr>
              <w:t>。</w:t>
            </w:r>
            <w:r>
              <w:rPr>
                <w:rFonts w:hint="eastAsia" w:ascii="仿宋_GB2312" w:hAnsi="等线" w:eastAsia="仿宋_GB2312" w:cs="宋体"/>
                <w:kern w:val="0"/>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2.是否按照《国务院办公厅政府信息与政务公开办公室关于规范政府信息公开平台有关事项的通知》要求设置政府信息公开栏目。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导航体系</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考核政府门户网站地图导航、频道栏目导航是否存在与实际栏目体系不符合、不准确的情况。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无障碍</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考核网站开展无障碍改造的情况。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额外扣分：无障碍功能不可用的。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restart"/>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智慧应用</w:t>
            </w: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（12分）</w:t>
            </w: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智慧应用</w:t>
            </w: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（12分）</w:t>
            </w:r>
          </w:p>
          <w:p>
            <w:pPr>
              <w:pStyle w:val="2"/>
              <w:jc w:val="center"/>
              <w:rPr>
                <w:rFonts w:hint="eastAsia"/>
              </w:rPr>
            </w:pPr>
          </w:p>
          <w:p>
            <w:pPr>
              <w:jc w:val="center"/>
              <w:rPr>
                <w:rFonts w:ascii="仿宋_GB2312" w:hAnsi="等线" w:eastAsia="仿宋_GB2312" w:cs="宋体"/>
                <w:kern w:val="0"/>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智能问答</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政府网站智能问答功能实现情况：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仿宋_GB2312" w:hAnsi="等线" w:eastAsia="仿宋_GB2312"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1.是否提供智能问答业务知识库</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2.模拟用户测试答复准确度</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3.是否实现智能提示、拼音理解、错别字识别、复杂意图理解、智能联想等功能</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额外加分：实现了融合答案输出的。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额外扣分：功能不可用或答复内容与本网站内容无关的。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智能搜索</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政府网站智能搜索实现情况：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网站是否提供错别字自动纠正、关键词推荐、拼音转化搜索和通俗语言搜索等模糊搜索功能</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2.</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网站是否提供搜索结果分类展示以及根据内容相关性强弱提供排序的功能</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3.</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网站是否提供网站群全站搜索功能</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4.</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优先展现的搜索结果与搜索关键词的高度关联匹配程度。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加分：针对政策文件、办事服务类资源提供多条件、多维度筛选功能，便于公众快速搜索自己所需要的政策与服务。针对关联性高、逻辑性强的服务事项，能够围绕用户需求和业务逻辑提供集成式、场景式的搜索聚合展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额外扣分：选取网站的政策文件、办事服务、查询服务、名单名录等资源的专业关键词测试，搜不到资源的。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智能推荐</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网站是否定期分析办事服务热点、咨询投诉热点问题在网站首页及时推荐热点办事服务、热点政策措施。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等线" w:hAnsi="等线" w:eastAsia="等线" w:cs="宋体"/>
                <w:kern w:val="0"/>
                <w:szCs w:val="21"/>
              </w:rPr>
            </w:pPr>
          </w:p>
        </w:tc>
        <w:tc>
          <w:tcPr>
            <w:tcW w:w="2268" w:type="dxa"/>
            <w:gridSpan w:val="2"/>
            <w:vMerge w:val="continue"/>
            <w:tcBorders>
              <w:tl2br w:val="nil"/>
              <w:tr2bl w:val="nil"/>
            </w:tcBorders>
            <w:noWrap/>
            <w:vAlign w:val="center"/>
          </w:tcPr>
          <w:p>
            <w:pPr>
              <w:widowControl/>
              <w:jc w:val="center"/>
              <w:rPr>
                <w:rFonts w:ascii="仿宋_GB2312" w:hAnsi="等线" w:eastAsia="仿宋_GB2312" w:cs="宋体"/>
                <w:kern w:val="0"/>
                <w:szCs w:val="21"/>
              </w:rPr>
            </w:pPr>
          </w:p>
        </w:tc>
        <w:tc>
          <w:tcPr>
            <w:tcW w:w="709" w:type="dxa"/>
            <w:vMerge w:val="continue"/>
            <w:tcBorders>
              <w:tl2br w:val="nil"/>
              <w:tr2bl w:val="nil"/>
            </w:tcBorders>
            <w:noWrap/>
            <w:vAlign w:val="center"/>
          </w:tcPr>
          <w:p>
            <w:pPr>
              <w:widowControl/>
              <w:jc w:val="center"/>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额外扣分：智能推荐功能不可用或不同用户群体登录时推荐相同内容的。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等线" w:hAnsi="等线" w:eastAsia="等线" w:cs="宋体"/>
                <w:kern w:val="0"/>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数据应用</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4</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网站利用统一信息资源库中汇聚的信息资源开发设计轻量化数据应用的情况。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等线" w:hAnsi="等线" w:eastAsia="等线" w:cs="宋体"/>
                <w:kern w:val="0"/>
                <w:szCs w:val="21"/>
              </w:rPr>
            </w:pPr>
          </w:p>
        </w:tc>
        <w:tc>
          <w:tcPr>
            <w:tcW w:w="2268" w:type="dxa"/>
            <w:gridSpan w:val="2"/>
            <w:vMerge w:val="continue"/>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额外扣分：以静态栏目或其他弄虚作假方式伪装成动态数据应用栏目。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1124" w:type="dxa"/>
            <w:vMerge w:val="restart"/>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政务新媒体（15分）</w:t>
            </w:r>
          </w:p>
          <w:p>
            <w:pPr>
              <w:jc w:val="center"/>
              <w:rPr>
                <w:rFonts w:ascii="仿宋_GB2312" w:hAnsi="等线" w:eastAsia="仿宋_GB2312" w:cs="宋体"/>
                <w:kern w:val="0"/>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集约开设</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按照一单位一平台一账号的原则进行集约开设政务新媒体。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仿宋_GB2312" w:hAnsi="等线" w:eastAsia="仿宋_GB2312"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额外加分：建设本部门、本系统政务新媒体矩阵的，加分。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日常监管</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本部门是否按要求开展季度自查并按时通过自治区级网站集约化平台报送检查情况，并在本部门网站公布。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网站协同</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本部门政务新媒体是否与网站协同发布内容提供服务。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1.发布的信息和提供的服务是否与政府网站同源。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2.政府网站发布的重要政策解读、民意征集活动是否在政务新媒体同步发声。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内容发布</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政务新媒体发布的内容更新情况和内容质量：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1.信息发布频率</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2.页面是否适配移动端。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额外加分：通过集约化后台发布新媒体信息内容的。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移动服务</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5</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适配移动端的办事服务和便民查询服务提供情况（无政务服务职能部门仅</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便民查询服务）。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等线" w:hAnsi="等线" w:eastAsia="等线" w:cs="宋体"/>
                <w:kern w:val="0"/>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原创比例</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抽查文章（不包括要求转载的文章）计算原创比例。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restart"/>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机制保障</w:t>
            </w:r>
          </w:p>
          <w:p>
            <w:pPr>
              <w:widowControl/>
              <w:spacing w:line="240" w:lineRule="auto"/>
              <w:jc w:val="center"/>
              <w:rPr>
                <w:rFonts w:ascii="仿宋_GB2312" w:hAnsi="等线" w:eastAsia="仿宋_GB2312" w:cs="宋体"/>
                <w:kern w:val="0"/>
                <w:szCs w:val="21"/>
              </w:rPr>
            </w:pPr>
            <w:r>
              <w:rPr>
                <w:rFonts w:hint="eastAsia" w:ascii="仿宋_GB2312" w:hAnsi="等线" w:eastAsia="仿宋_GB2312" w:cs="宋体"/>
                <w:kern w:val="0"/>
                <w:sz w:val="21"/>
                <w:szCs w:val="21"/>
              </w:rPr>
              <w:t>（5分）</w:t>
            </w: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应知应会</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2023年</w:t>
            </w:r>
            <w:r>
              <w:rPr>
                <w:rFonts w:hint="eastAsia" w:ascii="仿宋_GB2312" w:hAnsi="等线" w:eastAsia="仿宋_GB2312" w:cs="宋体"/>
                <w:kern w:val="0"/>
                <w:sz w:val="21"/>
                <w:szCs w:val="21"/>
                <w:lang w:eastAsia="zh-CN"/>
              </w:rPr>
              <w:t>政府网站与政务新媒体</w:t>
            </w:r>
            <w:r>
              <w:rPr>
                <w:rFonts w:hint="eastAsia" w:ascii="仿宋_GB2312" w:hAnsi="等线" w:eastAsia="仿宋_GB2312" w:cs="宋体"/>
                <w:kern w:val="0"/>
                <w:sz w:val="21"/>
                <w:szCs w:val="21"/>
              </w:rPr>
              <w:t>应知应会知识竞赛成绩。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4" w:hRule="atLeast"/>
        </w:trPr>
        <w:tc>
          <w:tcPr>
            <w:tcW w:w="1124" w:type="dxa"/>
            <w:vMerge w:val="continue"/>
            <w:tcBorders>
              <w:tl2br w:val="nil"/>
              <w:tr2bl w:val="nil"/>
            </w:tcBorders>
            <w:noWrap w:val="0"/>
            <w:vAlign w:val="center"/>
          </w:tcPr>
          <w:p>
            <w:pPr>
              <w:jc w:val="left"/>
              <w:rPr>
                <w:rFonts w:ascii="仿宋_GB2312" w:hAnsi="等线" w:eastAsia="仿宋_GB2312" w:cs="宋体"/>
                <w:kern w:val="0"/>
                <w:szCs w:val="21"/>
              </w:rPr>
            </w:pPr>
          </w:p>
        </w:tc>
        <w:tc>
          <w:tcPr>
            <w:tcW w:w="2268" w:type="dxa"/>
            <w:gridSpan w:val="2"/>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highlight w:val="none"/>
              </w:rPr>
            </w:pPr>
            <w:r>
              <w:rPr>
                <w:rFonts w:hint="eastAsia" w:ascii="仿宋_GB2312" w:hAnsi="等线" w:eastAsia="仿宋_GB2312" w:cs="宋体"/>
                <w:kern w:val="0"/>
                <w:sz w:val="21"/>
                <w:szCs w:val="21"/>
                <w:highlight w:val="none"/>
              </w:rPr>
              <w:t>主席信箱</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highlight w:val="none"/>
              </w:rPr>
            </w:pPr>
            <w:r>
              <w:rPr>
                <w:rFonts w:hint="eastAsia" w:ascii="仿宋_GB2312" w:hAnsi="等线" w:eastAsia="仿宋_GB2312" w:cs="宋体"/>
                <w:kern w:val="0"/>
                <w:sz w:val="21"/>
                <w:szCs w:val="21"/>
                <w:highlight w:val="none"/>
              </w:rPr>
              <w:t>1</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highlight w:val="none"/>
              </w:rPr>
            </w:pPr>
            <w:r>
              <w:rPr>
                <w:rFonts w:hint="eastAsia" w:ascii="仿宋_GB2312" w:hAnsi="等线" w:eastAsia="仿宋_GB2312" w:cs="宋体"/>
                <w:kern w:val="0"/>
                <w:sz w:val="21"/>
                <w:szCs w:val="21"/>
                <w:highlight w:val="none"/>
              </w:rPr>
              <w:t>及时办理自治区转办的自治区政府门户网站“主席信箱”栏目网民信件，在规定时间内及时反馈情况。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运维机制</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建立健全专人负责制度、值班读网制度、预算及项目管理制度、年报制度等运维机制。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注：以上内容通过会议纪要、制度文件、图片等材料证明，与自查整改报告一并报送。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restart"/>
            <w:tcBorders>
              <w:tl2br w:val="nil"/>
              <w:tr2bl w:val="nil"/>
            </w:tcBorders>
            <w:noWrap/>
            <w:vAlign w:val="center"/>
          </w:tcPr>
          <w:p>
            <w:pPr>
              <w:pStyle w:val="3"/>
              <w:rPr>
                <w:rFonts w:hint="eastAsia" w:ascii="仿宋_GB2312" w:hAnsi="等线" w:eastAsia="仿宋_GB2312" w:cs="宋体"/>
                <w:kern w:val="0"/>
                <w:sz w:val="21"/>
                <w:szCs w:val="21"/>
              </w:rPr>
            </w:pPr>
          </w:p>
          <w:p>
            <w:pPr>
              <w:pStyle w:val="3"/>
              <w:rPr>
                <w:rFonts w:hint="eastAsia" w:ascii="仿宋_GB2312" w:hAnsi="等线" w:eastAsia="仿宋_GB2312" w:cs="宋体"/>
                <w:kern w:val="0"/>
                <w:sz w:val="21"/>
                <w:szCs w:val="21"/>
              </w:rPr>
            </w:pPr>
          </w:p>
          <w:p>
            <w:pPr>
              <w:pStyle w:val="3"/>
              <w:rPr>
                <w:rFonts w:hint="eastAsia" w:ascii="仿宋_GB2312" w:hAnsi="等线" w:eastAsia="仿宋_GB2312" w:cs="宋体"/>
                <w:kern w:val="0"/>
                <w:sz w:val="21"/>
                <w:szCs w:val="21"/>
              </w:rPr>
            </w:pPr>
          </w:p>
          <w:p>
            <w:pPr>
              <w:pStyle w:val="3"/>
              <w:rPr>
                <w:rFonts w:hint="eastAsia" w:ascii="仿宋_GB2312" w:hAnsi="等线" w:eastAsia="仿宋_GB2312" w:cs="宋体"/>
                <w:kern w:val="0"/>
                <w:sz w:val="21"/>
                <w:szCs w:val="21"/>
              </w:rPr>
            </w:pPr>
          </w:p>
          <w:p>
            <w:pPr>
              <w:pStyle w:val="3"/>
              <w:rPr>
                <w:rFonts w:hint="eastAsia" w:ascii="仿宋_GB2312" w:hAnsi="等线" w:eastAsia="仿宋_GB2312" w:cs="宋体"/>
                <w:kern w:val="0"/>
                <w:sz w:val="21"/>
                <w:szCs w:val="21"/>
              </w:rPr>
            </w:pPr>
          </w:p>
          <w:p>
            <w:pPr>
              <w:pStyle w:val="3"/>
              <w:spacing w:line="240" w:lineRule="auto"/>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附加指标</w:t>
            </w:r>
            <w:r>
              <w:rPr>
                <w:rFonts w:hint="eastAsia" w:ascii="仿宋_GB2312" w:hAnsi="等线" w:eastAsia="仿宋_GB2312" w:cs="宋体"/>
                <w:kern w:val="0"/>
                <w:sz w:val="21"/>
                <w:szCs w:val="21"/>
                <w:lang w:eastAsia="zh-CN"/>
              </w:rPr>
              <w:t>（</w:t>
            </w:r>
            <w:r>
              <w:rPr>
                <w:rFonts w:hint="eastAsia" w:ascii="仿宋_GB2312" w:hAnsi="等线" w:eastAsia="仿宋_GB2312" w:cs="宋体"/>
                <w:kern w:val="0"/>
                <w:sz w:val="21"/>
                <w:szCs w:val="21"/>
                <w:lang w:val="en-US" w:eastAsia="zh-CN"/>
              </w:rPr>
              <w:t>30分</w:t>
            </w:r>
            <w:r>
              <w:rPr>
                <w:rFonts w:hint="eastAsia" w:ascii="仿宋_GB2312" w:hAnsi="等线" w:eastAsia="仿宋_GB2312" w:cs="宋体"/>
                <w:kern w:val="0"/>
                <w:sz w:val="21"/>
                <w:szCs w:val="21"/>
                <w:lang w:eastAsia="zh-CN"/>
              </w:rPr>
              <w:t>）</w:t>
            </w:r>
          </w:p>
          <w:p>
            <w:pPr>
              <w:pStyle w:val="2"/>
              <w:rPr>
                <w:rFonts w:hint="eastAsia"/>
              </w:rPr>
            </w:pPr>
          </w:p>
          <w:p>
            <w:pPr>
              <w:pStyle w:val="3"/>
              <w:spacing w:line="240" w:lineRule="auto"/>
              <w:rPr>
                <w:rFonts w:hint="eastAsia" w:ascii="仿宋_GB2312" w:hAnsi="等线" w:eastAsia="仿宋_GB2312" w:cs="宋体"/>
                <w:kern w:val="0"/>
                <w:sz w:val="21"/>
                <w:szCs w:val="21"/>
              </w:rPr>
            </w:pPr>
          </w:p>
          <w:p>
            <w:pPr>
              <w:pStyle w:val="3"/>
              <w:spacing w:line="240" w:lineRule="auto"/>
              <w:rPr>
                <w:rFonts w:hint="eastAsia" w:ascii="仿宋_GB2312" w:hAnsi="等线" w:eastAsia="仿宋_GB2312" w:cs="宋体"/>
                <w:kern w:val="0"/>
                <w:sz w:val="21"/>
                <w:szCs w:val="21"/>
              </w:rPr>
            </w:pPr>
          </w:p>
          <w:p>
            <w:pPr>
              <w:pStyle w:val="3"/>
              <w:spacing w:line="240" w:lineRule="auto"/>
              <w:rPr>
                <w:rFonts w:hint="eastAsia" w:ascii="仿宋_GB2312" w:hAnsi="等线" w:eastAsia="仿宋_GB2312" w:cs="宋体"/>
                <w:kern w:val="0"/>
                <w:sz w:val="21"/>
                <w:szCs w:val="21"/>
              </w:rPr>
            </w:pPr>
          </w:p>
          <w:p>
            <w:pPr>
              <w:pStyle w:val="3"/>
              <w:spacing w:line="240" w:lineRule="auto"/>
              <w:rPr>
                <w:rFonts w:hint="eastAsia" w:ascii="仿宋_GB2312" w:hAnsi="等线" w:eastAsia="仿宋_GB2312" w:cs="宋体"/>
                <w:kern w:val="0"/>
                <w:sz w:val="21"/>
                <w:szCs w:val="21"/>
              </w:rPr>
            </w:pPr>
          </w:p>
          <w:p>
            <w:pPr>
              <w:pStyle w:val="3"/>
              <w:spacing w:line="240" w:lineRule="auto"/>
              <w:rPr>
                <w:rFonts w:hint="eastAsia" w:ascii="仿宋_GB2312" w:hAnsi="等线" w:eastAsia="仿宋_GB2312" w:cs="宋体"/>
                <w:kern w:val="0"/>
                <w:sz w:val="21"/>
                <w:szCs w:val="21"/>
              </w:rPr>
            </w:pPr>
          </w:p>
          <w:p>
            <w:pPr>
              <w:pStyle w:val="3"/>
              <w:spacing w:line="240" w:lineRule="auto"/>
              <w:rPr>
                <w:rFonts w:hint="eastAsia" w:ascii="仿宋_GB2312" w:hAnsi="等线" w:eastAsia="仿宋_GB2312" w:cs="宋体"/>
                <w:kern w:val="0"/>
                <w:sz w:val="21"/>
                <w:szCs w:val="21"/>
              </w:rPr>
            </w:pPr>
          </w:p>
          <w:p>
            <w:pPr>
              <w:pStyle w:val="3"/>
              <w:spacing w:line="240" w:lineRule="auto"/>
              <w:rPr>
                <w:rFonts w:hint="eastAsia" w:ascii="仿宋_GB2312" w:hAnsi="等线" w:eastAsia="仿宋_GB2312" w:cs="宋体"/>
                <w:kern w:val="0"/>
                <w:sz w:val="21"/>
                <w:szCs w:val="21"/>
              </w:rPr>
            </w:pPr>
          </w:p>
          <w:p>
            <w:pPr>
              <w:pStyle w:val="3"/>
              <w:spacing w:line="240" w:lineRule="auto"/>
              <w:rPr>
                <w:rFonts w:hint="eastAsia" w:ascii="仿宋_GB2312" w:hAnsi="等线" w:eastAsia="仿宋_GB2312" w:cs="宋体"/>
                <w:kern w:val="0"/>
                <w:sz w:val="21"/>
                <w:szCs w:val="21"/>
              </w:rPr>
            </w:pPr>
          </w:p>
          <w:p>
            <w:pPr>
              <w:pStyle w:val="3"/>
              <w:spacing w:line="240" w:lineRule="auto"/>
              <w:jc w:val="both"/>
              <w:rPr>
                <w:rFonts w:hint="eastAsia" w:ascii="仿宋_GB2312" w:hAnsi="等线" w:eastAsia="仿宋_GB2312" w:cs="宋体"/>
                <w:kern w:val="0"/>
                <w:sz w:val="21"/>
                <w:szCs w:val="21"/>
              </w:rPr>
            </w:pPr>
          </w:p>
          <w:p>
            <w:pPr>
              <w:pStyle w:val="3"/>
              <w:spacing w:line="240" w:lineRule="auto"/>
              <w:rPr>
                <w:rFonts w:hint="eastAsia" w:eastAsia="仿宋_GB2312"/>
                <w:lang w:eastAsia="zh-CN"/>
              </w:rPr>
            </w:pPr>
            <w:r>
              <w:rPr>
                <w:rFonts w:hint="eastAsia" w:ascii="仿宋_GB2312" w:hAnsi="等线" w:eastAsia="仿宋_GB2312" w:cs="宋体"/>
                <w:kern w:val="0"/>
                <w:sz w:val="21"/>
                <w:szCs w:val="21"/>
              </w:rPr>
              <w:t>附加指标</w:t>
            </w:r>
            <w:r>
              <w:rPr>
                <w:rFonts w:hint="eastAsia" w:ascii="仿宋_GB2312" w:hAnsi="等线" w:eastAsia="仿宋_GB2312" w:cs="宋体"/>
                <w:kern w:val="0"/>
                <w:sz w:val="21"/>
                <w:szCs w:val="21"/>
                <w:lang w:eastAsia="zh-CN"/>
              </w:rPr>
              <w:t>（</w:t>
            </w:r>
            <w:r>
              <w:rPr>
                <w:rFonts w:hint="eastAsia" w:ascii="仿宋_GB2312" w:hAnsi="等线" w:eastAsia="仿宋_GB2312" w:cs="宋体"/>
                <w:kern w:val="0"/>
                <w:sz w:val="21"/>
                <w:szCs w:val="21"/>
                <w:lang w:val="en-US" w:eastAsia="zh-CN"/>
              </w:rPr>
              <w:t>30分</w:t>
            </w:r>
            <w:r>
              <w:rPr>
                <w:rFonts w:hint="eastAsia" w:ascii="仿宋_GB2312" w:hAnsi="等线" w:eastAsia="仿宋_GB2312" w:cs="宋体"/>
                <w:kern w:val="0"/>
                <w:sz w:val="21"/>
                <w:szCs w:val="21"/>
                <w:lang w:eastAsia="zh-CN"/>
              </w:rPr>
              <w:t>）</w:t>
            </w:r>
          </w:p>
        </w:tc>
        <w:tc>
          <w:tcPr>
            <w:tcW w:w="1134"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加分指标</w:t>
            </w:r>
            <w:r>
              <w:rPr>
                <w:rFonts w:hint="eastAsia" w:ascii="仿宋_GB2312" w:hAnsi="等线" w:cs="宋体"/>
                <w:kern w:val="0"/>
                <w:sz w:val="21"/>
                <w:szCs w:val="21"/>
                <w:lang w:eastAsia="zh-CN"/>
              </w:rPr>
              <w:t>（</w:t>
            </w:r>
            <w:r>
              <w:rPr>
                <w:rFonts w:hint="eastAsia" w:ascii="仿宋_GB2312" w:hAnsi="等线" w:cs="宋体"/>
                <w:kern w:val="0"/>
                <w:sz w:val="21"/>
                <w:szCs w:val="21"/>
                <w:lang w:val="en-US" w:eastAsia="zh-CN"/>
              </w:rPr>
              <w:t>16分</w:t>
            </w:r>
            <w:r>
              <w:rPr>
                <w:rFonts w:hint="eastAsia" w:ascii="仿宋_GB2312" w:hAnsi="等线" w:cs="宋体"/>
                <w:kern w:val="0"/>
                <w:sz w:val="21"/>
                <w:szCs w:val="21"/>
                <w:lang w:eastAsia="zh-CN"/>
              </w:rPr>
              <w:t>）</w:t>
            </w:r>
          </w:p>
        </w:tc>
        <w:tc>
          <w:tcPr>
            <w:tcW w:w="1134"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创新案例</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5</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政府网站在一体化服务、政务新媒体管理、新技术应用、数据开放等方面的创新做法（本年度和以往评估指标中涉及的创新性较低的案例不予采纳，发现上报材料相似度过高，经专家评审认定为抄袭的，均不采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每个网站可推荐多个应用案例，从展现功能、做法模式、效益效果、制度机制、可推广性等方面简要描述，填报《</w:t>
            </w:r>
            <w:r>
              <w:rPr>
                <w:rFonts w:hint="eastAsia" w:ascii="仿宋_GB2312" w:hAnsi="等线" w:cs="宋体"/>
                <w:kern w:val="0"/>
                <w:sz w:val="21"/>
                <w:szCs w:val="21"/>
                <w:lang w:val="en-US" w:eastAsia="zh-CN"/>
              </w:rPr>
              <w:t>2023年政府网站与政务新媒体优秀创新案例申请表</w:t>
            </w:r>
            <w:r>
              <w:rPr>
                <w:rFonts w:hint="eastAsia" w:ascii="仿宋_GB2312" w:hAnsi="等线" w:eastAsia="仿宋_GB2312" w:cs="宋体"/>
                <w:kern w:val="0"/>
                <w:sz w:val="21"/>
                <w:szCs w:val="21"/>
              </w:rPr>
              <w:t>》与自评整改报告一并报送。报送多个案例时，仅采纳评分最高的两个。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精品栏目</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6</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考核各网站整合网站信息资源，以人性化、喜闻乐见的方式设计并打造特色精品栏目的情况。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表彰宣传</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5</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本部门</w:t>
            </w:r>
            <w:r>
              <w:rPr>
                <w:rFonts w:hint="eastAsia" w:ascii="仿宋_GB2312" w:hAnsi="等线" w:cs="宋体"/>
                <w:kern w:val="0"/>
                <w:sz w:val="21"/>
                <w:szCs w:val="21"/>
                <w:lang w:eastAsia="zh-CN"/>
              </w:rPr>
              <w:t>政府网站与政务新媒体</w:t>
            </w:r>
            <w:r>
              <w:rPr>
                <w:rFonts w:hint="eastAsia" w:ascii="仿宋_GB2312" w:hAnsi="等线" w:eastAsia="仿宋_GB2312" w:cs="宋体"/>
                <w:kern w:val="0"/>
                <w:sz w:val="21"/>
                <w:szCs w:val="21"/>
              </w:rPr>
              <w:t>建设管理工作，如在信息公开、办事服务、互动交流、回应关切、集约化建设等方面的优秀做法模式、保障机制、实际效果等受到国务院相关部门、中央网信办、自治区人民政府等上级单位表彰的，每受到1次表彰加1分，累计最高加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本部门</w:t>
            </w:r>
            <w:r>
              <w:rPr>
                <w:rFonts w:hint="eastAsia" w:ascii="仿宋_GB2312" w:hAnsi="等线" w:cs="宋体"/>
                <w:kern w:val="0"/>
                <w:sz w:val="21"/>
                <w:szCs w:val="21"/>
                <w:lang w:eastAsia="zh-CN"/>
              </w:rPr>
              <w:t>政府网站与政务新媒体</w:t>
            </w:r>
            <w:r>
              <w:rPr>
                <w:rFonts w:hint="eastAsia" w:ascii="仿宋_GB2312" w:hAnsi="等线" w:eastAsia="仿宋_GB2312" w:cs="宋体"/>
                <w:kern w:val="0"/>
                <w:sz w:val="21"/>
                <w:szCs w:val="21"/>
              </w:rPr>
              <w:t>建设管理工作，如在信息公开、办事服务、互动交流、回应关切、集约化建设等方面的优秀做法模式、保障机制、实际效果等，被国家和自治区级主流媒体正面宣传报道的，每被报道1次加0.5分，累计最高加1.5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积极主动向广西壮族自治区人民政府门户网站报送本部门政府网站建设管理、“互联网</w:t>
            </w:r>
            <w:r>
              <w:rPr>
                <w:rFonts w:hint="eastAsia" w:ascii="仿宋_GB2312" w:hAnsi="等线" w:cs="宋体"/>
                <w:kern w:val="0"/>
                <w:sz w:val="21"/>
                <w:szCs w:val="21"/>
                <w:lang w:eastAsia="zh-CN"/>
              </w:rPr>
              <w:t>＋</w:t>
            </w:r>
            <w:r>
              <w:rPr>
                <w:rFonts w:hint="eastAsia" w:ascii="仿宋_GB2312" w:hAnsi="等线" w:eastAsia="仿宋_GB2312" w:cs="宋体"/>
                <w:kern w:val="0"/>
                <w:sz w:val="21"/>
                <w:szCs w:val="21"/>
              </w:rPr>
              <w:t>政务服务”等方面的工作成果，被中国政府网站、广西壮族自治区人民政府门户网站采用的，每被采用1次加0.5分，累计最高加1.5分。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restart"/>
            <w:tcBorders>
              <w:tl2br w:val="nil"/>
              <w:tr2bl w:val="nil"/>
            </w:tcBorders>
            <w:noWrap/>
            <w:vAlign w:val="center"/>
          </w:tcPr>
          <w:p>
            <w:pPr>
              <w:widowControl/>
              <w:spacing w:line="240" w:lineRule="auto"/>
              <w:jc w:val="center"/>
              <w:rPr>
                <w:rFonts w:hint="eastAsia" w:ascii="仿宋_GB2312" w:hAnsi="等线" w:cs="宋体"/>
                <w:kern w:val="0"/>
                <w:sz w:val="21"/>
                <w:szCs w:val="21"/>
              </w:rPr>
            </w:pPr>
          </w:p>
          <w:p>
            <w:pPr>
              <w:widowControl/>
              <w:spacing w:line="240" w:lineRule="auto"/>
              <w:jc w:val="both"/>
              <w:rPr>
                <w:rFonts w:hint="eastAsia" w:ascii="仿宋_GB2312" w:hAnsi="等线" w:cs="宋体"/>
                <w:kern w:val="0"/>
                <w:sz w:val="21"/>
                <w:szCs w:val="21"/>
              </w:rPr>
            </w:pPr>
          </w:p>
          <w:p>
            <w:pPr>
              <w:widowControl/>
              <w:spacing w:line="240" w:lineRule="auto"/>
              <w:jc w:val="center"/>
              <w:rPr>
                <w:rFonts w:hint="eastAsia" w:ascii="仿宋_GB2312" w:hAnsi="等线" w:cs="宋体"/>
                <w:kern w:val="0"/>
                <w:sz w:val="21"/>
                <w:szCs w:val="21"/>
              </w:rPr>
            </w:pPr>
          </w:p>
          <w:p>
            <w:pPr>
              <w:pStyle w:val="2"/>
              <w:rPr>
                <w:rFonts w:hint="eastAsia"/>
              </w:rPr>
            </w:pPr>
          </w:p>
          <w:p>
            <w:pPr>
              <w:widowControl/>
              <w:spacing w:line="240" w:lineRule="auto"/>
              <w:jc w:val="center"/>
              <w:rPr>
                <w:rFonts w:hint="eastAsia" w:ascii="仿宋_GB2312" w:hAnsi="等线" w:cs="宋体"/>
                <w:kern w:val="0"/>
                <w:sz w:val="21"/>
                <w:szCs w:val="21"/>
              </w:rPr>
            </w:pPr>
            <w:r>
              <w:rPr>
                <w:rFonts w:hint="eastAsia" w:ascii="仿宋_GB2312" w:hAnsi="等线" w:cs="宋体"/>
                <w:kern w:val="0"/>
                <w:sz w:val="21"/>
                <w:szCs w:val="21"/>
              </w:rPr>
              <w:t>扣分指标</w:t>
            </w:r>
            <w:r>
              <w:rPr>
                <w:rFonts w:hint="eastAsia" w:ascii="仿宋_GB2312" w:hAnsi="等线" w:cs="宋体"/>
                <w:kern w:val="0"/>
                <w:sz w:val="21"/>
                <w:szCs w:val="21"/>
                <w:lang w:eastAsia="zh-CN"/>
              </w:rPr>
              <w:t>（</w:t>
            </w:r>
            <w:r>
              <w:rPr>
                <w:rFonts w:hint="eastAsia" w:ascii="仿宋_GB2312" w:hAnsi="等线" w:cs="宋体"/>
                <w:kern w:val="0"/>
                <w:sz w:val="21"/>
                <w:szCs w:val="21"/>
                <w:lang w:val="en-US" w:eastAsia="zh-CN"/>
              </w:rPr>
              <w:t>14分</w:t>
            </w:r>
            <w:r>
              <w:rPr>
                <w:rFonts w:hint="eastAsia" w:ascii="仿宋_GB2312" w:hAnsi="等线" w:cs="宋体"/>
                <w:kern w:val="0"/>
                <w:sz w:val="21"/>
                <w:szCs w:val="21"/>
                <w:lang w:eastAsia="zh-CN"/>
              </w:rPr>
              <w:t>）</w:t>
            </w:r>
          </w:p>
          <w:p>
            <w:pPr>
              <w:pStyle w:val="2"/>
              <w:rPr>
                <w:rFonts w:hint="eastAsia" w:ascii="仿宋_GB2312" w:hAnsi="等线" w:eastAsia="仿宋_GB2312" w:cs="宋体"/>
                <w:kern w:val="0"/>
                <w:sz w:val="21"/>
                <w:szCs w:val="21"/>
              </w:rPr>
            </w:pPr>
          </w:p>
          <w:p>
            <w:pPr>
              <w:pStyle w:val="2"/>
              <w:rPr>
                <w:rFonts w:hint="eastAsia"/>
              </w:rPr>
            </w:pPr>
          </w:p>
        </w:tc>
        <w:tc>
          <w:tcPr>
            <w:tcW w:w="1134"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健康情况</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8</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季度检查中出现网站和政务新媒体不合格的情况、严重表述错误情况。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安全事件</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4</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本部门政府网站</w:t>
            </w:r>
            <w:r>
              <w:rPr>
                <w:rFonts w:hint="eastAsia" w:ascii="仿宋_GB2312" w:hAnsi="等线" w:cs="宋体"/>
                <w:kern w:val="0"/>
                <w:sz w:val="21"/>
                <w:szCs w:val="21"/>
                <w:lang w:val="en-US" w:eastAsia="zh-CN"/>
              </w:rPr>
              <w:t>或</w:t>
            </w:r>
            <w:r>
              <w:rPr>
                <w:rFonts w:hint="eastAsia" w:ascii="仿宋_GB2312" w:hAnsi="等线" w:eastAsia="仿宋_GB2312" w:cs="宋体"/>
                <w:kern w:val="0"/>
                <w:sz w:val="21"/>
                <w:szCs w:val="21"/>
              </w:rPr>
              <w:t>政务新媒体发生信息安全事故、存在安全漏洞、内容失真、问题地图、政治方向错误等事件的，扣分。其中，部门网站或政务新媒体主办单位每次2分，累计最高扣4分。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通报曝光</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w:t>
            </w: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本部门</w:t>
            </w:r>
            <w:r>
              <w:rPr>
                <w:rFonts w:hint="eastAsia" w:ascii="仿宋_GB2312" w:hAnsi="等线" w:cs="宋体"/>
                <w:kern w:val="0"/>
                <w:sz w:val="21"/>
                <w:szCs w:val="21"/>
                <w:lang w:eastAsia="zh-CN"/>
              </w:rPr>
              <w:t>政府网站与政务新媒体</w:t>
            </w:r>
            <w:r>
              <w:rPr>
                <w:rFonts w:hint="eastAsia" w:ascii="仿宋_GB2312" w:hAnsi="等线" w:eastAsia="仿宋_GB2312" w:cs="宋体"/>
                <w:kern w:val="0"/>
                <w:sz w:val="21"/>
                <w:szCs w:val="21"/>
              </w:rPr>
              <w:t>受到国家和自治区相关文件通报批评的，扣分。其中，政府门户网站每次1分，组织填报网站每次扣0.5分，累计最高扣2分。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9072"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本部门</w:t>
            </w:r>
            <w:r>
              <w:rPr>
                <w:rFonts w:hint="eastAsia" w:ascii="仿宋_GB2312" w:hAnsi="等线" w:cs="宋体"/>
                <w:kern w:val="0"/>
                <w:sz w:val="21"/>
                <w:szCs w:val="21"/>
                <w:lang w:eastAsia="zh-CN"/>
              </w:rPr>
              <w:t>政府网站与政务新媒体</w:t>
            </w:r>
            <w:r>
              <w:rPr>
                <w:rFonts w:hint="eastAsia" w:ascii="仿宋_GB2312" w:hAnsi="等线" w:eastAsia="仿宋_GB2312" w:cs="宋体"/>
                <w:kern w:val="0"/>
                <w:sz w:val="21"/>
                <w:szCs w:val="21"/>
              </w:rPr>
              <w:t>发生媒体曝光或其他负面影响事件，经查实属于</w:t>
            </w:r>
            <w:r>
              <w:rPr>
                <w:rFonts w:hint="eastAsia" w:ascii="仿宋_GB2312" w:hAnsi="等线" w:cs="宋体"/>
                <w:kern w:val="0"/>
                <w:sz w:val="21"/>
                <w:szCs w:val="21"/>
                <w:lang w:val="en-US" w:eastAsia="zh-CN"/>
              </w:rPr>
              <w:t>政府</w:t>
            </w:r>
            <w:r>
              <w:rPr>
                <w:rFonts w:hint="eastAsia" w:ascii="仿宋_GB2312" w:hAnsi="等线" w:eastAsia="仿宋_GB2312" w:cs="宋体"/>
                <w:kern w:val="0"/>
                <w:sz w:val="21"/>
                <w:szCs w:val="21"/>
              </w:rPr>
              <w:t>网站</w:t>
            </w:r>
            <w:r>
              <w:rPr>
                <w:rFonts w:hint="eastAsia" w:ascii="仿宋_GB2312" w:hAnsi="等线" w:cs="宋体"/>
                <w:kern w:val="0"/>
                <w:sz w:val="21"/>
                <w:szCs w:val="21"/>
                <w:lang w:val="en-US" w:eastAsia="zh-CN"/>
              </w:rPr>
              <w:t>建设</w:t>
            </w:r>
            <w:r>
              <w:rPr>
                <w:rFonts w:hint="eastAsia" w:ascii="仿宋_GB2312" w:hAnsi="等线" w:eastAsia="仿宋_GB2312" w:cs="宋体"/>
                <w:kern w:val="0"/>
                <w:sz w:val="21"/>
                <w:szCs w:val="21"/>
              </w:rPr>
              <w:t>管理</w:t>
            </w:r>
            <w:r>
              <w:rPr>
                <w:rFonts w:hint="eastAsia" w:ascii="仿宋_GB2312" w:hAnsi="等线" w:cs="宋体"/>
                <w:kern w:val="0"/>
                <w:sz w:val="21"/>
                <w:szCs w:val="21"/>
                <w:lang w:val="en-US" w:eastAsia="zh-CN"/>
              </w:rPr>
              <w:t>责任的</w:t>
            </w:r>
            <w:r>
              <w:rPr>
                <w:rFonts w:hint="eastAsia" w:ascii="仿宋_GB2312" w:hAnsi="等线" w:eastAsia="仿宋_GB2312" w:cs="宋体"/>
                <w:kern w:val="0"/>
                <w:sz w:val="21"/>
                <w:szCs w:val="21"/>
              </w:rPr>
              <w:t>或受到国家和自治区相关文件通报批评的，扣分。其中，政府门户网站每次1分，组织填报网站每次扣0.5分，累计最高扣2分。</w:t>
            </w:r>
          </w:p>
        </w:tc>
      </w:tr>
    </w:tbl>
    <w:p>
      <w:pPr>
        <w:rPr>
          <w:snapToGrid w:val="0"/>
        </w:rPr>
        <w:sectPr>
          <w:footerReference r:id="rId6" w:type="first"/>
          <w:footerReference r:id="rId5" w:type="default"/>
          <w:pgSz w:w="16838" w:h="11905" w:orient="landscape"/>
          <w:pgMar w:top="1418" w:right="1928" w:bottom="1418" w:left="1814" w:header="851" w:footer="1474" w:gutter="0"/>
          <w:pgBorders>
            <w:top w:val="none" w:sz="0" w:space="0"/>
            <w:left w:val="none" w:sz="0" w:space="0"/>
            <w:bottom w:val="none" w:sz="0" w:space="0"/>
            <w:right w:val="none" w:sz="0" w:space="0"/>
          </w:pgBorders>
          <w:pgNumType w:fmt="decimal"/>
          <w:cols w:space="720" w:num="1"/>
          <w:titlePg/>
          <w:docGrid w:type="lines" w:linePitch="408" w:charSpace="0"/>
        </w:sectPr>
      </w:pPr>
    </w:p>
    <w:p>
      <w:pPr>
        <w:adjustRightInd w:val="0"/>
        <w:snapToGrid w:val="0"/>
        <w:spacing w:before="405" w:beforeLines="130" w:after="405" w:afterLines="130" w:line="560" w:lineRule="exact"/>
        <w:jc w:val="center"/>
        <w:outlineLvl w:val="0"/>
        <w:rPr>
          <w:rFonts w:ascii="Times New Roman Regular" w:hAnsi="Times New Roman Regular" w:eastAsia="黑体" w:cs="Times New Roman Regular"/>
          <w:snapToGrid w:val="0"/>
          <w:sz w:val="32"/>
          <w:szCs w:val="32"/>
        </w:rPr>
      </w:pPr>
      <w:r>
        <w:rPr>
          <w:rFonts w:ascii="Times New Roman Regular" w:hAnsi="Times New Roman Regular" w:eastAsia="黑体" w:cs="Times New Roman Regular"/>
          <w:snapToGrid w:val="0"/>
          <w:sz w:val="32"/>
          <w:szCs w:val="32"/>
        </w:rPr>
        <w:t>二、设区市</w:t>
      </w:r>
      <w:r>
        <w:rPr>
          <w:rFonts w:hint="eastAsia" w:ascii="Times New Roman Regular" w:hAnsi="Times New Roman Regular" w:eastAsia="黑体" w:cs="Times New Roman Regular"/>
          <w:snapToGrid w:val="0"/>
          <w:sz w:val="32"/>
          <w:szCs w:val="32"/>
          <w:lang w:val="en-US" w:eastAsia="zh-CN"/>
        </w:rPr>
        <w:t>政府门户网站</w:t>
      </w:r>
      <w:r>
        <w:rPr>
          <w:rFonts w:ascii="Times New Roman Regular" w:hAnsi="Times New Roman Regular" w:eastAsia="黑体" w:cs="Times New Roman Regular"/>
          <w:snapToGrid w:val="0"/>
          <w:sz w:val="32"/>
          <w:szCs w:val="32"/>
        </w:rPr>
        <w:t>绩效评估指标</w:t>
      </w:r>
    </w:p>
    <w:tbl>
      <w:tblPr>
        <w:tblStyle w:val="5"/>
        <w:tblW w:w="12140" w:type="dxa"/>
        <w:tblInd w:w="11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4"/>
        <w:gridCol w:w="1134"/>
        <w:gridCol w:w="1134"/>
        <w:gridCol w:w="709"/>
        <w:gridCol w:w="80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blHeader/>
        </w:trPr>
        <w:tc>
          <w:tcPr>
            <w:tcW w:w="1124" w:type="dxa"/>
            <w:tcBorders>
              <w:tl2br w:val="nil"/>
              <w:tr2bl w:val="nil"/>
            </w:tcBorders>
            <w:noWrap/>
            <w:vAlign w:val="center"/>
          </w:tcPr>
          <w:p>
            <w:pPr>
              <w:adjustRightInd w:val="0"/>
              <w:snapToGrid w:val="0"/>
              <w:spacing w:line="500" w:lineRule="exact"/>
              <w:jc w:val="center"/>
              <w:textAlignment w:val="center"/>
              <w:rPr>
                <w:rFonts w:ascii="Times New Roman Regular" w:hAnsi="Times New Roman Regular" w:eastAsia="方正黑体_GBK" w:cs="Times New Roman Regular"/>
                <w:kern w:val="0"/>
                <w:szCs w:val="21"/>
              </w:rPr>
            </w:pPr>
            <w:r>
              <w:rPr>
                <w:rFonts w:hint="eastAsia" w:ascii="Times New Roman Regular" w:hAnsi="Times New Roman Regular" w:eastAsia="方正黑体_GBK" w:cs="Times New Roman Regular"/>
                <w:kern w:val="0"/>
                <w:sz w:val="21"/>
                <w:szCs w:val="21"/>
              </w:rPr>
              <w:t>一级指标</w:t>
            </w:r>
          </w:p>
        </w:tc>
        <w:tc>
          <w:tcPr>
            <w:tcW w:w="1134" w:type="dxa"/>
            <w:tcBorders>
              <w:tl2br w:val="nil"/>
              <w:tr2bl w:val="nil"/>
            </w:tcBorders>
            <w:noWrap/>
            <w:vAlign w:val="center"/>
          </w:tcPr>
          <w:p>
            <w:pPr>
              <w:adjustRightInd w:val="0"/>
              <w:snapToGrid w:val="0"/>
              <w:spacing w:line="500" w:lineRule="exact"/>
              <w:jc w:val="center"/>
              <w:textAlignment w:val="center"/>
              <w:rPr>
                <w:rFonts w:ascii="Times New Roman Regular" w:hAnsi="Times New Roman Regular" w:eastAsia="方正黑体_GBK" w:cs="Times New Roman Regular"/>
                <w:kern w:val="0"/>
                <w:szCs w:val="21"/>
              </w:rPr>
            </w:pPr>
            <w:r>
              <w:rPr>
                <w:rFonts w:hint="eastAsia" w:ascii="Times New Roman Regular" w:hAnsi="Times New Roman Regular" w:eastAsia="方正黑体_GBK" w:cs="Times New Roman Regular"/>
                <w:kern w:val="0"/>
                <w:sz w:val="21"/>
                <w:szCs w:val="21"/>
              </w:rPr>
              <w:t>二级指标</w:t>
            </w:r>
          </w:p>
        </w:tc>
        <w:tc>
          <w:tcPr>
            <w:tcW w:w="1134" w:type="dxa"/>
            <w:tcBorders>
              <w:tl2br w:val="nil"/>
              <w:tr2bl w:val="nil"/>
            </w:tcBorders>
            <w:noWrap/>
            <w:vAlign w:val="center"/>
          </w:tcPr>
          <w:p>
            <w:pPr>
              <w:adjustRightInd w:val="0"/>
              <w:snapToGrid w:val="0"/>
              <w:spacing w:line="500" w:lineRule="exact"/>
              <w:jc w:val="center"/>
              <w:textAlignment w:val="center"/>
              <w:rPr>
                <w:rFonts w:ascii="Times New Roman Regular" w:hAnsi="Times New Roman Regular" w:eastAsia="方正黑体_GBK" w:cs="Times New Roman Regular"/>
                <w:kern w:val="0"/>
                <w:szCs w:val="21"/>
              </w:rPr>
            </w:pPr>
            <w:r>
              <w:rPr>
                <w:rFonts w:hint="eastAsia" w:ascii="Times New Roman Regular" w:hAnsi="Times New Roman Regular" w:eastAsia="方正黑体_GBK" w:cs="Times New Roman Regular"/>
                <w:kern w:val="0"/>
                <w:sz w:val="21"/>
                <w:szCs w:val="21"/>
              </w:rPr>
              <w:t>三级指标</w:t>
            </w:r>
          </w:p>
        </w:tc>
        <w:tc>
          <w:tcPr>
            <w:tcW w:w="709" w:type="dxa"/>
            <w:tcBorders>
              <w:tl2br w:val="nil"/>
              <w:tr2bl w:val="nil"/>
            </w:tcBorders>
            <w:noWrap/>
            <w:vAlign w:val="center"/>
          </w:tcPr>
          <w:p>
            <w:pPr>
              <w:adjustRightInd w:val="0"/>
              <w:snapToGrid w:val="0"/>
              <w:spacing w:line="500" w:lineRule="exact"/>
              <w:jc w:val="center"/>
              <w:textAlignment w:val="center"/>
              <w:rPr>
                <w:rFonts w:ascii="Times New Roman Regular" w:hAnsi="Times New Roman Regular" w:eastAsia="方正黑体_GBK" w:cs="Times New Roman Regular"/>
                <w:kern w:val="0"/>
                <w:szCs w:val="21"/>
              </w:rPr>
            </w:pPr>
            <w:r>
              <w:rPr>
                <w:rFonts w:hint="eastAsia" w:ascii="Times New Roman Regular" w:hAnsi="Times New Roman Regular" w:eastAsia="方正黑体_GBK" w:cs="Times New Roman Regular"/>
                <w:kern w:val="0"/>
                <w:sz w:val="21"/>
                <w:szCs w:val="21"/>
              </w:rPr>
              <w:t>权重</w:t>
            </w:r>
          </w:p>
        </w:tc>
        <w:tc>
          <w:tcPr>
            <w:tcW w:w="8039" w:type="dxa"/>
            <w:tcBorders>
              <w:tl2br w:val="nil"/>
              <w:tr2bl w:val="nil"/>
            </w:tcBorders>
            <w:noWrap w:val="0"/>
            <w:vAlign w:val="center"/>
          </w:tcPr>
          <w:p>
            <w:pPr>
              <w:adjustRightInd w:val="0"/>
              <w:snapToGrid w:val="0"/>
              <w:spacing w:line="500" w:lineRule="exact"/>
              <w:jc w:val="center"/>
              <w:textAlignment w:val="center"/>
              <w:rPr>
                <w:rFonts w:ascii="Times New Roman Regular" w:hAnsi="Times New Roman Regular" w:eastAsia="方正黑体_GBK" w:cs="Times New Roman Regular"/>
                <w:kern w:val="0"/>
                <w:szCs w:val="21"/>
              </w:rPr>
            </w:pPr>
            <w:r>
              <w:rPr>
                <w:rFonts w:hint="eastAsia" w:ascii="Times New Roman Regular" w:hAnsi="Times New Roman Regular" w:eastAsia="方正黑体_GBK" w:cs="Times New Roman Regular"/>
                <w:kern w:val="0"/>
                <w:sz w:val="21"/>
                <w:szCs w:val="21"/>
              </w:rPr>
              <w:t>评估内容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0" w:hRule="atLeast"/>
        </w:trPr>
        <w:tc>
          <w:tcPr>
            <w:tcW w:w="1124" w:type="dxa"/>
            <w:vMerge w:val="restart"/>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发布解读</w:t>
            </w: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（38分）</w:t>
            </w:r>
          </w:p>
          <w:p>
            <w:pPr>
              <w:pStyle w:val="2"/>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发布解读</w:t>
            </w: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（38分）</w:t>
            </w:r>
          </w:p>
          <w:p>
            <w:pPr>
              <w:pStyle w:val="2"/>
              <w:jc w:val="center"/>
              <w:rPr>
                <w:rFonts w:hint="eastAsia" w:ascii="仿宋_GB2312" w:hAnsi="等线" w:eastAsia="仿宋_GB2312" w:cs="宋体"/>
                <w:kern w:val="0"/>
                <w:sz w:val="21"/>
                <w:szCs w:val="21"/>
              </w:rPr>
            </w:pPr>
          </w:p>
          <w:p>
            <w:pPr>
              <w:pStyle w:val="3"/>
              <w:rPr>
                <w:rFonts w:hint="eastAsia" w:ascii="仿宋_GB2312" w:hAnsi="等线" w:eastAsia="仿宋_GB2312" w:cs="宋体"/>
                <w:kern w:val="0"/>
                <w:sz w:val="21"/>
                <w:szCs w:val="21"/>
              </w:rPr>
            </w:pPr>
          </w:p>
          <w:p>
            <w:pPr>
              <w:jc w:val="center"/>
              <w:rPr>
                <w:rFonts w:hint="eastAsia" w:ascii="仿宋_GB2312" w:hAnsi="等线" w:eastAsia="仿宋_GB2312" w:cs="宋体"/>
                <w:kern w:val="0"/>
                <w:sz w:val="21"/>
                <w:szCs w:val="21"/>
              </w:rPr>
            </w:pPr>
          </w:p>
          <w:p>
            <w:pPr>
              <w:pStyle w:val="2"/>
              <w:jc w:val="center"/>
              <w:rPr>
                <w:rFonts w:hint="eastAsia" w:ascii="仿宋_GB2312" w:hAnsi="等线" w:eastAsia="仿宋_GB2312" w:cs="宋体"/>
                <w:kern w:val="0"/>
                <w:sz w:val="21"/>
                <w:szCs w:val="21"/>
              </w:rPr>
            </w:pPr>
          </w:p>
          <w:p>
            <w:pPr>
              <w:pStyle w:val="3"/>
              <w:rPr>
                <w:rFonts w:hint="eastAsia" w:ascii="仿宋_GB2312" w:hAnsi="等线" w:eastAsia="仿宋_GB2312" w:cs="宋体"/>
                <w:kern w:val="0"/>
                <w:sz w:val="21"/>
                <w:szCs w:val="21"/>
              </w:rPr>
            </w:pPr>
          </w:p>
          <w:p>
            <w:pPr>
              <w:jc w:val="center"/>
              <w:rPr>
                <w:rFonts w:hint="eastAsia" w:ascii="仿宋_GB2312" w:hAnsi="等线" w:eastAsia="仿宋_GB2312" w:cs="宋体"/>
                <w:kern w:val="0"/>
                <w:sz w:val="21"/>
                <w:szCs w:val="21"/>
              </w:rPr>
            </w:pPr>
          </w:p>
          <w:p>
            <w:pPr>
              <w:pStyle w:val="2"/>
              <w:jc w:val="center"/>
              <w:rPr>
                <w:rFonts w:hint="eastAsia" w:ascii="仿宋_GB2312" w:hAnsi="等线" w:eastAsia="仿宋_GB2312" w:cs="宋体"/>
                <w:kern w:val="0"/>
                <w:sz w:val="21"/>
                <w:szCs w:val="21"/>
              </w:rPr>
            </w:pPr>
          </w:p>
          <w:p>
            <w:pPr>
              <w:pStyle w:val="3"/>
              <w:rPr>
                <w:rFonts w:hint="eastAsia" w:ascii="仿宋_GB2312" w:hAnsi="等线" w:eastAsia="仿宋_GB2312" w:cs="宋体"/>
                <w:kern w:val="0"/>
                <w:sz w:val="21"/>
                <w:szCs w:val="21"/>
              </w:rPr>
            </w:pPr>
          </w:p>
          <w:p>
            <w:pPr>
              <w:jc w:val="center"/>
              <w:rPr>
                <w:rFonts w:hint="eastAsia" w:ascii="仿宋_GB2312" w:hAnsi="等线" w:eastAsia="仿宋_GB2312" w:cs="宋体"/>
                <w:kern w:val="0"/>
                <w:sz w:val="21"/>
                <w:szCs w:val="21"/>
              </w:rPr>
            </w:pPr>
          </w:p>
          <w:p>
            <w:pPr>
              <w:pStyle w:val="2"/>
              <w:jc w:val="center"/>
              <w:rPr>
                <w:rFonts w:hint="eastAsia"/>
              </w:rPr>
            </w:pP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发布解读</w:t>
            </w: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（38分）</w:t>
            </w:r>
          </w:p>
          <w:p>
            <w:pPr>
              <w:pStyle w:val="3"/>
              <w:rPr>
                <w:rFonts w:hint="eastAsia"/>
              </w:rPr>
            </w:pPr>
          </w:p>
          <w:p>
            <w:pPr>
              <w:pStyle w:val="3"/>
              <w:rPr>
                <w:rFonts w:hint="eastAsia"/>
              </w:rPr>
            </w:pPr>
          </w:p>
          <w:p>
            <w:pPr>
              <w:spacing w:line="240" w:lineRule="auto"/>
              <w:jc w:val="center"/>
              <w:rPr>
                <w:rFonts w:ascii="仿宋_GB2312" w:hAnsi="等线" w:eastAsia="仿宋_GB2312" w:cs="宋体"/>
                <w:kern w:val="0"/>
                <w:szCs w:val="21"/>
              </w:rPr>
            </w:pPr>
          </w:p>
        </w:tc>
        <w:tc>
          <w:tcPr>
            <w:tcW w:w="1134" w:type="dxa"/>
            <w:vMerge w:val="restart"/>
            <w:tcBorders>
              <w:tl2br w:val="nil"/>
              <w:tr2bl w:val="nil"/>
            </w:tcBorders>
            <w:noWrap/>
            <w:vAlign w:val="center"/>
          </w:tcPr>
          <w:p>
            <w:pPr>
              <w:pStyle w:val="2"/>
              <w:rPr>
                <w:rFonts w:hint="eastAsia" w:ascii="仿宋_GB2312" w:hAnsi="等线" w:eastAsia="仿宋_GB2312" w:cs="宋体"/>
                <w:kern w:val="0"/>
                <w:szCs w:val="21"/>
              </w:rPr>
            </w:pPr>
          </w:p>
          <w:p>
            <w:pPr>
              <w:pStyle w:val="2"/>
              <w:rPr>
                <w:rFonts w:hint="eastAsia" w:ascii="仿宋_GB2312" w:hAnsi="等线" w:eastAsia="仿宋_GB2312" w:cs="宋体"/>
                <w:kern w:val="0"/>
                <w:szCs w:val="21"/>
              </w:rPr>
            </w:pPr>
          </w:p>
          <w:p>
            <w:pPr>
              <w:pStyle w:val="2"/>
              <w:rPr>
                <w:rFonts w:hint="eastAsia" w:ascii="仿宋_GB2312" w:hAnsi="等线" w:eastAsia="仿宋_GB2312" w:cs="宋体"/>
                <w:kern w:val="0"/>
                <w:szCs w:val="21"/>
              </w:rPr>
            </w:pPr>
          </w:p>
          <w:p>
            <w:pPr>
              <w:pStyle w:val="2"/>
              <w:rPr>
                <w:rFonts w:hint="eastAsia" w:ascii="仿宋_GB2312" w:hAnsi="等线" w:eastAsia="仿宋_GB2312" w:cs="宋体"/>
                <w:kern w:val="0"/>
                <w:szCs w:val="21"/>
              </w:rPr>
            </w:pPr>
          </w:p>
          <w:p>
            <w:pPr>
              <w:pStyle w:val="2"/>
              <w:rPr>
                <w:rFonts w:hint="eastAsia" w:ascii="仿宋_GB2312" w:hAnsi="等线" w:eastAsia="仿宋_GB2312" w:cs="宋体"/>
                <w:kern w:val="0"/>
                <w:szCs w:val="21"/>
              </w:rPr>
            </w:pPr>
          </w:p>
          <w:p>
            <w:pPr>
              <w:pStyle w:val="2"/>
              <w:rPr>
                <w:rFonts w:hint="eastAsia" w:ascii="仿宋_GB2312" w:hAnsi="等线" w:eastAsia="仿宋_GB2312" w:cs="宋体"/>
                <w:kern w:val="0"/>
                <w:szCs w:val="21"/>
              </w:rPr>
            </w:pPr>
            <w:r>
              <w:rPr>
                <w:rFonts w:hint="eastAsia" w:ascii="仿宋_GB2312" w:hAnsi="等线" w:eastAsia="仿宋_GB2312" w:cs="宋体"/>
                <w:kern w:val="0"/>
                <w:szCs w:val="21"/>
              </w:rPr>
              <w:t>主动公开</w:t>
            </w:r>
          </w:p>
          <w:p>
            <w:pPr>
              <w:pStyle w:val="2"/>
              <w:jc w:val="center"/>
              <w:rPr>
                <w:rFonts w:hint="eastAsia" w:ascii="仿宋_GB2312" w:hAnsi="等线" w:eastAsia="仿宋_GB2312" w:cs="宋体"/>
                <w:kern w:val="0"/>
                <w:sz w:val="21"/>
                <w:szCs w:val="21"/>
              </w:rPr>
            </w:pPr>
          </w:p>
          <w:p>
            <w:pPr>
              <w:pStyle w:val="2"/>
              <w:jc w:val="center"/>
              <w:rPr>
                <w:rFonts w:hint="eastAsia" w:ascii="仿宋_GB2312" w:hAnsi="等线" w:eastAsia="仿宋_GB2312" w:cs="宋体"/>
                <w:kern w:val="0"/>
                <w:sz w:val="21"/>
                <w:szCs w:val="21"/>
              </w:rPr>
            </w:pPr>
          </w:p>
          <w:p>
            <w:pPr>
              <w:pStyle w:val="2"/>
              <w:jc w:val="center"/>
              <w:rPr>
                <w:rFonts w:hint="eastAsia" w:ascii="仿宋_GB2312" w:hAnsi="等线" w:eastAsia="仿宋_GB2312" w:cs="宋体"/>
                <w:kern w:val="0"/>
                <w:sz w:val="21"/>
                <w:szCs w:val="21"/>
              </w:rPr>
            </w:pPr>
          </w:p>
          <w:p>
            <w:pPr>
              <w:pStyle w:val="2"/>
              <w:jc w:val="center"/>
              <w:rPr>
                <w:rFonts w:hint="eastAsia" w:ascii="仿宋_GB2312" w:hAnsi="等线" w:eastAsia="仿宋_GB2312" w:cs="宋体"/>
                <w:kern w:val="0"/>
                <w:sz w:val="21"/>
                <w:szCs w:val="21"/>
              </w:rPr>
            </w:pPr>
          </w:p>
          <w:p>
            <w:pPr>
              <w:pStyle w:val="2"/>
              <w:jc w:val="center"/>
              <w:rPr>
                <w:rFonts w:hint="eastAsia" w:ascii="仿宋_GB2312" w:hAnsi="等线" w:eastAsia="仿宋_GB2312" w:cs="宋体"/>
                <w:kern w:val="0"/>
                <w:sz w:val="21"/>
                <w:szCs w:val="21"/>
              </w:rPr>
            </w:pPr>
          </w:p>
          <w:p>
            <w:pPr>
              <w:pStyle w:val="2"/>
              <w:jc w:val="center"/>
              <w:rPr>
                <w:rFonts w:hint="eastAsia" w:ascii="仿宋_GB2312" w:hAnsi="等线" w:eastAsia="仿宋_GB2312" w:cs="宋体"/>
                <w:kern w:val="0"/>
                <w:sz w:val="21"/>
                <w:szCs w:val="21"/>
              </w:rPr>
            </w:pPr>
          </w:p>
          <w:p>
            <w:pPr>
              <w:pStyle w:val="2"/>
              <w:jc w:val="center"/>
              <w:rPr>
                <w:rFonts w:hint="eastAsia" w:ascii="仿宋_GB2312" w:hAnsi="等线" w:eastAsia="仿宋_GB2312" w:cs="宋体"/>
                <w:kern w:val="0"/>
                <w:sz w:val="21"/>
                <w:szCs w:val="21"/>
              </w:rPr>
            </w:pPr>
          </w:p>
          <w:p>
            <w:pPr>
              <w:pStyle w:val="2"/>
              <w:jc w:val="center"/>
              <w:rPr>
                <w:rFonts w:hint="eastAsia" w:ascii="仿宋_GB2312" w:hAnsi="等线" w:eastAsia="仿宋_GB2312" w:cs="宋体"/>
                <w:kern w:val="0"/>
                <w:sz w:val="21"/>
                <w:szCs w:val="21"/>
              </w:rPr>
            </w:pPr>
          </w:p>
          <w:p>
            <w:pPr>
              <w:pStyle w:val="2"/>
              <w:jc w:val="center"/>
            </w:pPr>
            <w:r>
              <w:rPr>
                <w:rFonts w:hint="eastAsia" w:ascii="仿宋_GB2312" w:hAnsi="等线" w:eastAsia="仿宋_GB2312" w:cs="宋体"/>
                <w:kern w:val="0"/>
                <w:sz w:val="21"/>
                <w:szCs w:val="21"/>
              </w:rPr>
              <w:t>主动公开</w:t>
            </w:r>
          </w:p>
        </w:tc>
        <w:tc>
          <w:tcPr>
            <w:tcW w:w="1134" w:type="dxa"/>
            <w:vMerge w:val="restart"/>
            <w:tcBorders>
              <w:tl2br w:val="nil"/>
              <w:tr2bl w:val="nil"/>
            </w:tcBorders>
            <w:noWrap/>
            <w:vAlign w:val="center"/>
          </w:tcPr>
          <w:p>
            <w:pPr>
              <w:widowControl/>
              <w:spacing w:line="240" w:lineRule="auto"/>
              <w:jc w:val="center"/>
              <w:rPr>
                <w:rFonts w:ascii="仿宋_GB2312" w:hAnsi="等线" w:eastAsia="仿宋_GB2312" w:cs="宋体"/>
                <w:kern w:val="0"/>
                <w:szCs w:val="21"/>
              </w:rPr>
            </w:pPr>
            <w:r>
              <w:rPr>
                <w:rFonts w:hint="eastAsia" w:ascii="仿宋_GB2312" w:hAnsi="等线" w:eastAsia="仿宋_GB2312" w:cs="宋体"/>
                <w:kern w:val="0"/>
                <w:sz w:val="21"/>
                <w:szCs w:val="21"/>
              </w:rPr>
              <w:t>基础信息</w:t>
            </w:r>
          </w:p>
        </w:tc>
        <w:tc>
          <w:tcPr>
            <w:tcW w:w="709" w:type="dxa"/>
            <w:vMerge w:val="restart"/>
            <w:tcBorders>
              <w:tl2br w:val="nil"/>
              <w:tr2bl w:val="nil"/>
            </w:tcBorders>
            <w:noWrap/>
            <w:vAlign w:val="center"/>
          </w:tcPr>
          <w:p>
            <w:pPr>
              <w:widowControl/>
              <w:spacing w:line="240" w:lineRule="auto"/>
              <w:jc w:val="center"/>
              <w:rPr>
                <w:rFonts w:ascii="仿宋_GB2312" w:hAnsi="等线" w:eastAsia="仿宋_GB2312" w:cs="宋体"/>
                <w:kern w:val="0"/>
                <w:szCs w:val="21"/>
              </w:rPr>
            </w:pPr>
            <w:r>
              <w:rPr>
                <w:rFonts w:hint="eastAsia" w:ascii="仿宋_GB2312" w:hAnsi="等线" w:eastAsia="仿宋_GB2312" w:cs="宋体"/>
                <w:kern w:val="0"/>
                <w:sz w:val="21"/>
                <w:szCs w:val="21"/>
              </w:rPr>
              <w:t>9</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考核概况、机构职能、领导信息、政务动态、文件资料、人事信息、规划计划、财政信息、数据发布、政府会议、建议提案等基础信息公开栏目建设和内容维护情况：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spacing w:line="240" w:lineRule="auto"/>
              <w:jc w:val="center"/>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center"/>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center"/>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center"/>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栏目体系是否合理，是否按照用户使用习惯或业务逻辑分类设置栏目</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1" w:hRule="atLeast"/>
        </w:trPr>
        <w:tc>
          <w:tcPr>
            <w:tcW w:w="1124" w:type="dxa"/>
            <w:vMerge w:val="continue"/>
            <w:tcBorders>
              <w:tl2br w:val="nil"/>
              <w:tr2bl w:val="nil"/>
            </w:tcBorders>
            <w:noWrap w:val="0"/>
            <w:vAlign w:val="center"/>
          </w:tcPr>
          <w:p>
            <w:pPr>
              <w:spacing w:line="240" w:lineRule="auto"/>
              <w:jc w:val="center"/>
              <w:rPr>
                <w:rFonts w:ascii="等线" w:hAnsi="等线" w:eastAsia="等线" w:cs="宋体"/>
                <w:kern w:val="0"/>
                <w:szCs w:val="21"/>
              </w:rPr>
            </w:pPr>
          </w:p>
        </w:tc>
        <w:tc>
          <w:tcPr>
            <w:tcW w:w="1134" w:type="dxa"/>
            <w:vMerge w:val="continue"/>
            <w:tcBorders>
              <w:tl2br w:val="nil"/>
              <w:tr2bl w:val="nil"/>
            </w:tcBorders>
            <w:noWrap w:val="0"/>
            <w:vAlign w:val="center"/>
          </w:tcPr>
          <w:p>
            <w:pPr>
              <w:widowControl/>
              <w:spacing w:line="240" w:lineRule="auto"/>
              <w:jc w:val="center"/>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center"/>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center"/>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val="en-US" w:eastAsia="zh-CN"/>
              </w:rPr>
            </w:pPr>
            <w:r>
              <w:rPr>
                <w:rFonts w:hint="eastAsia" w:ascii="仿宋_GB2312" w:hAnsi="等线" w:eastAsia="仿宋_GB2312" w:cs="宋体"/>
                <w:kern w:val="0"/>
                <w:sz w:val="21"/>
                <w:szCs w:val="21"/>
              </w:rPr>
              <w:t>2.</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栏目内容与栏目名称的一致性、匹配度，是否存在关联性不高的信息噪音</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spacing w:line="240" w:lineRule="auto"/>
              <w:jc w:val="center"/>
              <w:rPr>
                <w:rFonts w:ascii="等线" w:hAnsi="等线" w:eastAsia="等线" w:cs="宋体"/>
                <w:kern w:val="0"/>
                <w:szCs w:val="21"/>
              </w:rPr>
            </w:pPr>
          </w:p>
        </w:tc>
        <w:tc>
          <w:tcPr>
            <w:tcW w:w="1134" w:type="dxa"/>
            <w:vMerge w:val="continue"/>
            <w:tcBorders>
              <w:tl2br w:val="nil"/>
              <w:tr2bl w:val="nil"/>
            </w:tcBorders>
            <w:noWrap w:val="0"/>
            <w:vAlign w:val="center"/>
          </w:tcPr>
          <w:p>
            <w:pPr>
              <w:widowControl/>
              <w:spacing w:line="240" w:lineRule="auto"/>
              <w:jc w:val="center"/>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center"/>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center"/>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政府信息公开专栏内容是否符合政府信息公开条例第二十条、二十一条要求。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spacing w:line="240" w:lineRule="auto"/>
              <w:jc w:val="center"/>
              <w:rPr>
                <w:rFonts w:ascii="等线" w:hAnsi="等线" w:eastAsia="等线" w:cs="宋体"/>
                <w:kern w:val="0"/>
                <w:szCs w:val="21"/>
              </w:rPr>
            </w:pPr>
          </w:p>
        </w:tc>
        <w:tc>
          <w:tcPr>
            <w:tcW w:w="1134" w:type="dxa"/>
            <w:vMerge w:val="continue"/>
            <w:tcBorders>
              <w:tl2br w:val="nil"/>
              <w:tr2bl w:val="nil"/>
            </w:tcBorders>
            <w:noWrap w:val="0"/>
            <w:vAlign w:val="center"/>
          </w:tcPr>
          <w:p>
            <w:pPr>
              <w:widowControl/>
              <w:spacing w:line="240" w:lineRule="auto"/>
              <w:jc w:val="center"/>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center"/>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center"/>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额外加分：栏目设计新颖、展现形式多样，能够将信息视作数据并开发设计应用类栏目的。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spacing w:line="240" w:lineRule="auto"/>
              <w:jc w:val="center"/>
              <w:rPr>
                <w:rFonts w:ascii="等线" w:hAnsi="等线" w:eastAsia="等线" w:cs="宋体"/>
                <w:kern w:val="0"/>
                <w:szCs w:val="21"/>
              </w:rPr>
            </w:pPr>
          </w:p>
        </w:tc>
        <w:tc>
          <w:tcPr>
            <w:tcW w:w="1134" w:type="dxa"/>
            <w:vMerge w:val="continue"/>
            <w:tcBorders>
              <w:tl2br w:val="nil"/>
              <w:tr2bl w:val="nil"/>
            </w:tcBorders>
            <w:noWrap w:val="0"/>
            <w:vAlign w:val="center"/>
          </w:tcPr>
          <w:p>
            <w:pPr>
              <w:widowControl/>
              <w:spacing w:line="240" w:lineRule="auto"/>
              <w:jc w:val="center"/>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center"/>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center"/>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额外扣分：更新不及时、存在突击发布或弄虚作假情况的。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21" w:hRule="atLeast"/>
        </w:trPr>
        <w:tc>
          <w:tcPr>
            <w:tcW w:w="1124" w:type="dxa"/>
            <w:vMerge w:val="continue"/>
            <w:tcBorders>
              <w:tl2br w:val="nil"/>
              <w:tr2bl w:val="nil"/>
            </w:tcBorders>
            <w:noWrap w:val="0"/>
            <w:vAlign w:val="center"/>
          </w:tcPr>
          <w:p>
            <w:pPr>
              <w:spacing w:line="240" w:lineRule="auto"/>
              <w:jc w:val="center"/>
              <w:rPr>
                <w:rFonts w:ascii="等线" w:hAnsi="等线" w:eastAsia="等线" w:cs="宋体"/>
                <w:kern w:val="0"/>
                <w:szCs w:val="21"/>
              </w:rPr>
            </w:pPr>
          </w:p>
        </w:tc>
        <w:tc>
          <w:tcPr>
            <w:tcW w:w="1134" w:type="dxa"/>
            <w:vMerge w:val="continue"/>
            <w:tcBorders>
              <w:tl2br w:val="nil"/>
              <w:tr2bl w:val="nil"/>
            </w:tcBorders>
            <w:noWrap w:val="0"/>
            <w:vAlign w:val="center"/>
          </w:tcPr>
          <w:p>
            <w:pPr>
              <w:widowControl/>
              <w:spacing w:line="240" w:lineRule="auto"/>
              <w:jc w:val="center"/>
              <w:rPr>
                <w:rFonts w:ascii="仿宋_GB2312" w:hAnsi="等线" w:eastAsia="仿宋_GB2312" w:cs="宋体"/>
                <w:kern w:val="0"/>
                <w:szCs w:val="21"/>
              </w:rPr>
            </w:pPr>
          </w:p>
        </w:tc>
        <w:tc>
          <w:tcPr>
            <w:tcW w:w="1134"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重点信息</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12</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考核重大建设项目批准和实施、住房保障、国有土地使用权和矿业权出让领域、政府采购、国有产权交易、社会救助和社会福利、教育、公共医疗卫生、环境保护、灾害事故救援、公共文化体育、价格和收费、安全生产、食品安全等重点领域信息公开栏目建设和内容维护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spacing w:line="240" w:lineRule="auto"/>
              <w:jc w:val="center"/>
              <w:rPr>
                <w:rFonts w:ascii="等线" w:hAnsi="等线" w:eastAsia="等线" w:cs="宋体"/>
                <w:kern w:val="0"/>
                <w:szCs w:val="21"/>
              </w:rPr>
            </w:pPr>
          </w:p>
        </w:tc>
        <w:tc>
          <w:tcPr>
            <w:tcW w:w="1134" w:type="dxa"/>
            <w:vMerge w:val="continue"/>
            <w:tcBorders>
              <w:tl2br w:val="nil"/>
              <w:tr2bl w:val="nil"/>
            </w:tcBorders>
            <w:noWrap w:val="0"/>
            <w:vAlign w:val="center"/>
          </w:tcPr>
          <w:p>
            <w:pPr>
              <w:widowControl/>
              <w:spacing w:line="240" w:lineRule="auto"/>
              <w:jc w:val="center"/>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栏目体系是否合理，是否按照用户使用习惯或业务逻辑分类设置栏目</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spacing w:line="240" w:lineRule="auto"/>
              <w:jc w:val="center"/>
              <w:rPr>
                <w:rFonts w:ascii="等线" w:hAnsi="等线" w:eastAsia="等线" w:cs="宋体"/>
                <w:kern w:val="0"/>
                <w:szCs w:val="21"/>
              </w:rPr>
            </w:pPr>
          </w:p>
        </w:tc>
        <w:tc>
          <w:tcPr>
            <w:tcW w:w="1134" w:type="dxa"/>
            <w:vMerge w:val="continue"/>
            <w:tcBorders>
              <w:tl2br w:val="nil"/>
              <w:tr2bl w:val="nil"/>
            </w:tcBorders>
            <w:noWrap w:val="0"/>
            <w:vAlign w:val="center"/>
          </w:tcPr>
          <w:p>
            <w:pPr>
              <w:widowControl/>
              <w:spacing w:line="240" w:lineRule="auto"/>
              <w:jc w:val="center"/>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栏目内容与栏目名称的一致性、匹配度，是否存在关联性不高的信息噪音。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0" w:hRule="atLeast"/>
        </w:trPr>
        <w:tc>
          <w:tcPr>
            <w:tcW w:w="1124" w:type="dxa"/>
            <w:vMerge w:val="continue"/>
            <w:tcBorders>
              <w:tl2br w:val="nil"/>
              <w:tr2bl w:val="nil"/>
            </w:tcBorders>
            <w:noWrap w:val="0"/>
            <w:vAlign w:val="center"/>
          </w:tcPr>
          <w:p>
            <w:pPr>
              <w:jc w:val="center"/>
              <w:rPr>
                <w:rFonts w:ascii="等线" w:hAnsi="等线" w:eastAsia="等线" w:cs="宋体"/>
                <w:kern w:val="0"/>
                <w:szCs w:val="21"/>
              </w:rPr>
            </w:pPr>
          </w:p>
        </w:tc>
        <w:tc>
          <w:tcPr>
            <w:tcW w:w="1134" w:type="dxa"/>
            <w:vMerge w:val="continue"/>
            <w:tcBorders>
              <w:tl2br w:val="nil"/>
              <w:tr2bl w:val="nil"/>
            </w:tcBorders>
            <w:noWrap w:val="0"/>
            <w:vAlign w:val="center"/>
          </w:tcPr>
          <w:p>
            <w:pPr>
              <w:widowControl/>
              <w:jc w:val="center"/>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额外加分：栏目设计新颖、展现形式多样，能够将信息视作数据并开发设计应用类栏目的。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center"/>
              <w:rPr>
                <w:rFonts w:ascii="等线" w:hAnsi="等线" w:eastAsia="等线" w:cs="宋体"/>
                <w:kern w:val="0"/>
                <w:szCs w:val="21"/>
              </w:rPr>
            </w:pPr>
          </w:p>
        </w:tc>
        <w:tc>
          <w:tcPr>
            <w:tcW w:w="1134" w:type="dxa"/>
            <w:vMerge w:val="continue"/>
            <w:tcBorders>
              <w:tl2br w:val="nil"/>
              <w:tr2bl w:val="nil"/>
            </w:tcBorders>
            <w:noWrap w:val="0"/>
            <w:vAlign w:val="center"/>
          </w:tcPr>
          <w:p>
            <w:pPr>
              <w:widowControl/>
              <w:jc w:val="center"/>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额外扣分：更新不及时、存在突击发布或弄虚作假情况的。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center"/>
              <w:rPr>
                <w:rFonts w:ascii="等线" w:hAnsi="等线" w:eastAsia="等线" w:cs="宋体"/>
                <w:kern w:val="0"/>
                <w:szCs w:val="21"/>
              </w:rPr>
            </w:pPr>
          </w:p>
        </w:tc>
        <w:tc>
          <w:tcPr>
            <w:tcW w:w="1134" w:type="dxa"/>
            <w:vMerge w:val="continue"/>
            <w:tcBorders>
              <w:tl2br w:val="nil"/>
              <w:tr2bl w:val="nil"/>
            </w:tcBorders>
            <w:noWrap w:val="0"/>
            <w:vAlign w:val="center"/>
          </w:tcPr>
          <w:p>
            <w:pPr>
              <w:widowControl/>
              <w:jc w:val="center"/>
              <w:rPr>
                <w:rFonts w:ascii="仿宋_GB2312" w:hAnsi="等线" w:eastAsia="仿宋_GB2312" w:cs="宋体"/>
                <w:kern w:val="0"/>
                <w:szCs w:val="21"/>
              </w:rPr>
            </w:pPr>
          </w:p>
        </w:tc>
        <w:tc>
          <w:tcPr>
            <w:tcW w:w="1134"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政策解读</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6</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本地区通过政府网站开展政策解读的情况：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center"/>
              <w:rPr>
                <w:rFonts w:ascii="等线" w:hAnsi="等线" w:eastAsia="等线" w:cs="宋体"/>
                <w:kern w:val="0"/>
                <w:szCs w:val="21"/>
              </w:rPr>
            </w:pPr>
          </w:p>
        </w:tc>
        <w:tc>
          <w:tcPr>
            <w:tcW w:w="1134" w:type="dxa"/>
            <w:vMerge w:val="continue"/>
            <w:tcBorders>
              <w:tl2br w:val="nil"/>
              <w:tr2bl w:val="nil"/>
            </w:tcBorders>
            <w:noWrap w:val="0"/>
            <w:vAlign w:val="center"/>
          </w:tcPr>
          <w:p>
            <w:pPr>
              <w:widowControl/>
              <w:jc w:val="center"/>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网站对本地区政策文件的解读比例和解读形式（如图形图表、音视频、新闻发布会、媒体报道等形式）</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center"/>
              <w:rPr>
                <w:rFonts w:ascii="等线" w:hAnsi="等线" w:eastAsia="等线" w:cs="宋体"/>
                <w:kern w:val="0"/>
                <w:szCs w:val="21"/>
              </w:rPr>
            </w:pPr>
          </w:p>
        </w:tc>
        <w:tc>
          <w:tcPr>
            <w:tcW w:w="1134" w:type="dxa"/>
            <w:vMerge w:val="continue"/>
            <w:tcBorders>
              <w:tl2br w:val="nil"/>
              <w:tr2bl w:val="nil"/>
            </w:tcBorders>
            <w:noWrap w:val="0"/>
            <w:vAlign w:val="center"/>
          </w:tcPr>
          <w:p>
            <w:pPr>
              <w:widowControl/>
              <w:jc w:val="center"/>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栏目内容与栏目名称的一致性、匹配度，是否存在关联性不高的信息噪音。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center"/>
              <w:rPr>
                <w:rFonts w:ascii="等线" w:hAnsi="等线" w:eastAsia="等线" w:cs="宋体"/>
                <w:kern w:val="0"/>
                <w:szCs w:val="21"/>
              </w:rPr>
            </w:pPr>
          </w:p>
        </w:tc>
        <w:tc>
          <w:tcPr>
            <w:tcW w:w="1134" w:type="dxa"/>
            <w:vMerge w:val="continue"/>
            <w:tcBorders>
              <w:tl2br w:val="nil"/>
              <w:tr2bl w:val="nil"/>
            </w:tcBorders>
            <w:noWrap w:val="0"/>
            <w:vAlign w:val="center"/>
          </w:tcPr>
          <w:p>
            <w:pPr>
              <w:widowControl/>
              <w:jc w:val="center"/>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额外加分：实现便民惠企政策文件精准分类、精准送达和办事关联的。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center"/>
              <w:rPr>
                <w:rFonts w:ascii="等线" w:hAnsi="等线" w:eastAsia="等线" w:cs="宋体"/>
                <w:kern w:val="0"/>
                <w:szCs w:val="21"/>
              </w:rPr>
            </w:pPr>
          </w:p>
        </w:tc>
        <w:tc>
          <w:tcPr>
            <w:tcW w:w="1134" w:type="dxa"/>
            <w:vMerge w:val="continue"/>
            <w:tcBorders>
              <w:tl2br w:val="nil"/>
              <w:tr2bl w:val="nil"/>
            </w:tcBorders>
            <w:noWrap w:val="0"/>
            <w:vAlign w:val="center"/>
          </w:tcPr>
          <w:p>
            <w:pPr>
              <w:widowControl/>
              <w:jc w:val="center"/>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额外扣分：更新不及时、存在突击发布或弄虚作假情况的。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center"/>
              <w:rPr>
                <w:rFonts w:ascii="等线" w:hAnsi="等线" w:eastAsia="等线" w:cs="宋体"/>
                <w:kern w:val="0"/>
                <w:szCs w:val="21"/>
              </w:rPr>
            </w:pPr>
          </w:p>
        </w:tc>
        <w:tc>
          <w:tcPr>
            <w:tcW w:w="1134" w:type="dxa"/>
            <w:vMerge w:val="restart"/>
            <w:tcBorders>
              <w:tl2br w:val="nil"/>
              <w:tr2bl w:val="nil"/>
            </w:tcBorders>
            <w:noWrap/>
            <w:vAlign w:val="center"/>
          </w:tcPr>
          <w:p>
            <w:pPr>
              <w:pStyle w:val="2"/>
              <w:rPr>
                <w:rFonts w:hint="eastAsia" w:ascii="仿宋_GB2312" w:hAnsi="等线" w:eastAsia="仿宋_GB2312" w:cs="宋体"/>
                <w:kern w:val="0"/>
                <w:szCs w:val="21"/>
              </w:rPr>
            </w:pPr>
          </w:p>
          <w:p>
            <w:pPr>
              <w:pStyle w:val="2"/>
              <w:rPr>
                <w:rFonts w:hint="eastAsia" w:ascii="仿宋_GB2312" w:hAnsi="等线" w:eastAsia="仿宋_GB2312" w:cs="宋体"/>
                <w:kern w:val="0"/>
                <w:szCs w:val="21"/>
              </w:rPr>
            </w:pPr>
          </w:p>
          <w:p>
            <w:pPr>
              <w:pStyle w:val="2"/>
              <w:rPr>
                <w:rFonts w:hint="eastAsia" w:ascii="仿宋_GB2312" w:hAnsi="等线" w:eastAsia="仿宋_GB2312" w:cs="宋体"/>
                <w:kern w:val="0"/>
                <w:szCs w:val="21"/>
              </w:rPr>
            </w:pPr>
          </w:p>
          <w:p>
            <w:pPr>
              <w:pStyle w:val="2"/>
              <w:jc w:val="center"/>
              <w:rPr>
                <w:rFonts w:hint="eastAsia" w:ascii="仿宋_GB2312" w:hAnsi="等线" w:eastAsia="仿宋_GB2312" w:cs="宋体"/>
                <w:kern w:val="0"/>
                <w:szCs w:val="21"/>
              </w:rPr>
            </w:pPr>
            <w:r>
              <w:rPr>
                <w:rFonts w:hint="eastAsia" w:ascii="仿宋_GB2312" w:hAnsi="等线" w:eastAsia="仿宋_GB2312" w:cs="宋体"/>
                <w:kern w:val="0"/>
                <w:szCs w:val="21"/>
              </w:rPr>
              <w:t>特色栏目</w:t>
            </w:r>
          </w:p>
          <w:p>
            <w:pPr>
              <w:pStyle w:val="3"/>
              <w:rPr>
                <w:rFonts w:hint="eastAsia" w:ascii="仿宋_GB2312" w:hAnsi="等线" w:eastAsia="仿宋_GB2312" w:cs="宋体"/>
                <w:kern w:val="0"/>
                <w:szCs w:val="21"/>
              </w:rPr>
            </w:pPr>
          </w:p>
          <w:p>
            <w:pPr>
              <w:rPr>
                <w:rFonts w:hint="eastAsia" w:ascii="仿宋_GB2312" w:hAnsi="等线" w:eastAsia="仿宋_GB2312" w:cs="宋体"/>
                <w:kern w:val="0"/>
                <w:szCs w:val="21"/>
              </w:rPr>
            </w:pPr>
          </w:p>
          <w:p>
            <w:pPr>
              <w:pStyle w:val="2"/>
              <w:rPr>
                <w:rFonts w:hint="eastAsia" w:ascii="仿宋_GB2312" w:hAnsi="等线" w:eastAsia="仿宋_GB2312" w:cs="宋体"/>
                <w:kern w:val="0"/>
                <w:szCs w:val="21"/>
              </w:rPr>
            </w:pPr>
          </w:p>
          <w:p>
            <w:pPr>
              <w:pStyle w:val="3"/>
              <w:rPr>
                <w:rFonts w:hint="eastAsia" w:ascii="仿宋_GB2312" w:hAnsi="等线" w:eastAsia="仿宋_GB2312" w:cs="宋体"/>
                <w:kern w:val="0"/>
                <w:szCs w:val="21"/>
              </w:rPr>
            </w:pPr>
          </w:p>
          <w:p>
            <w:pPr>
              <w:pStyle w:val="2"/>
              <w:rPr>
                <w:rFonts w:hint="default"/>
              </w:rPr>
            </w:pPr>
          </w:p>
          <w:p>
            <w:pPr>
              <w:pStyle w:val="2"/>
              <w:jc w:val="center"/>
              <w:rPr>
                <w:rFonts w:hint="eastAsia"/>
              </w:rPr>
            </w:pPr>
            <w:r>
              <w:rPr>
                <w:rFonts w:hint="eastAsia" w:ascii="仿宋_GB2312" w:hAnsi="等线" w:eastAsia="仿宋_GB2312" w:cs="宋体"/>
                <w:kern w:val="0"/>
                <w:sz w:val="21"/>
                <w:szCs w:val="21"/>
              </w:rPr>
              <w:t>特色栏目</w:t>
            </w:r>
          </w:p>
        </w:tc>
        <w:tc>
          <w:tcPr>
            <w:tcW w:w="1134"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业务专题</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5</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围绕本地区各部门核心业务职能策划相关专题专栏综合提供业务相关的政策依据、行业标准、知识库、在线查询、办事服务等各类资源的情况：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网站整合业务专题的数量</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2.业务专题是否栏对资源进行整合并分类展现（是否分类聚合动态、政策、标准、互动、服务、查询等四类以上资源）</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栏目内容与栏目名称的一致性、匹配度，是否存在关联性不高的信息噪音。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额外加分：栏目设计新颖、展现形式多样，能够将信息视作数据并开发设计应用类栏目的。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额外扣分：更新不及时、存在突击发布或弄虚作假情况的。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restart"/>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年度重点工作</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6</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网站围绕2023年政府工作报告中某一项具体的年度重点工作开设专题专栏</w:t>
            </w:r>
            <w:r>
              <w:rPr>
                <w:rFonts w:hint="eastAsia" w:ascii="仿宋_GB2312" w:hAnsi="等线" w:cs="宋体"/>
                <w:kern w:val="0"/>
                <w:sz w:val="21"/>
                <w:szCs w:val="21"/>
                <w:lang w:eastAsia="zh-CN"/>
              </w:rPr>
              <w:t>，</w:t>
            </w:r>
            <w:r>
              <w:rPr>
                <w:rFonts w:hint="eastAsia" w:ascii="仿宋_GB2312" w:hAnsi="等线" w:eastAsia="仿宋_GB2312" w:cs="宋体"/>
                <w:kern w:val="0"/>
                <w:sz w:val="21"/>
                <w:szCs w:val="21"/>
              </w:rPr>
              <w:t>整合提供相关工作背景、政策依据、工作进展情况、工作成果、知识、服务等各类资源的情况：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年度度重点工作专栏的开设以及栏目体系设计情况</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2.</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专栏是否分类整合工作背景、政策依据、工作进展情况、工作成果、知识、服务、互动等三类以上资源的</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栏目内容与栏目名称的一致性、匹配度，是否存在关联性不高的信息噪音。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额外加分：栏目设计新颖、展现形式多样，能够将信息视作数据并开发设计应用类栏目的。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0" w:hRule="atLeast"/>
        </w:trPr>
        <w:tc>
          <w:tcPr>
            <w:tcW w:w="1124" w:type="dxa"/>
            <w:vMerge w:val="continue"/>
            <w:tcBorders>
              <w:tl2br w:val="nil"/>
              <w:tr2bl w:val="nil"/>
            </w:tcBorders>
            <w:noWrap w:val="0"/>
            <w:vAlign w:val="center"/>
          </w:tcPr>
          <w:p>
            <w:pPr>
              <w:widowControl/>
              <w:jc w:val="left"/>
              <w:rPr>
                <w:rFonts w:ascii="等线" w:hAnsi="等线" w:eastAsia="等线"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额外扣分：更新不及时、存在突击发布或弄虚作假情况的。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restart"/>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政务服务（6分）</w:t>
            </w: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both"/>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政务服务（6分）</w:t>
            </w:r>
          </w:p>
          <w:p>
            <w:pPr>
              <w:pStyle w:val="2"/>
              <w:rPr>
                <w:rFonts w:hint="eastAsia"/>
              </w:rPr>
            </w:pPr>
          </w:p>
          <w:p>
            <w:pPr>
              <w:widowControl/>
              <w:spacing w:line="240" w:lineRule="auto"/>
              <w:jc w:val="center"/>
              <w:rPr>
                <w:rFonts w:hint="eastAsia" w:ascii="仿宋_GB2312" w:hAnsi="等线" w:eastAsia="仿宋_GB2312" w:cs="宋体"/>
                <w:kern w:val="0"/>
                <w:sz w:val="21"/>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办事指南</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办事指南的规范性、准确性：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网站行政许可、行政确认、行政备案、其他行政权力等办事指南要素的规范性</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行政许可、行政确认、行政备案、其他行政权力等办事指南要素内容、办理流程、办理材料、表格下载等内容的准确性。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网办深度</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各地区实现全程网办事项的数量。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一件事一次办</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各地区实现群众眼中的一件事一次办服务的建设情况，包括数量、导航、压缩时限、材料复用、在线办理等情况。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查询服务</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网站提供环保绿化、教育科研、交通出行、证件办理、职业资格、婚姻生育、文体旅游、医疗卫生、社会保障、出境入境、住房保障等主要领域相关查询服务的情况：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政府网站提供查询服务的数量</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2.</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政府网站提供本地区专属查询服务的情况，鼓励各地区利用统一信息资源库中数据资源开发设计专属于本地区的查询服务（仅链接到一体化平台，查询未包含本地区数据的不得分）</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3.</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政府网站提供查询服务的形式（分数由低到高依次为：上级名单名录/上级查询系统/本级名单名录/本级查询系统/本级检索系统）</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4.</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栏目内是否存在关联性不高的信息噪音。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额外加分：栏目设计新颖，查询内容贴合本地实际、采用地图或图形化等高级查询方式的。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额外扣分：存在2个（含）以上查询服务不可用，以及其他弄虚作假情况的。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restart"/>
            <w:tcBorders>
              <w:tl2br w:val="nil"/>
              <w:tr2bl w:val="nil"/>
            </w:tcBorders>
            <w:noWrap w:val="0"/>
            <w:vAlign w:val="center"/>
          </w:tcPr>
          <w:p>
            <w:pPr>
              <w:pStyle w:val="3"/>
              <w:jc w:val="center"/>
              <w:rPr>
                <w:rFonts w:hint="eastAsia"/>
              </w:rPr>
            </w:pPr>
          </w:p>
          <w:p>
            <w:pPr>
              <w:spacing w:line="240" w:lineRule="auto"/>
              <w:jc w:val="center"/>
              <w:rPr>
                <w:rFonts w:hint="default" w:ascii="仿宋_GB2312" w:hAnsi="等线" w:cs="宋体"/>
                <w:kern w:val="0"/>
                <w:sz w:val="21"/>
                <w:szCs w:val="21"/>
              </w:rPr>
            </w:pPr>
            <w:r>
              <w:rPr>
                <w:rFonts w:hint="default" w:ascii="仿宋_GB2312" w:hAnsi="等线" w:cs="宋体"/>
                <w:kern w:val="0"/>
                <w:sz w:val="21"/>
                <w:szCs w:val="21"/>
              </w:rPr>
              <w:t>资源融合（10分）</w:t>
            </w:r>
          </w:p>
          <w:p>
            <w:pPr>
              <w:pStyle w:val="2"/>
              <w:jc w:val="center"/>
              <w:rPr>
                <w:rFonts w:hint="eastAsia"/>
              </w:rPr>
            </w:pPr>
          </w:p>
          <w:p>
            <w:pPr>
              <w:pStyle w:val="3"/>
              <w:jc w:val="center"/>
              <w:rPr>
                <w:rFonts w:hint="eastAsia"/>
              </w:rPr>
            </w:pPr>
          </w:p>
          <w:p>
            <w:pPr>
              <w:pStyle w:val="3"/>
              <w:jc w:val="center"/>
              <w:rPr>
                <w:rFonts w:hint="eastAsia"/>
              </w:rPr>
            </w:pPr>
          </w:p>
          <w:p>
            <w:pPr>
              <w:pStyle w:val="3"/>
              <w:jc w:val="center"/>
              <w:rPr>
                <w:rFonts w:hint="eastAsia"/>
              </w:rPr>
            </w:pPr>
          </w:p>
          <w:p>
            <w:pPr>
              <w:pStyle w:val="3"/>
              <w:jc w:val="center"/>
              <w:rPr>
                <w:rFonts w:hint="eastAsia"/>
              </w:rPr>
            </w:pPr>
          </w:p>
          <w:p>
            <w:pPr>
              <w:pStyle w:val="3"/>
              <w:jc w:val="center"/>
              <w:rPr>
                <w:rFonts w:hint="eastAsia"/>
              </w:rPr>
            </w:pPr>
          </w:p>
          <w:p>
            <w:pPr>
              <w:spacing w:line="240" w:lineRule="auto"/>
              <w:jc w:val="center"/>
              <w:rPr>
                <w:rFonts w:hint="eastAsia" w:ascii="仿宋_GB2312" w:hAnsi="等线" w:cs="宋体"/>
                <w:kern w:val="0"/>
                <w:sz w:val="21"/>
                <w:szCs w:val="21"/>
              </w:rPr>
            </w:pPr>
            <w:r>
              <w:rPr>
                <w:rFonts w:hint="eastAsia" w:ascii="仿宋_GB2312" w:hAnsi="等线" w:cs="宋体"/>
                <w:kern w:val="0"/>
                <w:sz w:val="21"/>
                <w:szCs w:val="21"/>
              </w:rPr>
              <w:t>资源融合（10分）</w:t>
            </w:r>
          </w:p>
          <w:p>
            <w:pPr>
              <w:jc w:val="center"/>
              <w:rPr>
                <w:rFonts w:hint="eastAsia" w:ascii="仿宋_GB2312" w:hAnsi="等线" w:eastAsia="仿宋_GB2312" w:cs="宋体"/>
                <w:kern w:val="0"/>
                <w:sz w:val="21"/>
                <w:szCs w:val="21"/>
              </w:rPr>
            </w:pPr>
          </w:p>
          <w:p>
            <w:pPr>
              <w:jc w:val="center"/>
              <w:rPr>
                <w:rFonts w:hint="eastAsia" w:ascii="仿宋_GB2312" w:hAnsi="等线" w:eastAsia="仿宋_GB2312" w:cs="宋体"/>
                <w:kern w:val="0"/>
                <w:sz w:val="21"/>
                <w:szCs w:val="21"/>
              </w:rPr>
            </w:pPr>
          </w:p>
          <w:p>
            <w:pPr>
              <w:jc w:val="center"/>
              <w:rPr>
                <w:rFonts w:hint="eastAsia" w:ascii="仿宋_GB2312" w:hAnsi="等线" w:eastAsia="仿宋_GB2312" w:cs="宋体"/>
                <w:kern w:val="0"/>
                <w:sz w:val="21"/>
                <w:szCs w:val="21"/>
              </w:rPr>
            </w:pPr>
          </w:p>
          <w:p>
            <w:pPr>
              <w:jc w:val="center"/>
              <w:rPr>
                <w:rFonts w:hint="eastAsia" w:ascii="仿宋_GB2312" w:hAnsi="等线" w:eastAsia="仿宋_GB2312" w:cs="宋体"/>
                <w:kern w:val="0"/>
                <w:sz w:val="21"/>
                <w:szCs w:val="21"/>
              </w:rPr>
            </w:pPr>
          </w:p>
          <w:p>
            <w:pPr>
              <w:jc w:val="center"/>
              <w:rPr>
                <w:rFonts w:hint="eastAsia" w:ascii="仿宋_GB2312" w:hAnsi="等线" w:eastAsia="仿宋_GB2312" w:cs="宋体"/>
                <w:kern w:val="0"/>
                <w:sz w:val="21"/>
                <w:szCs w:val="21"/>
              </w:rPr>
            </w:pPr>
          </w:p>
          <w:p>
            <w:pPr>
              <w:jc w:val="center"/>
              <w:rPr>
                <w:rFonts w:hint="eastAsia" w:ascii="仿宋_GB2312" w:hAnsi="等线" w:eastAsia="仿宋_GB2312" w:cs="宋体"/>
                <w:kern w:val="0"/>
                <w:sz w:val="21"/>
                <w:szCs w:val="21"/>
              </w:rPr>
            </w:pPr>
          </w:p>
          <w:p>
            <w:pPr>
              <w:jc w:val="center"/>
              <w:rPr>
                <w:rFonts w:hint="eastAsia" w:ascii="仿宋_GB2312" w:hAnsi="等线" w:eastAsia="仿宋_GB2312" w:cs="宋体"/>
                <w:kern w:val="0"/>
                <w:sz w:val="21"/>
                <w:szCs w:val="21"/>
              </w:rPr>
            </w:pPr>
          </w:p>
          <w:p>
            <w:pPr>
              <w:spacing w:line="240" w:lineRule="auto"/>
              <w:jc w:val="center"/>
              <w:rPr>
                <w:rFonts w:hint="eastAsia"/>
              </w:rPr>
            </w:pPr>
            <w:r>
              <w:rPr>
                <w:rFonts w:hint="eastAsia" w:ascii="仿宋_GB2312" w:hAnsi="等线" w:eastAsia="仿宋_GB2312" w:cs="宋体"/>
                <w:kern w:val="0"/>
                <w:sz w:val="21"/>
                <w:szCs w:val="21"/>
              </w:rPr>
              <w:t>资源融合（10分）</w:t>
            </w: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教育</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评估政府门户网站在教育领域是否依据用户需求和业务逻辑设计导航体系，提供群众眼中的沉浸式、情景式一件事服务，整合提供政策通知、政务公开、办事服务、查询服务、标准规范、互动交流等各类信息资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社保</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评估政府门户网站在社保领域是否依据用户需求和业务逻辑设计导航体系，提供群众眼中的沉浸式、情景式一件事服务，整合提供政策通知、政务公开、办事服务、查询服务、标准规范、互动交流等各类信息资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住房</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评估政府门户网站在住房领域是否依据用户需求和业务逻辑设计导航体系，提供群众眼中的沉浸式、情景式一件事服务，整合提供政策通知、政务公开、办事服务、查询服务、标准规范、互动交流等各类信息资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center"/>
              <w:rPr>
                <w:rFonts w:ascii="仿宋_GB2312" w:hAnsi="等线" w:eastAsia="仿宋_GB2312" w:cs="宋体"/>
                <w:kern w:val="0"/>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交通</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评估政府门户网站在交通领域是否依据用户需求和业务逻辑设计导航体系，提供群众眼中的沉浸式、情景式一件事服务，整合提供政策通知、政务公开、办事服务、查询服务、标准规范、互动交流等各类信息资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center"/>
              <w:rPr>
                <w:rFonts w:ascii="仿宋_GB2312" w:hAnsi="等线" w:eastAsia="仿宋_GB2312" w:cs="宋体"/>
                <w:kern w:val="0"/>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就业创业</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评估政府门户网站在就业领域是否依据用户需求和业务逻辑设计导航体系，提供群众眼中的沉浸式、情景式一件事服务，整合提供政策通知、政务公开、办事服务、查询服务、标准规范、互动交流等各类信息资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center"/>
              <w:rPr>
                <w:rFonts w:ascii="仿宋_GB2312" w:hAnsi="等线" w:eastAsia="仿宋_GB2312" w:cs="宋体"/>
                <w:kern w:val="0"/>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社会救助和福利</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评估政府门户网站在社会救助和福利领域是否依据用户需求和业务逻辑设计导航体系，提供群众眼中的沉浸式、情景式一件事服务，整合提供政策通知、政务公开、办事服务、查询服务、标准规范、互动交流等各类信息资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center"/>
              <w:rPr>
                <w:rFonts w:ascii="仿宋_GB2312" w:hAnsi="等线" w:eastAsia="仿宋_GB2312" w:cs="宋体"/>
                <w:kern w:val="0"/>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婚姻生育</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评估政府门户网站在婚育领域是否依据用户需求和业务逻辑设计导航体系，提供群众眼中的沉浸式、情景式一件事服务，整合提供政策通知、政务公开、办事服务、查询服务、标准规范、互动交流等各类信息资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center"/>
              <w:rPr>
                <w:rFonts w:ascii="仿宋_GB2312" w:hAnsi="等线" w:eastAsia="仿宋_GB2312" w:cs="宋体"/>
                <w:kern w:val="0"/>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医疗健康</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评估政府门户网站在医疗领域是否依据用户需求和业务逻辑设计导航体系，提供群众眼中的沉浸式、情景式一件事服务，整合提供政策通知、政务公开、办事服务、查询服务、标准规范、互动交流等各类信息资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center"/>
              <w:rPr>
                <w:rFonts w:ascii="仿宋_GB2312" w:hAnsi="等线" w:eastAsia="仿宋_GB2312" w:cs="宋体"/>
                <w:kern w:val="0"/>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证件办理</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评估政府门户网站在证件办理领域是否依据用户需求和业务逻辑设计导航体系，提供群众眼中的沉浸式、情景式一件事服务，整合提供政策通知、政务公开、办事服务、查询服务、标准规范、互动交流等各类信息资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center"/>
              <w:rPr>
                <w:rFonts w:ascii="仿宋_GB2312" w:hAnsi="等线" w:eastAsia="仿宋_GB2312" w:cs="宋体"/>
                <w:kern w:val="0"/>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企业开办</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评估政府门户网站在企业开办领域是否依据用户需求和业务逻辑设计导航体系，提供群众眼中的沉浸式、情景式一件事服务，整合提供政策通知、政务公开、办事服务、查询服务、标准规范、互动交流等各类信息资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restart"/>
            <w:tcBorders>
              <w:tl2br w:val="nil"/>
              <w:tr2bl w:val="nil"/>
            </w:tcBorders>
            <w:noWrap w:val="0"/>
            <w:vAlign w:val="center"/>
          </w:tcPr>
          <w:p>
            <w:pPr>
              <w:widowControl/>
              <w:spacing w:line="240" w:lineRule="auto"/>
              <w:jc w:val="center"/>
              <w:rPr>
                <w:rFonts w:ascii="仿宋_GB2312" w:hAnsi="等线" w:eastAsia="仿宋_GB2312" w:cs="宋体"/>
                <w:kern w:val="0"/>
                <w:szCs w:val="21"/>
              </w:rPr>
            </w:pPr>
            <w:r>
              <w:rPr>
                <w:rFonts w:hint="eastAsia" w:ascii="仿宋_GB2312" w:hAnsi="等线" w:eastAsia="仿宋_GB2312" w:cs="宋体"/>
                <w:kern w:val="0"/>
                <w:sz w:val="21"/>
                <w:szCs w:val="21"/>
              </w:rPr>
              <w:t>互动交流（6分）</w:t>
            </w:r>
          </w:p>
          <w:p>
            <w:pPr>
              <w:jc w:val="left"/>
              <w:rPr>
                <w:rFonts w:ascii="仿宋_GB2312" w:hAnsi="等线" w:eastAsia="仿宋_GB2312" w:cs="宋体"/>
                <w:kern w:val="0"/>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咨询互动</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网站咨询互动渠道的实效性：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仿宋_GB2312" w:hAnsi="等线" w:eastAsia="仿宋_GB2312"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1.通过模拟用户进行简单问题提问检查网站是否在咨询后5个工作日内答复且内容准确</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2.留言统计信息的更新情况：实时更新/月度更新/月度以上。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额外扣分：留言统计数据弄虚作假、模拟用户提出的简单问题超过10个工作日未答复或答复内容存在敷衍塞责情况的。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民意征集</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4</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网站民意征集渠道建设情况、内容维护情况、功能实现情况以及征集实效情况：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1.是否通过在线方式开展（查看征集公告中提交方式）</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2.是否围绕政府决策、重点工作、用户关注热点开展意见征集</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3.一年内开展的民意征集（仅民意征集，不包括网上调查）次数不少于6次</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4.是否公开收到意见的总体情况</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5.是否公开意见具体采纳情况（1年内开展的民意征集活动，反馈结果全部为空白/共有0人发表意见或未收到意见等模板性话术显示，此项不得分）。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额外加分：对收到的意见逐一进行答复的。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额外扣分：活动均为转载或与本地区无关、意见反馈内容存在弄虚作假的。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restart"/>
            <w:tcBorders>
              <w:tl2br w:val="nil"/>
              <w:tr2bl w:val="nil"/>
            </w:tcBorders>
            <w:noWrap w:val="0"/>
            <w:vAlign w:val="center"/>
          </w:tcPr>
          <w:p>
            <w:pPr>
              <w:spacing w:line="240" w:lineRule="auto"/>
              <w:jc w:val="left"/>
              <w:rPr>
                <w:rFonts w:ascii="仿宋_GB2312" w:hAnsi="等线" w:eastAsia="仿宋_GB2312" w:cs="宋体"/>
                <w:kern w:val="0"/>
                <w:szCs w:val="21"/>
              </w:rPr>
            </w:pPr>
            <w:r>
              <w:rPr>
                <w:rFonts w:hint="eastAsia" w:ascii="仿宋_GB2312" w:hAnsi="等线" w:eastAsia="仿宋_GB2312" w:cs="宋体"/>
                <w:kern w:val="0"/>
                <w:sz w:val="21"/>
                <w:szCs w:val="21"/>
              </w:rPr>
              <w:t>功能设计（5分）</w:t>
            </w: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规范设计</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网站规范性建设情况：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spacing w:line="240" w:lineRule="auto"/>
              <w:jc w:val="left"/>
              <w:rPr>
                <w:rFonts w:ascii="仿宋_GB2312" w:hAnsi="等线" w:eastAsia="仿宋_GB2312"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1.是否按照《政府网站发展指引》-网页设计规范进行网页设计</w:t>
            </w:r>
            <w:r>
              <w:rPr>
                <w:rFonts w:hint="eastAsia" w:ascii="仿宋_GB2312" w:hAnsi="等线" w:cs="宋体"/>
                <w:kern w:val="0"/>
                <w:sz w:val="21"/>
                <w:szCs w:val="21"/>
                <w:lang w:eastAsia="zh-CN"/>
              </w:rPr>
              <w:t>。</w:t>
            </w:r>
            <w:r>
              <w:rPr>
                <w:rFonts w:hint="eastAsia" w:ascii="仿宋_GB2312" w:hAnsi="等线" w:eastAsia="仿宋_GB2312" w:cs="宋体"/>
                <w:kern w:val="0"/>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2.是否按照《国务院办公厅政府信息与政务公开办公室关于规范政府信息公开平台有关事项的通知》要求设置政府信息公开栏目。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无障碍</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网站无障碍功能建设情况：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1.考核网站开展无障碍改造的情况。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2.适老化专区建设情况。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额外扣分：无障碍功能不可用或适老化专区内容与本网站无关的。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spacing w:line="240" w:lineRule="auto"/>
              <w:jc w:val="left"/>
              <w:rPr>
                <w:rFonts w:ascii="等线" w:hAnsi="等线" w:eastAsia="等线" w:cs="宋体"/>
                <w:kern w:val="0"/>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共享共用</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本地区政府门户网站基于集约化统一信息资源库分享调用区县、部门网站资源的情况。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restart"/>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智慧应用（12分）</w:t>
            </w: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智慧应用（12分）</w:t>
            </w:r>
          </w:p>
          <w:p>
            <w:pPr>
              <w:pStyle w:val="2"/>
              <w:rPr>
                <w:rFonts w:hint="eastAsia"/>
              </w:rPr>
            </w:pPr>
          </w:p>
          <w:p>
            <w:pPr>
              <w:spacing w:line="240" w:lineRule="auto"/>
              <w:jc w:val="left"/>
              <w:rPr>
                <w:rFonts w:ascii="仿宋_GB2312" w:hAnsi="等线" w:eastAsia="仿宋_GB2312" w:cs="宋体"/>
                <w:kern w:val="0"/>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智能问答</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政府网站智能问答功能实现情况：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0" w:hRule="atLeast"/>
        </w:trPr>
        <w:tc>
          <w:tcPr>
            <w:tcW w:w="1124" w:type="dxa"/>
            <w:vMerge w:val="continue"/>
            <w:tcBorders>
              <w:tl2br w:val="nil"/>
              <w:tr2bl w:val="nil"/>
            </w:tcBorders>
            <w:noWrap w:val="0"/>
            <w:vAlign w:val="center"/>
          </w:tcPr>
          <w:p>
            <w:pPr>
              <w:spacing w:line="240" w:lineRule="auto"/>
              <w:jc w:val="left"/>
              <w:rPr>
                <w:rFonts w:ascii="仿宋_GB2312" w:hAnsi="等线" w:eastAsia="仿宋_GB2312"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1.是否提供智能问答业务知识库</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2.模拟用户测试答复准确度</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3.是否实现智能提示、拼音理解、错别字识别、复杂意图理解、智能联想等功能。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额外加分：实现了融合答案输出的。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额外扣分：功能不可用或答复内容与本网站内容无关的。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智能搜索</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政府网站智能搜索实现情况：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网站是否提供错别字自动纠正、关键词推荐、拼音转化搜索和通俗语言搜索等模糊搜索功能</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2.</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网站是否提供搜索结果分类展示以及根据内容相关性强弱提供排序的功能</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3.</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网站是否提供网站群全站搜索功能</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4.</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优先展现的搜索结果与搜索关键词的高度关联匹配程度。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加分：针对政策文件、办事服务类资源提供多条件、多维度筛选功能，便于公众快速搜索自己所需要的政策与服务。针对关联性高、逻辑性强的服务事项，能够围绕用户需求和业务逻辑提供集成式、场景式的搜索聚合展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额外扣分：选取网站的政策文件、办事服务、查询服务、名单名录等资源的专业关键词测试，搜不到资源的。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智能推荐</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网站是否定期分析办事服务热点、咨询投诉热点问题在网站首页及时推荐热点办事服务、热点政策措施。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额外扣分：智能推荐功能不可用或不同用户群体登录时推荐相同内容的。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restart"/>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数据应用</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4</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网站利用统一信息资源库中汇聚的信息资源开发设计轻量化数据应用的情况。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0" w:hRule="atLeast"/>
        </w:trPr>
        <w:tc>
          <w:tcPr>
            <w:tcW w:w="1124" w:type="dxa"/>
            <w:vMerge w:val="continue"/>
            <w:tcBorders>
              <w:tl2br w:val="nil"/>
              <w:tr2bl w:val="nil"/>
            </w:tcBorders>
            <w:noWrap w:val="0"/>
            <w:vAlign w:val="center"/>
          </w:tcPr>
          <w:p>
            <w:pPr>
              <w:widowControl/>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额外扣分：以静态栏目或其他弄虚作假方式伪装成动态数据应用栏目的。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restart"/>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政务新媒体（15分）</w:t>
            </w: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政务新媒体（15分）</w:t>
            </w:r>
          </w:p>
          <w:p>
            <w:pPr>
              <w:pStyle w:val="2"/>
              <w:rPr>
                <w:rFonts w:hint="eastAsia"/>
              </w:rPr>
            </w:pPr>
          </w:p>
          <w:p>
            <w:pPr>
              <w:spacing w:line="240" w:lineRule="auto"/>
              <w:jc w:val="left"/>
              <w:rPr>
                <w:rFonts w:ascii="仿宋_GB2312" w:hAnsi="等线" w:eastAsia="仿宋_GB2312" w:cs="宋体"/>
                <w:kern w:val="0"/>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集约开设</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1.按照一单位一平台一账号的原则进行集约开设政务新媒体</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spacing w:line="240" w:lineRule="auto"/>
              <w:jc w:val="left"/>
              <w:rPr>
                <w:rFonts w:ascii="仿宋_GB2312" w:hAnsi="等线" w:eastAsia="仿宋_GB2312"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2.通过政务新媒体运行管理系统统一管理全市范围内的政务新媒体。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日常监管</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本地区政务新媒体季度检查情况，若检查N个，M个不合格，则得分为权重*(N-M)/N。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网站协同</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门户网站对应政务新媒体是否与网站协同发布内容提供服务。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1.发布的信息和提供的服务是否与政府网站同源。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2.政府网站发布的重要政策解读、民意征集活动是否在政务新媒体同步发声。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内容发布</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4</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政务新媒体发布的内容更新情况和内容质量：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1.信息发布频率</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2.页面是否适配移动端。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移动服务</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适配移动端的办事服务和便民查询服务提供情况。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等线" w:hAnsi="等线" w:eastAsia="等线" w:cs="宋体"/>
                <w:kern w:val="0"/>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原创比例</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抽查文章（不包括要求转载的文章）计算原创比例。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restart"/>
            <w:tcBorders>
              <w:tl2br w:val="nil"/>
              <w:tr2bl w:val="nil"/>
            </w:tcBorders>
            <w:noWrap w:val="0"/>
            <w:vAlign w:val="center"/>
          </w:tcPr>
          <w:p>
            <w:pPr>
              <w:widowControl/>
              <w:spacing w:line="240" w:lineRule="auto"/>
              <w:jc w:val="center"/>
              <w:rPr>
                <w:rFonts w:ascii="仿宋_GB2312" w:hAnsi="等线" w:eastAsia="仿宋_GB2312" w:cs="宋体"/>
                <w:kern w:val="0"/>
                <w:szCs w:val="21"/>
              </w:rPr>
            </w:pPr>
            <w:r>
              <w:rPr>
                <w:rFonts w:hint="eastAsia" w:ascii="仿宋_GB2312" w:hAnsi="等线" w:eastAsia="仿宋_GB2312" w:cs="宋体"/>
                <w:kern w:val="0"/>
                <w:sz w:val="21"/>
                <w:szCs w:val="21"/>
              </w:rPr>
              <w:t>机制保障（8分）</w:t>
            </w:r>
          </w:p>
          <w:p>
            <w:pPr>
              <w:jc w:val="left"/>
              <w:rPr>
                <w:rFonts w:ascii="仿宋_GB2312" w:hAnsi="等线" w:eastAsia="仿宋_GB2312" w:cs="宋体"/>
                <w:kern w:val="0"/>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考核评价</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开展全市政府网站绩效考评，把考评结果纳入政府年度绩效考核：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仿宋_GB2312" w:hAnsi="等线" w:eastAsia="仿宋_GB2312"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1.是否开展了全市政府网站年度绩效考评</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2.考评结果是否纳入政府年度绩效考核。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注：以上内容通过会议纪要、制度文件、图片等材料证明，与自查整改报告一并报送。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应知应会</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5</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2023年全区</w:t>
            </w:r>
            <w:r>
              <w:rPr>
                <w:rFonts w:hint="eastAsia" w:ascii="仿宋_GB2312" w:hAnsi="等线" w:eastAsia="仿宋_GB2312" w:cs="宋体"/>
                <w:kern w:val="0"/>
                <w:sz w:val="21"/>
                <w:szCs w:val="21"/>
                <w:lang w:eastAsia="zh-CN"/>
              </w:rPr>
              <w:t>政府网站与政务新媒体</w:t>
            </w:r>
            <w:r>
              <w:rPr>
                <w:rFonts w:hint="eastAsia" w:ascii="仿宋_GB2312" w:hAnsi="等线" w:eastAsia="仿宋_GB2312" w:cs="宋体"/>
                <w:kern w:val="0"/>
                <w:sz w:val="21"/>
                <w:szCs w:val="21"/>
              </w:rPr>
              <w:t>应知应会知识竞赛成绩。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主席信箱</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及时办理自治区转办的自治区政府门户网站“主席信箱”栏目网民信件，在规定时间内及时反馈情况。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运维机制</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建立健全专人负责制度、值班读网制度、资源管理机制、预算及项目管理制度、年报制度等运维机制。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注：以上内容通过会议纪要、制度文件、图片等材料证明，与自查整改报告一并报送。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0" w:hRule="atLeast"/>
        </w:trPr>
        <w:tc>
          <w:tcPr>
            <w:tcW w:w="1124" w:type="dxa"/>
            <w:vMerge w:val="restart"/>
            <w:tcBorders>
              <w:tl2br w:val="nil"/>
              <w:tr2bl w:val="nil"/>
            </w:tcBorders>
            <w:noWrap/>
            <w:vAlign w:val="center"/>
          </w:tcPr>
          <w:p>
            <w:pPr>
              <w:pStyle w:val="2"/>
              <w:rPr>
                <w:rFonts w:hint="eastAsia" w:ascii="仿宋_GB2312" w:hAnsi="等线" w:eastAsia="仿宋_GB2312" w:cs="宋体"/>
                <w:kern w:val="0"/>
                <w:szCs w:val="21"/>
              </w:rPr>
            </w:pPr>
          </w:p>
          <w:p>
            <w:pPr>
              <w:pStyle w:val="2"/>
              <w:rPr>
                <w:rFonts w:hint="eastAsia" w:ascii="仿宋_GB2312" w:hAnsi="等线" w:eastAsia="仿宋_GB2312" w:cs="宋体"/>
                <w:kern w:val="0"/>
                <w:szCs w:val="21"/>
              </w:rPr>
            </w:pPr>
          </w:p>
          <w:p>
            <w:pPr>
              <w:pStyle w:val="2"/>
              <w:rPr>
                <w:rFonts w:hint="eastAsia" w:ascii="仿宋_GB2312" w:hAnsi="等线" w:eastAsia="仿宋_GB2312" w:cs="宋体"/>
                <w:kern w:val="0"/>
                <w:szCs w:val="21"/>
              </w:rPr>
            </w:pPr>
          </w:p>
          <w:p>
            <w:pPr>
              <w:pStyle w:val="2"/>
              <w:rPr>
                <w:rFonts w:hint="eastAsia" w:ascii="仿宋_GB2312" w:hAnsi="等线" w:eastAsia="仿宋_GB2312" w:cs="宋体"/>
                <w:kern w:val="0"/>
                <w:szCs w:val="21"/>
              </w:rPr>
            </w:pPr>
          </w:p>
          <w:p>
            <w:pPr>
              <w:pStyle w:val="2"/>
              <w:rPr>
                <w:rFonts w:hint="eastAsia" w:ascii="仿宋_GB2312" w:hAnsi="等线" w:eastAsia="仿宋_GB2312" w:cs="宋体"/>
                <w:kern w:val="0"/>
                <w:szCs w:val="21"/>
              </w:rPr>
            </w:pPr>
          </w:p>
          <w:p>
            <w:pPr>
              <w:pStyle w:val="2"/>
              <w:rPr>
                <w:rFonts w:hint="eastAsia" w:ascii="仿宋_GB2312" w:hAnsi="等线" w:eastAsia="仿宋_GB2312" w:cs="宋体"/>
                <w:kern w:val="0"/>
                <w:szCs w:val="21"/>
              </w:rPr>
            </w:pPr>
          </w:p>
          <w:p>
            <w:pPr>
              <w:pStyle w:val="2"/>
              <w:rPr>
                <w:rFonts w:hint="eastAsia" w:ascii="仿宋_GB2312" w:hAnsi="等线" w:eastAsia="仿宋_GB2312" w:cs="宋体"/>
                <w:kern w:val="0"/>
                <w:szCs w:val="21"/>
              </w:rPr>
            </w:pPr>
            <w:r>
              <w:rPr>
                <w:rFonts w:hint="eastAsia" w:ascii="仿宋_GB2312" w:hAnsi="等线" w:eastAsia="仿宋_GB2312" w:cs="宋体"/>
                <w:kern w:val="0"/>
                <w:szCs w:val="21"/>
              </w:rPr>
              <w:t>附加指标</w:t>
            </w:r>
            <w:r>
              <w:rPr>
                <w:rFonts w:hint="eastAsia" w:ascii="仿宋_GB2312" w:hAnsi="等线" w:eastAsia="仿宋_GB2312" w:cs="宋体"/>
                <w:kern w:val="0"/>
                <w:szCs w:val="21"/>
                <w:lang w:eastAsia="zh-CN"/>
              </w:rPr>
              <w:t>（</w:t>
            </w:r>
            <w:r>
              <w:rPr>
                <w:rFonts w:hint="eastAsia" w:ascii="仿宋_GB2312" w:hAnsi="等线" w:eastAsia="仿宋_GB2312" w:cs="宋体"/>
                <w:kern w:val="0"/>
                <w:szCs w:val="21"/>
                <w:lang w:val="en-US" w:eastAsia="zh-CN"/>
              </w:rPr>
              <w:t>30分</w:t>
            </w:r>
            <w:r>
              <w:rPr>
                <w:rFonts w:hint="eastAsia" w:ascii="仿宋_GB2312" w:hAnsi="等线" w:eastAsia="仿宋_GB2312" w:cs="宋体"/>
                <w:kern w:val="0"/>
                <w:szCs w:val="21"/>
                <w:lang w:eastAsia="zh-CN"/>
              </w:rPr>
              <w:t>）</w:t>
            </w:r>
          </w:p>
          <w:p>
            <w:pPr>
              <w:pStyle w:val="2"/>
              <w:rPr>
                <w:rFonts w:hint="eastAsia" w:ascii="仿宋_GB2312" w:hAnsi="等线" w:eastAsia="仿宋_GB2312" w:cs="宋体"/>
                <w:kern w:val="0"/>
                <w:sz w:val="21"/>
                <w:szCs w:val="21"/>
              </w:rPr>
            </w:pPr>
          </w:p>
          <w:p>
            <w:pPr>
              <w:pStyle w:val="2"/>
              <w:rPr>
                <w:rFonts w:hint="eastAsia" w:ascii="仿宋_GB2312" w:hAnsi="等线" w:eastAsia="仿宋_GB2312" w:cs="宋体"/>
                <w:kern w:val="0"/>
                <w:sz w:val="21"/>
                <w:szCs w:val="21"/>
              </w:rPr>
            </w:pPr>
          </w:p>
          <w:p>
            <w:pPr>
              <w:pStyle w:val="2"/>
              <w:rPr>
                <w:rFonts w:hint="eastAsia" w:ascii="仿宋_GB2312" w:hAnsi="等线" w:eastAsia="仿宋_GB2312" w:cs="宋体"/>
                <w:kern w:val="0"/>
                <w:sz w:val="21"/>
                <w:szCs w:val="21"/>
              </w:rPr>
            </w:pPr>
          </w:p>
          <w:p>
            <w:pPr>
              <w:pStyle w:val="2"/>
              <w:rPr>
                <w:rFonts w:hint="eastAsia" w:ascii="仿宋_GB2312" w:hAnsi="等线" w:eastAsia="仿宋_GB2312" w:cs="宋体"/>
                <w:kern w:val="0"/>
                <w:sz w:val="21"/>
                <w:szCs w:val="21"/>
              </w:rPr>
            </w:pPr>
          </w:p>
          <w:p>
            <w:pPr>
              <w:pStyle w:val="2"/>
              <w:rPr>
                <w:rFonts w:hint="eastAsia" w:ascii="仿宋_GB2312" w:hAnsi="等线" w:eastAsia="仿宋_GB2312" w:cs="宋体"/>
                <w:kern w:val="0"/>
                <w:sz w:val="21"/>
                <w:szCs w:val="21"/>
              </w:rPr>
            </w:pPr>
          </w:p>
          <w:p>
            <w:pPr>
              <w:pStyle w:val="2"/>
              <w:rPr>
                <w:rFonts w:hint="eastAsia" w:ascii="仿宋_GB2312" w:hAnsi="等线" w:eastAsia="仿宋_GB2312" w:cs="宋体"/>
                <w:kern w:val="0"/>
                <w:sz w:val="21"/>
                <w:szCs w:val="21"/>
              </w:rPr>
            </w:pPr>
          </w:p>
          <w:p>
            <w:pPr>
              <w:pStyle w:val="3"/>
              <w:jc w:val="both"/>
              <w:rPr>
                <w:rFonts w:hint="eastAsia"/>
              </w:rPr>
            </w:pPr>
          </w:p>
          <w:p>
            <w:pPr>
              <w:pStyle w:val="2"/>
              <w:rPr>
                <w:rFonts w:hint="eastAsia" w:ascii="仿宋_GB2312" w:hAnsi="等线" w:eastAsia="仿宋_GB2312" w:cs="宋体"/>
                <w:kern w:val="0"/>
                <w:sz w:val="21"/>
                <w:szCs w:val="21"/>
              </w:rPr>
            </w:pPr>
          </w:p>
          <w:p>
            <w:pPr>
              <w:pStyle w:val="2"/>
              <w:jc w:val="center"/>
              <w:rPr>
                <w:rFonts w:hint="eastAsia" w:eastAsia="仿宋_GB2312"/>
                <w:lang w:eastAsia="zh-CN"/>
              </w:rPr>
            </w:pPr>
            <w:r>
              <w:rPr>
                <w:rFonts w:hint="eastAsia" w:ascii="仿宋_GB2312" w:hAnsi="等线" w:eastAsia="仿宋_GB2312" w:cs="宋体"/>
                <w:kern w:val="0"/>
                <w:sz w:val="21"/>
                <w:szCs w:val="21"/>
              </w:rPr>
              <w:t>附加指标</w:t>
            </w:r>
            <w:r>
              <w:rPr>
                <w:rFonts w:hint="eastAsia" w:ascii="仿宋_GB2312" w:hAnsi="等线" w:eastAsia="仿宋_GB2312" w:cs="宋体"/>
                <w:kern w:val="0"/>
                <w:sz w:val="21"/>
                <w:szCs w:val="21"/>
                <w:lang w:eastAsia="zh-CN"/>
              </w:rPr>
              <w:t>（</w:t>
            </w:r>
            <w:r>
              <w:rPr>
                <w:rFonts w:hint="eastAsia" w:ascii="仿宋_GB2312" w:hAnsi="等线" w:eastAsia="仿宋_GB2312" w:cs="宋体"/>
                <w:kern w:val="0"/>
                <w:sz w:val="21"/>
                <w:szCs w:val="21"/>
                <w:lang w:val="en-US" w:eastAsia="zh-CN"/>
              </w:rPr>
              <w:t>30分</w:t>
            </w:r>
            <w:r>
              <w:rPr>
                <w:rFonts w:hint="eastAsia" w:ascii="仿宋_GB2312" w:hAnsi="等线" w:eastAsia="仿宋_GB2312" w:cs="宋体"/>
                <w:kern w:val="0"/>
                <w:sz w:val="21"/>
                <w:szCs w:val="21"/>
                <w:lang w:eastAsia="zh-CN"/>
              </w:rPr>
              <w:t>）</w:t>
            </w:r>
          </w:p>
        </w:tc>
        <w:tc>
          <w:tcPr>
            <w:tcW w:w="1134"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加分指标</w:t>
            </w:r>
            <w:r>
              <w:rPr>
                <w:rFonts w:hint="eastAsia" w:ascii="仿宋_GB2312" w:hAnsi="等线" w:cs="宋体"/>
                <w:kern w:val="0"/>
                <w:sz w:val="21"/>
                <w:szCs w:val="21"/>
                <w:lang w:eastAsia="zh-CN"/>
              </w:rPr>
              <w:t>（</w:t>
            </w:r>
            <w:r>
              <w:rPr>
                <w:rFonts w:hint="eastAsia" w:ascii="仿宋_GB2312" w:hAnsi="等线" w:cs="宋体"/>
                <w:kern w:val="0"/>
                <w:sz w:val="21"/>
                <w:szCs w:val="21"/>
                <w:lang w:val="en-US" w:eastAsia="zh-CN"/>
              </w:rPr>
              <w:t>16分</w:t>
            </w:r>
            <w:r>
              <w:rPr>
                <w:rFonts w:hint="eastAsia" w:ascii="仿宋_GB2312" w:hAnsi="等线" w:cs="宋体"/>
                <w:kern w:val="0"/>
                <w:sz w:val="21"/>
                <w:szCs w:val="21"/>
                <w:lang w:eastAsia="zh-CN"/>
              </w:rPr>
              <w:t>）</w:t>
            </w:r>
          </w:p>
        </w:tc>
        <w:tc>
          <w:tcPr>
            <w:tcW w:w="1134"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创新案例</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5</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政府网站在一体化服务、政务新媒体管理、新技术应用、数据开放等方面的创新做法（本年度和以往评估指标中涉及的创新性较低的案例不予采纳，发现不同网站上报材料相似度过高，经专家评审认定为疑似抄袭的，均不采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每个网站可推荐多个应用案例，从展现功能、做法模式、效益效果、制度机制、可推广性等方面简要描述，填报《全区政府网站绩效评估优秀创新案例申请表》与自评整改报告一并报送。报送多个案例时，仅采纳评分最高的两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0" w:hRule="atLeast"/>
        </w:trPr>
        <w:tc>
          <w:tcPr>
            <w:tcW w:w="112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精品栏目</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5</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考核各网站整合网站信息资源，以人性化、喜闻乐见的方式设计并打造特色精品栏目的情况。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表彰宣传</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4</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本地区</w:t>
            </w:r>
            <w:r>
              <w:rPr>
                <w:rFonts w:hint="eastAsia" w:ascii="仿宋_GB2312" w:hAnsi="等线" w:cs="宋体"/>
                <w:kern w:val="0"/>
                <w:sz w:val="21"/>
                <w:szCs w:val="21"/>
                <w:lang w:eastAsia="zh-CN"/>
              </w:rPr>
              <w:t>政府网站与政务新媒体</w:t>
            </w:r>
            <w:r>
              <w:rPr>
                <w:rFonts w:hint="eastAsia" w:ascii="仿宋_GB2312" w:hAnsi="等线" w:eastAsia="仿宋_GB2312" w:cs="宋体"/>
                <w:kern w:val="0"/>
                <w:sz w:val="21"/>
                <w:szCs w:val="21"/>
              </w:rPr>
              <w:t>建设管理工作，如在信息公开、办事服务、互动交流、回应关切、集约化建设等方面的优秀做法模式、保障机制、实际效果等受到国务院相关部门、中央网信办、自治区人民政府等上级单位表彰的，每受到1次表彰加1分，累计最高加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本地区</w:t>
            </w:r>
            <w:r>
              <w:rPr>
                <w:rFonts w:hint="eastAsia" w:ascii="仿宋_GB2312" w:hAnsi="等线" w:cs="宋体"/>
                <w:kern w:val="0"/>
                <w:sz w:val="21"/>
                <w:szCs w:val="21"/>
                <w:lang w:eastAsia="zh-CN"/>
              </w:rPr>
              <w:t>政府网站与政务新媒体</w:t>
            </w:r>
            <w:r>
              <w:rPr>
                <w:rFonts w:hint="eastAsia" w:ascii="仿宋_GB2312" w:hAnsi="等线" w:eastAsia="仿宋_GB2312" w:cs="宋体"/>
                <w:kern w:val="0"/>
                <w:sz w:val="21"/>
                <w:szCs w:val="21"/>
              </w:rPr>
              <w:t>建设管理工作，如在信息公开、办事服务、互动交流、回应关切、集约化建设等方面的优秀做法模式、保障机制、实际效果等，被国家和自治区级主流媒体正面宣传报道的，每被报道1次加0.5分，累计最高加1分。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积极主动向广西壮族自治区人民政府门户网站报送本地区政府网站建设管理、“互联网</w:t>
            </w:r>
            <w:r>
              <w:rPr>
                <w:rFonts w:hint="eastAsia" w:ascii="仿宋_GB2312" w:hAnsi="等线" w:cs="宋体"/>
                <w:kern w:val="0"/>
                <w:sz w:val="21"/>
                <w:szCs w:val="21"/>
                <w:lang w:eastAsia="zh-CN"/>
              </w:rPr>
              <w:t>＋</w:t>
            </w:r>
            <w:r>
              <w:rPr>
                <w:rFonts w:hint="eastAsia" w:ascii="仿宋_GB2312" w:hAnsi="等线" w:eastAsia="仿宋_GB2312" w:cs="宋体"/>
                <w:kern w:val="0"/>
                <w:sz w:val="21"/>
                <w:szCs w:val="21"/>
              </w:rPr>
              <w:t>政务服务”等方面的工作成果，被中国政府网站、广西壮族自治区人民政府门户网站采用的，每被采用1次加0.5分，累计最高加1分。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网站排名</w:t>
            </w:r>
          </w:p>
        </w:tc>
        <w:tc>
          <w:tcPr>
            <w:tcW w:w="709" w:type="dxa"/>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lang w:val="en-US" w:eastAsia="zh-CN"/>
              </w:rPr>
              <w:t>在</w:t>
            </w:r>
            <w:r>
              <w:rPr>
                <w:rFonts w:hint="eastAsia" w:ascii="仿宋_GB2312" w:hAnsi="等线" w:eastAsia="仿宋_GB2312" w:cs="宋体"/>
                <w:kern w:val="0"/>
                <w:sz w:val="21"/>
                <w:szCs w:val="21"/>
              </w:rPr>
              <w:t>工信部</w:t>
            </w:r>
            <w:r>
              <w:rPr>
                <w:rFonts w:hint="eastAsia" w:ascii="仿宋_GB2312" w:hAnsi="等线" w:eastAsia="仿宋_GB2312" w:cs="宋体"/>
                <w:kern w:val="0"/>
                <w:sz w:val="21"/>
                <w:szCs w:val="21"/>
                <w:lang w:val="en-US" w:eastAsia="zh-CN"/>
              </w:rPr>
              <w:t>组织的</w:t>
            </w:r>
            <w:r>
              <w:rPr>
                <w:rFonts w:hint="eastAsia" w:ascii="仿宋_GB2312" w:hAnsi="等线" w:eastAsia="仿宋_GB2312" w:cs="宋体"/>
                <w:kern w:val="0"/>
                <w:sz w:val="21"/>
                <w:szCs w:val="21"/>
              </w:rPr>
              <w:t>政府网站</w:t>
            </w:r>
            <w:r>
              <w:rPr>
                <w:rFonts w:hint="eastAsia" w:ascii="仿宋_GB2312" w:hAnsi="等线" w:eastAsia="仿宋_GB2312" w:cs="宋体"/>
                <w:kern w:val="0"/>
                <w:sz w:val="21"/>
                <w:szCs w:val="21"/>
                <w:highlight w:val="none"/>
              </w:rPr>
              <w:t>绩效评估</w:t>
            </w:r>
            <w:r>
              <w:rPr>
                <w:rFonts w:hint="eastAsia" w:ascii="仿宋_GB2312" w:hAnsi="等线" w:eastAsia="仿宋_GB2312" w:cs="宋体"/>
                <w:kern w:val="0"/>
                <w:sz w:val="21"/>
                <w:szCs w:val="21"/>
                <w:highlight w:val="none"/>
                <w:lang w:val="en-US" w:eastAsia="zh-CN"/>
              </w:rPr>
              <w:t>中的</w:t>
            </w:r>
            <w:r>
              <w:rPr>
                <w:rFonts w:hint="eastAsia" w:ascii="仿宋_GB2312" w:hAnsi="等线" w:eastAsia="仿宋_GB2312" w:cs="宋体"/>
                <w:kern w:val="0"/>
                <w:sz w:val="21"/>
                <w:szCs w:val="21"/>
                <w:highlight w:val="none"/>
              </w:rPr>
              <w:t>排</w:t>
            </w:r>
            <w:r>
              <w:rPr>
                <w:rFonts w:hint="eastAsia" w:ascii="仿宋_GB2312" w:hAnsi="等线" w:eastAsia="仿宋_GB2312" w:cs="宋体"/>
                <w:kern w:val="0"/>
                <w:sz w:val="21"/>
                <w:szCs w:val="21"/>
              </w:rPr>
              <w:t>名情况，按照所处梯队打分。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扣分指标</w:t>
            </w:r>
            <w:r>
              <w:rPr>
                <w:rFonts w:hint="eastAsia" w:ascii="仿宋_GB2312" w:hAnsi="等线" w:cs="宋体"/>
                <w:kern w:val="0"/>
                <w:sz w:val="21"/>
                <w:szCs w:val="21"/>
                <w:lang w:eastAsia="zh-CN"/>
              </w:rPr>
              <w:t>（</w:t>
            </w:r>
            <w:r>
              <w:rPr>
                <w:rFonts w:hint="eastAsia" w:ascii="仿宋_GB2312" w:hAnsi="等线" w:cs="宋体"/>
                <w:kern w:val="0"/>
                <w:sz w:val="21"/>
                <w:szCs w:val="21"/>
                <w:lang w:val="en-US" w:eastAsia="zh-CN"/>
              </w:rPr>
              <w:t>14分</w:t>
            </w:r>
            <w:r>
              <w:rPr>
                <w:rFonts w:hint="eastAsia" w:ascii="仿宋_GB2312" w:hAnsi="等线" w:cs="宋体"/>
                <w:kern w:val="0"/>
                <w:sz w:val="21"/>
                <w:szCs w:val="21"/>
                <w:lang w:eastAsia="zh-CN"/>
              </w:rPr>
              <w:t>）</w:t>
            </w:r>
          </w:p>
        </w:tc>
        <w:tc>
          <w:tcPr>
            <w:tcW w:w="1134"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健康情况</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8</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季度检查中出现网站和政务新媒体不合格的情况、严重表述错误情况。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安全事件</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4</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本地区</w:t>
            </w:r>
            <w:r>
              <w:rPr>
                <w:rFonts w:hint="eastAsia" w:ascii="仿宋_GB2312" w:hAnsi="等线" w:cs="宋体"/>
                <w:kern w:val="0"/>
                <w:sz w:val="21"/>
                <w:szCs w:val="21"/>
                <w:lang w:eastAsia="zh-CN"/>
              </w:rPr>
              <w:t>政府网站与政务新媒体</w:t>
            </w:r>
            <w:r>
              <w:rPr>
                <w:rFonts w:hint="eastAsia" w:ascii="仿宋_GB2312" w:hAnsi="等线" w:eastAsia="仿宋_GB2312" w:cs="宋体"/>
                <w:kern w:val="0"/>
                <w:sz w:val="21"/>
                <w:szCs w:val="21"/>
              </w:rPr>
              <w:t>发生信息安全事故、存在安全漏洞、内容失真、问题地图、政治方向错误等事件的，扣分。其中，政府门户网站每次1.5分，组织填报网站每次扣1分，累计最高扣3分。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通报曝光</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w:t>
            </w: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本地区</w:t>
            </w:r>
            <w:r>
              <w:rPr>
                <w:rFonts w:hint="eastAsia" w:ascii="仿宋_GB2312" w:hAnsi="等线" w:cs="宋体"/>
                <w:kern w:val="0"/>
                <w:sz w:val="21"/>
                <w:szCs w:val="21"/>
                <w:lang w:eastAsia="zh-CN"/>
              </w:rPr>
              <w:t>政府网站与政务新媒体</w:t>
            </w:r>
            <w:r>
              <w:rPr>
                <w:rFonts w:hint="eastAsia" w:ascii="仿宋_GB2312" w:hAnsi="等线" w:eastAsia="仿宋_GB2312" w:cs="宋体"/>
                <w:kern w:val="0"/>
                <w:sz w:val="21"/>
                <w:szCs w:val="21"/>
              </w:rPr>
              <w:t>受到国家和自治区相关文件通报批评的，扣分。其中，政府门户网站每次1分，组织填报网站每次扣0.5分，累计最高扣2分。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color w:val="auto"/>
                <w:kern w:val="0"/>
                <w:szCs w:val="21"/>
              </w:rPr>
            </w:pPr>
          </w:p>
        </w:tc>
        <w:tc>
          <w:tcPr>
            <w:tcW w:w="803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本地区</w:t>
            </w:r>
            <w:r>
              <w:rPr>
                <w:rFonts w:hint="eastAsia" w:ascii="仿宋_GB2312" w:hAnsi="等线" w:cs="宋体"/>
                <w:kern w:val="0"/>
                <w:sz w:val="21"/>
                <w:szCs w:val="21"/>
                <w:lang w:eastAsia="zh-CN"/>
              </w:rPr>
              <w:t>政府网站与政务新媒体</w:t>
            </w:r>
            <w:r>
              <w:rPr>
                <w:rFonts w:hint="eastAsia" w:ascii="仿宋_GB2312" w:hAnsi="等线" w:eastAsia="仿宋_GB2312" w:cs="宋体"/>
                <w:kern w:val="0"/>
                <w:sz w:val="21"/>
                <w:szCs w:val="21"/>
              </w:rPr>
              <w:t>发生媒体曝光或其他负面影响事件，造成重大舆情或引发群体性事件的，经查实属于网站管理或受到国家和自治区相关文件通报批评的，扣分。其中，政府门户网站每次1分，组织填报网站每次扣0.5分，累计最高扣2分。</w:t>
            </w:r>
          </w:p>
        </w:tc>
      </w:tr>
    </w:tbl>
    <w:p>
      <w:pPr>
        <w:rPr>
          <w:snapToGrid w:val="0"/>
        </w:rPr>
      </w:pPr>
    </w:p>
    <w:p>
      <w:pPr>
        <w:adjustRightInd w:val="0"/>
        <w:snapToGrid w:val="0"/>
        <w:spacing w:before="405" w:beforeLines="130" w:after="405" w:afterLines="130" w:line="560" w:lineRule="exact"/>
        <w:jc w:val="center"/>
        <w:outlineLvl w:val="0"/>
        <w:rPr>
          <w:rFonts w:ascii="Times New Roman Regular" w:hAnsi="Times New Roman Regular" w:eastAsia="黑体" w:cs="Times New Roman Regular"/>
          <w:snapToGrid w:val="0"/>
          <w:sz w:val="32"/>
          <w:szCs w:val="32"/>
        </w:rPr>
        <w:sectPr>
          <w:pgSz w:w="16838" w:h="11905" w:orient="landscape"/>
          <w:pgMar w:top="1418" w:right="1928" w:bottom="1418" w:left="1814" w:header="851" w:footer="1474" w:gutter="0"/>
          <w:pgBorders>
            <w:top w:val="none" w:sz="0" w:space="0"/>
            <w:left w:val="none" w:sz="0" w:space="0"/>
            <w:bottom w:val="none" w:sz="0" w:space="0"/>
            <w:right w:val="none" w:sz="0" w:space="0"/>
          </w:pgBorders>
          <w:pgNumType w:fmt="decimal"/>
          <w:cols w:space="720" w:num="1"/>
          <w:titlePg/>
          <w:docGrid w:type="lines" w:linePitch="408" w:charSpace="0"/>
        </w:sectPr>
      </w:pPr>
    </w:p>
    <w:p>
      <w:pPr>
        <w:adjustRightInd w:val="0"/>
        <w:snapToGrid w:val="0"/>
        <w:spacing w:before="405" w:beforeLines="130" w:after="405" w:afterLines="130" w:line="560" w:lineRule="exact"/>
        <w:jc w:val="center"/>
        <w:outlineLvl w:val="0"/>
        <w:rPr>
          <w:rFonts w:ascii="Times New Roman Regular" w:hAnsi="Times New Roman Regular" w:eastAsia="黑体" w:cs="Times New Roman Regular"/>
          <w:snapToGrid w:val="0"/>
          <w:sz w:val="32"/>
          <w:szCs w:val="32"/>
        </w:rPr>
      </w:pPr>
      <w:r>
        <w:rPr>
          <w:rFonts w:ascii="Times New Roman Regular" w:hAnsi="Times New Roman Regular" w:eastAsia="黑体" w:cs="Times New Roman Regular"/>
          <w:snapToGrid w:val="0"/>
          <w:sz w:val="32"/>
          <w:szCs w:val="32"/>
        </w:rPr>
        <w:t>三、县（市、区）</w:t>
      </w:r>
      <w:r>
        <w:rPr>
          <w:rFonts w:hint="eastAsia" w:ascii="Times New Roman Regular" w:hAnsi="Times New Roman Regular" w:eastAsia="黑体" w:cs="Times New Roman Regular"/>
          <w:snapToGrid w:val="0"/>
          <w:sz w:val="32"/>
          <w:szCs w:val="32"/>
          <w:lang w:val="en-US" w:eastAsia="zh-CN"/>
        </w:rPr>
        <w:t>政府门户网站</w:t>
      </w:r>
      <w:r>
        <w:rPr>
          <w:rFonts w:ascii="Times New Roman Regular" w:hAnsi="Times New Roman Regular" w:eastAsia="黑体" w:cs="Times New Roman Regular"/>
          <w:snapToGrid w:val="0"/>
          <w:sz w:val="32"/>
          <w:szCs w:val="32"/>
        </w:rPr>
        <w:t>绩效评估指标</w:t>
      </w:r>
    </w:p>
    <w:tbl>
      <w:tblPr>
        <w:tblStyle w:val="5"/>
        <w:tblW w:w="12890" w:type="dxa"/>
        <w:tblInd w:w="11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4"/>
        <w:gridCol w:w="1134"/>
        <w:gridCol w:w="1134"/>
        <w:gridCol w:w="709"/>
        <w:gridCol w:w="87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blHeader/>
        </w:trPr>
        <w:tc>
          <w:tcPr>
            <w:tcW w:w="1124" w:type="dxa"/>
            <w:tcBorders>
              <w:tl2br w:val="nil"/>
              <w:tr2bl w:val="nil"/>
            </w:tcBorders>
            <w:noWrap/>
            <w:vAlign w:val="center"/>
          </w:tcPr>
          <w:p>
            <w:pPr>
              <w:adjustRightInd w:val="0"/>
              <w:snapToGrid w:val="0"/>
              <w:spacing w:line="500" w:lineRule="exact"/>
              <w:jc w:val="center"/>
              <w:textAlignment w:val="center"/>
              <w:rPr>
                <w:rFonts w:hint="eastAsia" w:ascii="Times New Roman Regular" w:hAnsi="Times New Roman Regular" w:eastAsia="方正黑体_GBK" w:cs="Times New Roman Regular"/>
                <w:kern w:val="0"/>
                <w:sz w:val="21"/>
                <w:szCs w:val="21"/>
              </w:rPr>
            </w:pPr>
            <w:r>
              <w:rPr>
                <w:rFonts w:hint="eastAsia" w:ascii="Times New Roman Regular" w:hAnsi="Times New Roman Regular" w:eastAsia="方正黑体_GBK" w:cs="Times New Roman Regular"/>
                <w:kern w:val="0"/>
                <w:sz w:val="21"/>
                <w:szCs w:val="21"/>
              </w:rPr>
              <w:t>一级指标</w:t>
            </w:r>
          </w:p>
        </w:tc>
        <w:tc>
          <w:tcPr>
            <w:tcW w:w="1134" w:type="dxa"/>
            <w:tcBorders>
              <w:tl2br w:val="nil"/>
              <w:tr2bl w:val="nil"/>
            </w:tcBorders>
            <w:noWrap/>
            <w:vAlign w:val="center"/>
          </w:tcPr>
          <w:p>
            <w:pPr>
              <w:adjustRightInd w:val="0"/>
              <w:snapToGrid w:val="0"/>
              <w:spacing w:line="500" w:lineRule="exact"/>
              <w:jc w:val="center"/>
              <w:textAlignment w:val="center"/>
              <w:rPr>
                <w:rFonts w:hint="eastAsia" w:ascii="Times New Roman Regular" w:hAnsi="Times New Roman Regular" w:eastAsia="方正黑体_GBK" w:cs="Times New Roman Regular"/>
                <w:kern w:val="0"/>
                <w:sz w:val="21"/>
                <w:szCs w:val="21"/>
              </w:rPr>
            </w:pPr>
            <w:r>
              <w:rPr>
                <w:rFonts w:hint="eastAsia" w:ascii="Times New Roman Regular" w:hAnsi="Times New Roman Regular" w:eastAsia="方正黑体_GBK" w:cs="Times New Roman Regular"/>
                <w:kern w:val="0"/>
                <w:sz w:val="21"/>
                <w:szCs w:val="21"/>
              </w:rPr>
              <w:t>二级指标</w:t>
            </w:r>
          </w:p>
        </w:tc>
        <w:tc>
          <w:tcPr>
            <w:tcW w:w="1134" w:type="dxa"/>
            <w:tcBorders>
              <w:tl2br w:val="nil"/>
              <w:tr2bl w:val="nil"/>
            </w:tcBorders>
            <w:noWrap/>
            <w:vAlign w:val="center"/>
          </w:tcPr>
          <w:p>
            <w:pPr>
              <w:adjustRightInd w:val="0"/>
              <w:snapToGrid w:val="0"/>
              <w:spacing w:line="500" w:lineRule="exact"/>
              <w:jc w:val="center"/>
              <w:textAlignment w:val="center"/>
              <w:rPr>
                <w:rFonts w:hint="eastAsia" w:ascii="Times New Roman Regular" w:hAnsi="Times New Roman Regular" w:eastAsia="方正黑体_GBK" w:cs="Times New Roman Regular"/>
                <w:kern w:val="0"/>
                <w:sz w:val="21"/>
                <w:szCs w:val="21"/>
              </w:rPr>
            </w:pPr>
            <w:r>
              <w:rPr>
                <w:rFonts w:hint="eastAsia" w:ascii="Times New Roman Regular" w:hAnsi="Times New Roman Regular" w:eastAsia="方正黑体_GBK" w:cs="Times New Roman Regular"/>
                <w:kern w:val="0"/>
                <w:sz w:val="21"/>
                <w:szCs w:val="21"/>
              </w:rPr>
              <w:t>三级指标</w:t>
            </w:r>
          </w:p>
        </w:tc>
        <w:tc>
          <w:tcPr>
            <w:tcW w:w="709" w:type="dxa"/>
            <w:tcBorders>
              <w:tl2br w:val="nil"/>
              <w:tr2bl w:val="nil"/>
            </w:tcBorders>
            <w:noWrap/>
            <w:vAlign w:val="center"/>
          </w:tcPr>
          <w:p>
            <w:pPr>
              <w:adjustRightInd w:val="0"/>
              <w:snapToGrid w:val="0"/>
              <w:spacing w:line="500" w:lineRule="exact"/>
              <w:jc w:val="center"/>
              <w:textAlignment w:val="center"/>
              <w:rPr>
                <w:rFonts w:hint="eastAsia" w:ascii="Times New Roman Regular" w:hAnsi="Times New Roman Regular" w:eastAsia="方正黑体_GBK" w:cs="Times New Roman Regular"/>
                <w:kern w:val="0"/>
                <w:sz w:val="21"/>
                <w:szCs w:val="21"/>
              </w:rPr>
            </w:pPr>
            <w:r>
              <w:rPr>
                <w:rFonts w:hint="eastAsia" w:ascii="Times New Roman Regular" w:hAnsi="Times New Roman Regular" w:eastAsia="方正黑体_GBK" w:cs="Times New Roman Regular"/>
                <w:kern w:val="0"/>
                <w:sz w:val="21"/>
                <w:szCs w:val="21"/>
              </w:rPr>
              <w:t>权重</w:t>
            </w:r>
          </w:p>
        </w:tc>
        <w:tc>
          <w:tcPr>
            <w:tcW w:w="8789" w:type="dxa"/>
            <w:tcBorders>
              <w:tl2br w:val="nil"/>
              <w:tr2bl w:val="nil"/>
            </w:tcBorders>
            <w:noWrap w:val="0"/>
            <w:vAlign w:val="center"/>
          </w:tcPr>
          <w:p>
            <w:pPr>
              <w:adjustRightInd w:val="0"/>
              <w:snapToGrid w:val="0"/>
              <w:spacing w:line="500" w:lineRule="exact"/>
              <w:jc w:val="center"/>
              <w:textAlignment w:val="center"/>
              <w:rPr>
                <w:rFonts w:hint="eastAsia" w:ascii="Times New Roman Regular" w:hAnsi="Times New Roman Regular" w:eastAsia="方正黑体_GBK" w:cs="Times New Roman Regular"/>
                <w:kern w:val="0"/>
                <w:sz w:val="21"/>
                <w:szCs w:val="21"/>
              </w:rPr>
            </w:pPr>
            <w:r>
              <w:rPr>
                <w:rFonts w:hint="eastAsia" w:ascii="Times New Roman Regular" w:hAnsi="Times New Roman Regular" w:eastAsia="方正黑体_GBK" w:cs="Times New Roman Regular"/>
                <w:kern w:val="0"/>
                <w:sz w:val="21"/>
                <w:szCs w:val="21"/>
              </w:rPr>
              <w:t>评估内容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restart"/>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发布解读</w:t>
            </w: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（38分）</w:t>
            </w: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发布解读</w:t>
            </w: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（38分）</w:t>
            </w: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发布解读</w:t>
            </w: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（38分）</w:t>
            </w:r>
          </w:p>
        </w:tc>
        <w:tc>
          <w:tcPr>
            <w:tcW w:w="1134" w:type="dxa"/>
            <w:vMerge w:val="restart"/>
            <w:tcBorders>
              <w:tl2br w:val="nil"/>
              <w:tr2bl w:val="nil"/>
            </w:tcBorders>
            <w:noWrap/>
            <w:vAlign w:val="center"/>
          </w:tcPr>
          <w:p>
            <w:pPr>
              <w:pStyle w:val="2"/>
              <w:spacing w:line="240" w:lineRule="auto"/>
              <w:rPr>
                <w:rFonts w:hint="eastAsia" w:ascii="仿宋_GB2312" w:hAnsi="等线" w:eastAsia="仿宋_GB2312" w:cs="宋体"/>
                <w:kern w:val="0"/>
                <w:szCs w:val="21"/>
              </w:rPr>
            </w:pPr>
          </w:p>
          <w:p>
            <w:pPr>
              <w:pStyle w:val="2"/>
              <w:spacing w:line="240" w:lineRule="auto"/>
              <w:rPr>
                <w:rFonts w:hint="eastAsia" w:ascii="仿宋_GB2312" w:hAnsi="等线" w:eastAsia="仿宋_GB2312" w:cs="宋体"/>
                <w:kern w:val="0"/>
                <w:szCs w:val="21"/>
              </w:rPr>
            </w:pPr>
          </w:p>
          <w:p>
            <w:pPr>
              <w:pStyle w:val="2"/>
              <w:spacing w:line="240" w:lineRule="auto"/>
              <w:rPr>
                <w:rFonts w:hint="eastAsia" w:ascii="仿宋_GB2312" w:hAnsi="等线" w:eastAsia="仿宋_GB2312" w:cs="宋体"/>
                <w:kern w:val="0"/>
                <w:szCs w:val="21"/>
              </w:rPr>
            </w:pPr>
          </w:p>
          <w:p>
            <w:pPr>
              <w:pStyle w:val="2"/>
              <w:spacing w:line="240" w:lineRule="auto"/>
              <w:rPr>
                <w:rFonts w:hint="eastAsia" w:ascii="仿宋_GB2312" w:hAnsi="等线" w:eastAsia="仿宋_GB2312" w:cs="宋体"/>
                <w:kern w:val="0"/>
                <w:szCs w:val="21"/>
              </w:rPr>
            </w:pPr>
          </w:p>
          <w:p>
            <w:pPr>
              <w:pStyle w:val="2"/>
              <w:spacing w:line="240" w:lineRule="auto"/>
              <w:rPr>
                <w:rFonts w:hint="eastAsia" w:ascii="仿宋_GB2312" w:hAnsi="等线" w:eastAsia="仿宋_GB2312" w:cs="宋体"/>
                <w:kern w:val="0"/>
                <w:szCs w:val="21"/>
              </w:rPr>
            </w:pPr>
          </w:p>
          <w:p>
            <w:pPr>
              <w:pStyle w:val="2"/>
              <w:spacing w:line="240" w:lineRule="auto"/>
              <w:jc w:val="center"/>
              <w:rPr>
                <w:rFonts w:hint="eastAsia" w:ascii="仿宋_GB2312" w:hAnsi="等线" w:eastAsia="仿宋_GB2312" w:cs="宋体"/>
                <w:kern w:val="0"/>
                <w:szCs w:val="21"/>
              </w:rPr>
            </w:pPr>
            <w:r>
              <w:rPr>
                <w:rFonts w:hint="eastAsia" w:ascii="仿宋_GB2312" w:hAnsi="等线" w:eastAsia="仿宋_GB2312" w:cs="宋体"/>
                <w:kern w:val="0"/>
                <w:szCs w:val="21"/>
              </w:rPr>
              <w:t>主动公开</w:t>
            </w:r>
          </w:p>
          <w:p>
            <w:pPr>
              <w:pStyle w:val="2"/>
              <w:spacing w:line="240" w:lineRule="auto"/>
              <w:rPr>
                <w:rFonts w:hint="eastAsia" w:ascii="仿宋_GB2312" w:hAnsi="等线" w:eastAsia="仿宋_GB2312" w:cs="宋体"/>
                <w:kern w:val="0"/>
                <w:sz w:val="21"/>
                <w:szCs w:val="21"/>
              </w:rPr>
            </w:pPr>
          </w:p>
          <w:p>
            <w:pPr>
              <w:pStyle w:val="2"/>
              <w:spacing w:line="240" w:lineRule="auto"/>
              <w:rPr>
                <w:rFonts w:hint="eastAsia" w:ascii="仿宋_GB2312" w:hAnsi="等线" w:eastAsia="仿宋_GB2312" w:cs="宋体"/>
                <w:kern w:val="0"/>
                <w:sz w:val="21"/>
                <w:szCs w:val="21"/>
              </w:rPr>
            </w:pPr>
          </w:p>
          <w:p>
            <w:pPr>
              <w:pStyle w:val="2"/>
              <w:spacing w:line="240" w:lineRule="auto"/>
              <w:rPr>
                <w:rFonts w:hint="eastAsia" w:ascii="仿宋_GB2312" w:hAnsi="等线" w:eastAsia="仿宋_GB2312" w:cs="宋体"/>
                <w:kern w:val="0"/>
                <w:sz w:val="21"/>
                <w:szCs w:val="21"/>
              </w:rPr>
            </w:pPr>
          </w:p>
          <w:p>
            <w:pPr>
              <w:pStyle w:val="2"/>
              <w:spacing w:line="240" w:lineRule="auto"/>
              <w:rPr>
                <w:rFonts w:hint="eastAsia" w:ascii="仿宋_GB2312" w:hAnsi="等线" w:eastAsia="仿宋_GB2312" w:cs="宋体"/>
                <w:kern w:val="0"/>
                <w:sz w:val="21"/>
                <w:szCs w:val="21"/>
              </w:rPr>
            </w:pPr>
          </w:p>
          <w:p>
            <w:pPr>
              <w:pStyle w:val="2"/>
              <w:spacing w:line="240" w:lineRule="auto"/>
              <w:rPr>
                <w:rFonts w:hint="eastAsia" w:ascii="仿宋_GB2312" w:hAnsi="等线" w:eastAsia="仿宋_GB2312" w:cs="宋体"/>
                <w:kern w:val="0"/>
                <w:sz w:val="21"/>
                <w:szCs w:val="21"/>
              </w:rPr>
            </w:pPr>
          </w:p>
          <w:p>
            <w:pPr>
              <w:pStyle w:val="2"/>
              <w:spacing w:line="240" w:lineRule="auto"/>
              <w:rPr>
                <w:rFonts w:hint="eastAsia" w:ascii="仿宋_GB2312" w:hAnsi="等线" w:eastAsia="仿宋_GB2312" w:cs="宋体"/>
                <w:kern w:val="0"/>
                <w:sz w:val="21"/>
                <w:szCs w:val="21"/>
              </w:rPr>
            </w:pPr>
          </w:p>
          <w:p>
            <w:pPr>
              <w:pStyle w:val="2"/>
              <w:spacing w:line="240" w:lineRule="auto"/>
              <w:rPr>
                <w:rFonts w:hint="eastAsia" w:ascii="仿宋_GB2312" w:hAnsi="等线" w:eastAsia="仿宋_GB2312" w:cs="宋体"/>
                <w:kern w:val="0"/>
                <w:sz w:val="21"/>
                <w:szCs w:val="21"/>
              </w:rPr>
            </w:pPr>
          </w:p>
          <w:p>
            <w:pPr>
              <w:pStyle w:val="2"/>
              <w:spacing w:line="240" w:lineRule="auto"/>
              <w:jc w:val="center"/>
              <w:rPr>
                <w:rFonts w:hint="eastAsia"/>
              </w:rPr>
            </w:pPr>
            <w:r>
              <w:rPr>
                <w:rFonts w:hint="eastAsia" w:ascii="仿宋_GB2312" w:hAnsi="等线" w:eastAsia="仿宋_GB2312" w:cs="宋体"/>
                <w:kern w:val="0"/>
                <w:sz w:val="21"/>
                <w:szCs w:val="21"/>
              </w:rPr>
              <w:t>主动公开</w:t>
            </w:r>
          </w:p>
        </w:tc>
        <w:tc>
          <w:tcPr>
            <w:tcW w:w="1134"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基础信息</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9</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考核概况、机构职能、领导信息、政务动态、文件资料、人事信息、规划计划、财政信息、数据发布、政府会议、建议提案等基础信息公开栏目建设和内容维护情况：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栏目体系是否合理，是否按照用户使用习惯或业务逻辑分类设置栏目</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2.</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栏目内容与栏目名称的一致性、匹配度，是否存在关联性不高的信息噪音</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政府信息公开专栏内容是否符合政府信息公开条例第二十条、二十一条要求。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额外加分：栏目设计新颖、展现形式多样，能够将信息视作数据并开发设计应用类栏目的。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额外扣分：更新不及时、存在突击发布或弄虚作假情况的。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重点信息</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12</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考核重大建设项目批准和实施、住房保障、国有土地使用权和矿业权出让领域、政府采购、国有产权交易、社会救助和社会福利、教育、公共医疗卫生、环境保护、灾害事故救援、公共文化体育、价格和收费、安全生产、食品安全等重点领域信息公开栏目建设和内容维护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栏目体系是否合理，是否按照用户使用习惯或业务逻辑分类设置栏目</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栏目内容与栏目名称的一致性、匹配度，是否存在关联性不高的信息噪音。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额外加分：栏目设计新颖、展现形式多样，能够将信息视作数据并开发设计应用类栏目的。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额外扣分：更新不及时、存在突击发布或弄虚作假情况的。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restart"/>
            <w:tcBorders>
              <w:tl2br w:val="nil"/>
              <w:tr2bl w:val="nil"/>
            </w:tcBorders>
            <w:noWrap/>
            <w:vAlign w:val="center"/>
          </w:tcPr>
          <w:p>
            <w:pPr>
              <w:pStyle w:val="2"/>
              <w:spacing w:line="240" w:lineRule="auto"/>
              <w:rPr>
                <w:rFonts w:hint="eastAsia" w:ascii="仿宋_GB2312" w:hAnsi="等线" w:eastAsia="仿宋_GB2312" w:cs="宋体"/>
                <w:kern w:val="0"/>
                <w:szCs w:val="21"/>
              </w:rPr>
            </w:pPr>
            <w:r>
              <w:rPr>
                <w:rFonts w:hint="eastAsia" w:ascii="仿宋_GB2312" w:hAnsi="等线" w:eastAsia="仿宋_GB2312" w:cs="宋体"/>
                <w:kern w:val="0"/>
                <w:szCs w:val="21"/>
              </w:rPr>
              <w:t>政策解读</w:t>
            </w:r>
          </w:p>
          <w:p>
            <w:pPr>
              <w:pStyle w:val="2"/>
              <w:spacing w:line="240" w:lineRule="auto"/>
              <w:rPr>
                <w:rFonts w:hint="eastAsia" w:ascii="仿宋_GB2312" w:hAnsi="等线" w:eastAsia="仿宋_GB2312" w:cs="宋体"/>
                <w:kern w:val="0"/>
                <w:sz w:val="21"/>
                <w:szCs w:val="21"/>
              </w:rPr>
            </w:pPr>
          </w:p>
          <w:p>
            <w:pPr>
              <w:pStyle w:val="2"/>
              <w:spacing w:line="240" w:lineRule="auto"/>
              <w:jc w:val="center"/>
              <w:rPr>
                <w:rFonts w:hint="eastAsia"/>
              </w:rPr>
            </w:pPr>
            <w:r>
              <w:rPr>
                <w:rFonts w:hint="eastAsia" w:ascii="仿宋_GB2312" w:hAnsi="等线" w:eastAsia="仿宋_GB2312" w:cs="宋体"/>
                <w:kern w:val="0"/>
                <w:sz w:val="21"/>
                <w:szCs w:val="21"/>
              </w:rPr>
              <w:t>政策解读</w:t>
            </w:r>
          </w:p>
        </w:tc>
        <w:tc>
          <w:tcPr>
            <w:tcW w:w="709" w:type="dxa"/>
            <w:vMerge w:val="restart"/>
            <w:tcBorders>
              <w:tl2br w:val="nil"/>
              <w:tr2bl w:val="nil"/>
            </w:tcBorders>
            <w:noWrap/>
            <w:vAlign w:val="center"/>
          </w:tcPr>
          <w:p>
            <w:pPr>
              <w:widowControl/>
              <w:spacing w:line="240" w:lineRule="auto"/>
              <w:jc w:val="center"/>
              <w:rPr>
                <w:rFonts w:hint="eastAsia" w:ascii="仿宋_GB2312" w:hAnsi="等线" w:cs="宋体"/>
                <w:kern w:val="0"/>
                <w:sz w:val="21"/>
                <w:szCs w:val="21"/>
              </w:rPr>
            </w:pPr>
            <w:r>
              <w:rPr>
                <w:rFonts w:hint="eastAsia" w:ascii="仿宋_GB2312" w:hAnsi="等线" w:cs="宋体"/>
                <w:kern w:val="0"/>
                <w:sz w:val="21"/>
                <w:szCs w:val="21"/>
              </w:rPr>
              <w:t>6</w:t>
            </w:r>
          </w:p>
          <w:p>
            <w:pPr>
              <w:pStyle w:val="2"/>
              <w:spacing w:line="240" w:lineRule="auto"/>
              <w:jc w:val="center"/>
              <w:rPr>
                <w:rFonts w:hint="eastAsia" w:ascii="仿宋_GB2312" w:hAnsi="等线" w:eastAsia="仿宋_GB2312" w:cs="宋体"/>
                <w:kern w:val="0"/>
                <w:sz w:val="21"/>
                <w:szCs w:val="21"/>
              </w:rPr>
            </w:pPr>
          </w:p>
          <w:p>
            <w:pPr>
              <w:pStyle w:val="2"/>
              <w:spacing w:line="240" w:lineRule="auto"/>
              <w:jc w:val="center"/>
              <w:rPr>
                <w:rFonts w:hint="eastAsia"/>
              </w:rPr>
            </w:pPr>
            <w:r>
              <w:rPr>
                <w:rFonts w:hint="eastAsia" w:ascii="仿宋_GB2312" w:hAnsi="等线" w:eastAsia="仿宋_GB2312" w:cs="宋体"/>
                <w:kern w:val="0"/>
                <w:sz w:val="21"/>
                <w:szCs w:val="21"/>
              </w:rPr>
              <w:t>6</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本地区通过政府网站开展政策解读的情况：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网站对本地区政策文件的解读比例和解读形式（如图形图表、音视频、新闻发布会、媒体报道等形式）</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栏目内容与栏目名称的一致性、匹配度，是否存在关联性不高的信息噪音。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额外加分：实现便民惠企政策文件精准分类、精准送达和办事关联的。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额外扣分：更新不及时、存在突击发布或弄虚作假情况的。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1134" w:type="dxa"/>
            <w:vMerge w:val="restart"/>
            <w:tcBorders>
              <w:tl2br w:val="nil"/>
              <w:tr2bl w:val="nil"/>
            </w:tcBorders>
            <w:noWrap/>
            <w:vAlign w:val="center"/>
          </w:tcPr>
          <w:p>
            <w:pPr>
              <w:pStyle w:val="2"/>
              <w:spacing w:line="240" w:lineRule="auto"/>
              <w:rPr>
                <w:rFonts w:hint="eastAsia" w:ascii="仿宋_GB2312" w:hAnsi="等线" w:eastAsia="仿宋_GB2312" w:cs="宋体"/>
                <w:kern w:val="0"/>
                <w:szCs w:val="21"/>
              </w:rPr>
            </w:pPr>
          </w:p>
          <w:p>
            <w:pPr>
              <w:pStyle w:val="2"/>
              <w:spacing w:line="240" w:lineRule="auto"/>
              <w:rPr>
                <w:rFonts w:hint="eastAsia" w:ascii="仿宋_GB2312" w:hAnsi="等线" w:eastAsia="仿宋_GB2312" w:cs="宋体"/>
                <w:kern w:val="0"/>
                <w:szCs w:val="21"/>
              </w:rPr>
            </w:pPr>
          </w:p>
          <w:p>
            <w:pPr>
              <w:pStyle w:val="2"/>
              <w:spacing w:line="240" w:lineRule="auto"/>
              <w:rPr>
                <w:rFonts w:hint="eastAsia" w:ascii="仿宋_GB2312" w:hAnsi="等线" w:eastAsia="仿宋_GB2312" w:cs="宋体"/>
                <w:kern w:val="0"/>
                <w:szCs w:val="21"/>
              </w:rPr>
            </w:pPr>
          </w:p>
          <w:p>
            <w:pPr>
              <w:pStyle w:val="2"/>
              <w:spacing w:line="240" w:lineRule="auto"/>
              <w:rPr>
                <w:rFonts w:hint="eastAsia" w:ascii="仿宋_GB2312" w:hAnsi="等线" w:eastAsia="仿宋_GB2312" w:cs="宋体"/>
                <w:kern w:val="0"/>
                <w:szCs w:val="21"/>
              </w:rPr>
            </w:pPr>
          </w:p>
          <w:p>
            <w:pPr>
              <w:pStyle w:val="2"/>
              <w:spacing w:line="240" w:lineRule="auto"/>
              <w:jc w:val="center"/>
              <w:rPr>
                <w:rFonts w:hint="eastAsia" w:ascii="仿宋_GB2312" w:hAnsi="等线" w:eastAsia="仿宋_GB2312" w:cs="宋体"/>
                <w:kern w:val="0"/>
                <w:szCs w:val="21"/>
              </w:rPr>
            </w:pPr>
            <w:r>
              <w:rPr>
                <w:rFonts w:hint="eastAsia" w:ascii="仿宋_GB2312" w:hAnsi="等线" w:eastAsia="仿宋_GB2312" w:cs="宋体"/>
                <w:kern w:val="0"/>
                <w:szCs w:val="21"/>
              </w:rPr>
              <w:t>特色栏目</w:t>
            </w:r>
          </w:p>
          <w:p>
            <w:pPr>
              <w:pStyle w:val="2"/>
              <w:spacing w:line="240" w:lineRule="auto"/>
              <w:rPr>
                <w:rFonts w:hint="eastAsia" w:ascii="仿宋_GB2312" w:hAnsi="等线" w:eastAsia="仿宋_GB2312" w:cs="宋体"/>
                <w:kern w:val="0"/>
                <w:sz w:val="21"/>
                <w:szCs w:val="21"/>
              </w:rPr>
            </w:pPr>
          </w:p>
          <w:p>
            <w:pPr>
              <w:pStyle w:val="2"/>
              <w:spacing w:line="240" w:lineRule="auto"/>
              <w:rPr>
                <w:rFonts w:hint="eastAsia" w:ascii="仿宋_GB2312" w:hAnsi="等线" w:eastAsia="仿宋_GB2312" w:cs="宋体"/>
                <w:kern w:val="0"/>
                <w:sz w:val="21"/>
                <w:szCs w:val="21"/>
              </w:rPr>
            </w:pPr>
          </w:p>
          <w:p>
            <w:pPr>
              <w:pStyle w:val="2"/>
              <w:spacing w:line="240" w:lineRule="auto"/>
              <w:rPr>
                <w:rFonts w:hint="eastAsia" w:ascii="仿宋_GB2312" w:hAnsi="等线" w:eastAsia="仿宋_GB2312" w:cs="宋体"/>
                <w:kern w:val="0"/>
                <w:sz w:val="21"/>
                <w:szCs w:val="21"/>
              </w:rPr>
            </w:pPr>
          </w:p>
          <w:p>
            <w:pPr>
              <w:pStyle w:val="2"/>
              <w:spacing w:line="240" w:lineRule="auto"/>
              <w:rPr>
                <w:rFonts w:hint="eastAsia" w:ascii="仿宋_GB2312" w:hAnsi="等线" w:eastAsia="仿宋_GB2312" w:cs="宋体"/>
                <w:kern w:val="0"/>
                <w:sz w:val="21"/>
                <w:szCs w:val="21"/>
              </w:rPr>
            </w:pPr>
          </w:p>
          <w:p>
            <w:pPr>
              <w:pStyle w:val="2"/>
              <w:spacing w:line="240" w:lineRule="auto"/>
              <w:rPr>
                <w:rFonts w:hint="eastAsia" w:ascii="仿宋_GB2312" w:hAnsi="等线" w:eastAsia="仿宋_GB2312" w:cs="宋体"/>
                <w:kern w:val="0"/>
                <w:sz w:val="21"/>
                <w:szCs w:val="21"/>
              </w:rPr>
            </w:pPr>
          </w:p>
          <w:p>
            <w:pPr>
              <w:pStyle w:val="2"/>
              <w:spacing w:line="240" w:lineRule="auto"/>
              <w:rPr>
                <w:rFonts w:hint="eastAsia" w:ascii="仿宋_GB2312" w:hAnsi="等线" w:eastAsia="仿宋_GB2312" w:cs="宋体"/>
                <w:kern w:val="0"/>
                <w:sz w:val="21"/>
                <w:szCs w:val="21"/>
              </w:rPr>
            </w:pPr>
          </w:p>
          <w:p>
            <w:pPr>
              <w:pStyle w:val="2"/>
              <w:spacing w:line="240" w:lineRule="auto"/>
              <w:jc w:val="center"/>
              <w:rPr>
                <w:rFonts w:hint="eastAsia" w:ascii="仿宋_GB2312" w:hAnsi="等线" w:eastAsia="仿宋_GB2312" w:cs="宋体"/>
                <w:kern w:val="0"/>
                <w:sz w:val="21"/>
                <w:szCs w:val="21"/>
              </w:rPr>
            </w:pPr>
          </w:p>
          <w:p>
            <w:pPr>
              <w:pStyle w:val="2"/>
              <w:spacing w:line="240" w:lineRule="auto"/>
              <w:jc w:val="center"/>
              <w:rPr>
                <w:rFonts w:hint="eastAsia"/>
              </w:rPr>
            </w:pPr>
            <w:r>
              <w:rPr>
                <w:rFonts w:hint="eastAsia" w:ascii="仿宋_GB2312" w:hAnsi="等线" w:eastAsia="仿宋_GB2312" w:cs="宋体"/>
                <w:kern w:val="0"/>
                <w:sz w:val="21"/>
                <w:szCs w:val="21"/>
              </w:rPr>
              <w:t>特色栏目</w:t>
            </w:r>
          </w:p>
        </w:tc>
        <w:tc>
          <w:tcPr>
            <w:tcW w:w="1134"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业务专题</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5</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围绕本地区各部门核心业务职能策划相关专题专栏综合提供业务相关的政策依据、行业标准、知识库、在线查询、办事服务等各类资源的情况：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网站整合业务专题的数量</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2.业务专题是否栏对资源进行整合并分类展现（是否分类聚合动态、政策、标准、互动、服务、查询等四类以上资源）</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栏目内容与栏目名称的一致性、匹配度，是否存在关联性不高的信息噪音。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额外加分：栏目设计新颖、展现形式多样，能够将信息视作数据并开发设计应用类栏目的。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额外扣分：更新不及时、存在突击发布或弄虚作假情况的。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restart"/>
            <w:tcBorders>
              <w:tl2br w:val="nil"/>
              <w:tr2bl w:val="nil"/>
            </w:tcBorders>
            <w:noWrap w:val="0"/>
            <w:vAlign w:val="center"/>
          </w:tcPr>
          <w:p>
            <w:pPr>
              <w:pStyle w:val="2"/>
              <w:spacing w:line="240" w:lineRule="auto"/>
              <w:jc w:val="center"/>
              <w:rPr>
                <w:rFonts w:hint="eastAsia" w:ascii="仿宋_GB2312" w:hAnsi="等线" w:eastAsia="仿宋_GB2312" w:cs="宋体"/>
                <w:kern w:val="0"/>
                <w:szCs w:val="21"/>
              </w:rPr>
            </w:pPr>
          </w:p>
          <w:p>
            <w:pPr>
              <w:pStyle w:val="2"/>
              <w:spacing w:line="240" w:lineRule="auto"/>
              <w:jc w:val="center"/>
              <w:rPr>
                <w:rFonts w:hint="eastAsia" w:ascii="仿宋_GB2312" w:hAnsi="等线" w:eastAsia="仿宋_GB2312" w:cs="宋体"/>
                <w:kern w:val="0"/>
                <w:szCs w:val="21"/>
              </w:rPr>
            </w:pPr>
            <w:r>
              <w:rPr>
                <w:rFonts w:hint="eastAsia" w:ascii="仿宋_GB2312" w:hAnsi="等线" w:eastAsia="仿宋_GB2312" w:cs="宋体"/>
                <w:kern w:val="0"/>
                <w:szCs w:val="21"/>
              </w:rPr>
              <w:t>年度重点工作</w:t>
            </w:r>
          </w:p>
          <w:p>
            <w:pPr>
              <w:pStyle w:val="2"/>
              <w:spacing w:line="240" w:lineRule="auto"/>
              <w:jc w:val="center"/>
              <w:rPr>
                <w:rFonts w:hint="eastAsia" w:ascii="仿宋_GB2312" w:hAnsi="等线" w:eastAsia="仿宋_GB2312" w:cs="宋体"/>
                <w:kern w:val="0"/>
                <w:sz w:val="21"/>
                <w:szCs w:val="21"/>
              </w:rPr>
            </w:pPr>
          </w:p>
          <w:p>
            <w:pPr>
              <w:pStyle w:val="2"/>
              <w:spacing w:line="240" w:lineRule="auto"/>
              <w:jc w:val="both"/>
              <w:rPr>
                <w:rFonts w:hint="eastAsia" w:ascii="仿宋_GB2312" w:hAnsi="等线" w:eastAsia="仿宋_GB2312" w:cs="宋体"/>
                <w:kern w:val="0"/>
                <w:sz w:val="21"/>
                <w:szCs w:val="21"/>
              </w:rPr>
            </w:pPr>
          </w:p>
          <w:p>
            <w:pPr>
              <w:pStyle w:val="2"/>
              <w:spacing w:line="240" w:lineRule="auto"/>
              <w:jc w:val="center"/>
              <w:rPr>
                <w:rFonts w:hint="eastAsia"/>
              </w:rPr>
            </w:pPr>
            <w:r>
              <w:rPr>
                <w:rFonts w:hint="eastAsia" w:ascii="仿宋_GB2312" w:hAnsi="等线" w:eastAsia="仿宋_GB2312" w:cs="宋体"/>
                <w:kern w:val="0"/>
                <w:sz w:val="21"/>
                <w:szCs w:val="21"/>
              </w:rPr>
              <w:t>年度重点工作</w:t>
            </w:r>
          </w:p>
        </w:tc>
        <w:tc>
          <w:tcPr>
            <w:tcW w:w="709" w:type="dxa"/>
            <w:vMerge w:val="restart"/>
            <w:tcBorders>
              <w:tl2br w:val="nil"/>
              <w:tr2bl w:val="nil"/>
            </w:tcBorders>
            <w:noWrap/>
            <w:vAlign w:val="center"/>
          </w:tcPr>
          <w:p>
            <w:pPr>
              <w:widowControl/>
              <w:spacing w:line="240" w:lineRule="auto"/>
              <w:jc w:val="center"/>
              <w:rPr>
                <w:rFonts w:hint="eastAsia" w:ascii="仿宋_GB2312" w:hAnsi="等线" w:cs="宋体"/>
                <w:kern w:val="0"/>
                <w:sz w:val="21"/>
                <w:szCs w:val="21"/>
              </w:rPr>
            </w:pPr>
          </w:p>
          <w:p>
            <w:pPr>
              <w:widowControl/>
              <w:spacing w:line="240" w:lineRule="auto"/>
              <w:jc w:val="center"/>
              <w:rPr>
                <w:rFonts w:hint="eastAsia" w:ascii="仿宋_GB2312" w:hAnsi="等线" w:cs="宋体"/>
                <w:kern w:val="0"/>
                <w:sz w:val="21"/>
                <w:szCs w:val="21"/>
              </w:rPr>
            </w:pPr>
          </w:p>
          <w:p>
            <w:pPr>
              <w:widowControl/>
              <w:spacing w:line="240" w:lineRule="auto"/>
              <w:jc w:val="center"/>
              <w:rPr>
                <w:rFonts w:hint="eastAsia" w:ascii="仿宋_GB2312" w:hAnsi="等线" w:cs="宋体"/>
                <w:kern w:val="0"/>
                <w:sz w:val="21"/>
                <w:szCs w:val="21"/>
              </w:rPr>
            </w:pPr>
            <w:r>
              <w:rPr>
                <w:rFonts w:hint="eastAsia" w:ascii="仿宋_GB2312" w:hAnsi="等线" w:cs="宋体"/>
                <w:kern w:val="0"/>
                <w:sz w:val="21"/>
                <w:szCs w:val="21"/>
              </w:rPr>
              <w:t>6</w:t>
            </w:r>
          </w:p>
          <w:p>
            <w:pPr>
              <w:widowControl/>
              <w:spacing w:line="240" w:lineRule="auto"/>
              <w:jc w:val="center"/>
              <w:rPr>
                <w:rFonts w:hint="eastAsia" w:ascii="仿宋_GB2312" w:hAnsi="等线" w:cs="宋体"/>
                <w:kern w:val="0"/>
                <w:sz w:val="21"/>
                <w:szCs w:val="21"/>
              </w:rPr>
            </w:pPr>
          </w:p>
          <w:p>
            <w:pPr>
              <w:widowControl/>
              <w:spacing w:line="240" w:lineRule="auto"/>
              <w:jc w:val="center"/>
              <w:rPr>
                <w:rFonts w:hint="eastAsia" w:ascii="仿宋_GB2312" w:hAnsi="等线" w:cs="宋体"/>
                <w:kern w:val="0"/>
                <w:sz w:val="21"/>
                <w:szCs w:val="21"/>
              </w:rPr>
            </w:pPr>
          </w:p>
          <w:p>
            <w:pPr>
              <w:widowControl/>
              <w:spacing w:line="240" w:lineRule="auto"/>
              <w:jc w:val="center"/>
              <w:rPr>
                <w:rFonts w:hint="eastAsia" w:ascii="仿宋_GB2312" w:hAnsi="等线" w:cs="宋体"/>
                <w:kern w:val="0"/>
                <w:sz w:val="21"/>
                <w:szCs w:val="21"/>
              </w:rPr>
            </w:pPr>
          </w:p>
          <w:p>
            <w:pPr>
              <w:widowControl/>
              <w:spacing w:line="240" w:lineRule="auto"/>
              <w:jc w:val="center"/>
              <w:rPr>
                <w:rFonts w:hint="eastAsia" w:ascii="仿宋_GB2312" w:hAnsi="等线" w:cs="宋体"/>
                <w:kern w:val="0"/>
                <w:sz w:val="21"/>
                <w:szCs w:val="21"/>
              </w:rPr>
            </w:pPr>
          </w:p>
          <w:p>
            <w:pPr>
              <w:widowControl/>
              <w:spacing w:line="240" w:lineRule="auto"/>
              <w:jc w:val="both"/>
              <w:rPr>
                <w:rFonts w:hint="eastAsia" w:ascii="仿宋_GB2312" w:hAnsi="等线" w:cs="宋体"/>
                <w:kern w:val="0"/>
                <w:sz w:val="21"/>
                <w:szCs w:val="21"/>
              </w:rPr>
            </w:pPr>
          </w:p>
          <w:p>
            <w:pPr>
              <w:widowControl/>
              <w:spacing w:line="240" w:lineRule="auto"/>
              <w:jc w:val="center"/>
              <w:rPr>
                <w:rFonts w:hint="eastAsia"/>
              </w:rPr>
            </w:pPr>
            <w:r>
              <w:rPr>
                <w:rFonts w:hint="eastAsia" w:ascii="仿宋_GB2312" w:hAnsi="等线" w:cs="宋体"/>
                <w:kern w:val="0"/>
                <w:sz w:val="21"/>
                <w:szCs w:val="21"/>
              </w:rPr>
              <w:t>6</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网站围绕2023年政府工作报告中的某一项具体的年度重点工作开设专题专栏整合提供相关工作背景、政策依据、工作进展情况、工作成果、知识、服务等各类资源的情况：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年度度重点工作专栏的开设以及栏目体系设计情况</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2.</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专栏是否分类整合工作背景、政策依据、工作进展情况、工作成果、知识、服务、互动等三类以上资源的</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栏目内容与栏目名称的一致性、匹配度，是否存在关联性不高的信息噪音。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额外加分：栏目设计新颖、展现形式多样，能够将信息视作数据并开发设计应用类栏目的。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continue"/>
            <w:tcBorders>
              <w:tl2br w:val="nil"/>
              <w:tr2bl w:val="nil"/>
            </w:tcBorders>
            <w:noWrap w:val="0"/>
            <w:vAlign w:val="center"/>
          </w:tcPr>
          <w:p>
            <w:pPr>
              <w:widowControl/>
              <w:spacing w:line="240" w:lineRule="auto"/>
              <w:jc w:val="left"/>
              <w:rPr>
                <w:rFonts w:ascii="等线" w:hAnsi="等线" w:eastAsia="等线"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额外扣分：更新不及时、存在突击发布或弄虚作假情况的。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restart"/>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政务服务（6分）</w:t>
            </w:r>
          </w:p>
          <w:p>
            <w:pPr>
              <w:widowControl/>
              <w:spacing w:line="240" w:lineRule="auto"/>
              <w:jc w:val="center"/>
              <w:rPr>
                <w:rFonts w:hint="eastAsia" w:ascii="仿宋_GB2312" w:hAnsi="等线" w:eastAsia="仿宋_GB2312" w:cs="宋体"/>
                <w:kern w:val="0"/>
                <w:sz w:val="21"/>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办事指南</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办事指南的规范性、准确性：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网站行政许可、行政确认、行政备案、其他行政权力等办事指南要素的规范性</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行政许可、行政确认、行政备案、其他行政权力等办事指南要素内容、办理流程、办理材料、表格下载等内容的准确性。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网办深度</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各地区实现全程网办事项的数量。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一件事一次办</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各地区实现群众眼中的一件事一次办服务的建设情况，包括数量、导航、压缩时限、材料复用、在线办理等情况。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查询服务</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网站提供环保绿化、教育科研、交通出行、证件办理、职业资格、婚姻生育、文体旅游、医疗卫生、社会保障、出境入境、住房保障等主要领域相关查询服务的情况：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政府网站提供查询服务的数量</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2.</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政府网站提供本地区专属查询服务的情况，鼓励各地区利用统一信息资源库中数据资源开发设计专属于本地区的查询服务（仅链接到一体化平台，查询未包含本地区数据的不得分）</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3.</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政府网站提供查询服务的形式（分数由低到高依次为：上级名单名录/上级查询系统/本级名单名录/本级查询系统/本级检索系统）</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4.</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栏目内是否存在关联性不高的信息噪音。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额外加分：栏目设计新颖，查询内容贴合本地实际、采用地图或图形化等高级查询方式的。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额外扣分：存在2个（含）以上查询服务不可用，以及其他弄虚作假情况的。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restart"/>
            <w:tcBorders>
              <w:tl2br w:val="nil"/>
              <w:tr2bl w:val="nil"/>
            </w:tcBorders>
            <w:noWrap w:val="0"/>
            <w:vAlign w:val="center"/>
          </w:tcPr>
          <w:p>
            <w:pPr>
              <w:pStyle w:val="2"/>
              <w:rPr>
                <w:rFonts w:hint="eastAsia" w:ascii="仿宋_GB2312" w:hAnsi="等线" w:eastAsia="仿宋_GB2312" w:cs="宋体"/>
                <w:kern w:val="0"/>
                <w:szCs w:val="21"/>
              </w:rPr>
            </w:pPr>
          </w:p>
          <w:p>
            <w:pPr>
              <w:pStyle w:val="2"/>
              <w:rPr>
                <w:rFonts w:hint="eastAsia" w:ascii="仿宋_GB2312" w:hAnsi="等线" w:eastAsia="仿宋_GB2312" w:cs="宋体"/>
                <w:kern w:val="0"/>
                <w:szCs w:val="21"/>
              </w:rPr>
            </w:pPr>
          </w:p>
          <w:p>
            <w:pPr>
              <w:pStyle w:val="2"/>
              <w:rPr>
                <w:rFonts w:hint="eastAsia" w:ascii="仿宋_GB2312" w:hAnsi="等线" w:eastAsia="仿宋_GB2312" w:cs="宋体"/>
                <w:kern w:val="0"/>
                <w:szCs w:val="21"/>
              </w:rPr>
            </w:pPr>
          </w:p>
          <w:p>
            <w:pPr>
              <w:pStyle w:val="2"/>
              <w:rPr>
                <w:rFonts w:hint="eastAsia" w:ascii="仿宋_GB2312" w:hAnsi="等线" w:eastAsia="仿宋_GB2312" w:cs="宋体"/>
                <w:kern w:val="0"/>
                <w:szCs w:val="21"/>
              </w:rPr>
            </w:pPr>
          </w:p>
          <w:p>
            <w:pPr>
              <w:pStyle w:val="2"/>
              <w:rPr>
                <w:rFonts w:hint="eastAsia" w:ascii="仿宋_GB2312" w:hAnsi="等线" w:eastAsia="仿宋_GB2312" w:cs="宋体"/>
                <w:kern w:val="0"/>
                <w:szCs w:val="21"/>
              </w:rPr>
            </w:pPr>
          </w:p>
          <w:p>
            <w:pPr>
              <w:pStyle w:val="2"/>
              <w:jc w:val="center"/>
              <w:rPr>
                <w:rFonts w:hint="eastAsia" w:ascii="仿宋_GB2312" w:hAnsi="等线" w:eastAsia="仿宋_GB2312" w:cs="宋体"/>
                <w:kern w:val="0"/>
                <w:szCs w:val="21"/>
              </w:rPr>
            </w:pPr>
            <w:r>
              <w:rPr>
                <w:rFonts w:hint="eastAsia" w:ascii="仿宋_GB2312" w:hAnsi="等线" w:eastAsia="仿宋_GB2312" w:cs="宋体"/>
                <w:kern w:val="0"/>
                <w:szCs w:val="21"/>
              </w:rPr>
              <w:t>资源融合（10分）</w:t>
            </w:r>
          </w:p>
          <w:p>
            <w:pPr>
              <w:pStyle w:val="2"/>
              <w:rPr>
                <w:rFonts w:hint="eastAsia" w:ascii="仿宋_GB2312" w:hAnsi="等线" w:eastAsia="仿宋_GB2312" w:cs="宋体"/>
                <w:kern w:val="0"/>
                <w:sz w:val="21"/>
                <w:szCs w:val="21"/>
              </w:rPr>
            </w:pPr>
          </w:p>
          <w:p>
            <w:pPr>
              <w:pStyle w:val="2"/>
              <w:rPr>
                <w:rFonts w:hint="eastAsia" w:ascii="仿宋_GB2312" w:hAnsi="等线" w:eastAsia="仿宋_GB2312" w:cs="宋体"/>
                <w:kern w:val="0"/>
                <w:sz w:val="21"/>
                <w:szCs w:val="21"/>
              </w:rPr>
            </w:pPr>
          </w:p>
          <w:p>
            <w:pPr>
              <w:pStyle w:val="2"/>
              <w:rPr>
                <w:rFonts w:hint="eastAsia" w:ascii="仿宋_GB2312" w:hAnsi="等线" w:eastAsia="仿宋_GB2312" w:cs="宋体"/>
                <w:kern w:val="0"/>
                <w:sz w:val="21"/>
                <w:szCs w:val="21"/>
              </w:rPr>
            </w:pPr>
          </w:p>
          <w:p>
            <w:pPr>
              <w:pStyle w:val="2"/>
              <w:rPr>
                <w:rFonts w:hint="eastAsia" w:ascii="仿宋_GB2312" w:hAnsi="等线" w:eastAsia="仿宋_GB2312" w:cs="宋体"/>
                <w:kern w:val="0"/>
                <w:sz w:val="21"/>
                <w:szCs w:val="21"/>
              </w:rPr>
            </w:pPr>
          </w:p>
          <w:p>
            <w:pPr>
              <w:pStyle w:val="2"/>
              <w:rPr>
                <w:rFonts w:hint="eastAsia" w:ascii="仿宋_GB2312" w:hAnsi="等线" w:eastAsia="仿宋_GB2312" w:cs="宋体"/>
                <w:kern w:val="0"/>
                <w:sz w:val="21"/>
                <w:szCs w:val="21"/>
              </w:rPr>
            </w:pPr>
          </w:p>
          <w:p>
            <w:pPr>
              <w:pStyle w:val="2"/>
              <w:rPr>
                <w:rFonts w:hint="eastAsia" w:ascii="仿宋_GB2312" w:hAnsi="等线" w:eastAsia="仿宋_GB2312" w:cs="宋体"/>
                <w:kern w:val="0"/>
                <w:sz w:val="21"/>
                <w:szCs w:val="21"/>
              </w:rPr>
            </w:pPr>
          </w:p>
          <w:p>
            <w:pPr>
              <w:pStyle w:val="2"/>
              <w:rPr>
                <w:rFonts w:hint="eastAsia" w:ascii="仿宋_GB2312" w:hAnsi="等线" w:eastAsia="仿宋_GB2312" w:cs="宋体"/>
                <w:kern w:val="0"/>
                <w:sz w:val="21"/>
                <w:szCs w:val="21"/>
              </w:rPr>
            </w:pPr>
          </w:p>
          <w:p>
            <w:pPr>
              <w:pStyle w:val="2"/>
              <w:rPr>
                <w:rFonts w:hint="eastAsia" w:ascii="仿宋_GB2312" w:hAnsi="等线" w:eastAsia="仿宋_GB2312" w:cs="宋体"/>
                <w:kern w:val="0"/>
                <w:sz w:val="21"/>
                <w:szCs w:val="21"/>
              </w:rPr>
            </w:pPr>
          </w:p>
          <w:p>
            <w:pPr>
              <w:pStyle w:val="2"/>
              <w:rPr>
                <w:rFonts w:hint="eastAsia" w:ascii="仿宋_GB2312" w:hAnsi="等线" w:eastAsia="仿宋_GB2312" w:cs="宋体"/>
                <w:kern w:val="0"/>
                <w:sz w:val="21"/>
                <w:szCs w:val="21"/>
              </w:rPr>
            </w:pPr>
          </w:p>
          <w:p>
            <w:pPr>
              <w:pStyle w:val="2"/>
              <w:rPr>
                <w:rFonts w:hint="eastAsia" w:ascii="仿宋_GB2312" w:hAnsi="等线" w:eastAsia="仿宋_GB2312" w:cs="宋体"/>
                <w:kern w:val="0"/>
                <w:sz w:val="21"/>
                <w:szCs w:val="21"/>
              </w:rPr>
            </w:pPr>
          </w:p>
          <w:p>
            <w:pPr>
              <w:pStyle w:val="2"/>
              <w:jc w:val="center"/>
              <w:rPr>
                <w:rFonts w:hint="eastAsia"/>
              </w:rPr>
            </w:pPr>
            <w:r>
              <w:rPr>
                <w:rFonts w:hint="eastAsia" w:ascii="仿宋_GB2312" w:hAnsi="等线" w:eastAsia="仿宋_GB2312" w:cs="宋体"/>
                <w:kern w:val="0"/>
                <w:sz w:val="21"/>
                <w:szCs w:val="21"/>
              </w:rPr>
              <w:t>资源融合（10分）</w:t>
            </w: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教育</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评估政府门户网站在教育领域是否依据用户需求和业务逻辑设计导航体系，提供群众眼中的沉浸式、情景式一件事服务，整合提供政策通知、政务公开、办事服务、查询服务、标准规范、互动交流等各类信息资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社保</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评估政府门户网站在社保领域是否依据用户需求和业务逻辑设计导航体系，提供群众眼中的沉浸式、情景式一件事服务，整合提供政策通知、政务公开、办事服务、查询服务、标准规范、互动交流等各类信息资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住房</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评估政府门户网站在住房领域是否依据用户需求和业务逻辑设计导航体系，提供群众眼中的沉浸式、情景式一件事服务，整合提供政策通知、政务公开、办事服务、查询服务、标准规范、互动交流等各类信息资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ascii="仿宋_GB2312" w:hAnsi="等线" w:eastAsia="仿宋_GB2312" w:cs="宋体"/>
                <w:kern w:val="0"/>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交通</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评估政府门户网站在交通领域是否依据用户需求和业务逻辑设计导航体系，提供群众眼中的沉浸式、情景式一件事服务，整合提供政策通知、政务公开、办事服务、查询服务、标准规范、互动交流等各类信息资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ascii="仿宋_GB2312" w:hAnsi="等线" w:eastAsia="仿宋_GB2312" w:cs="宋体"/>
                <w:kern w:val="0"/>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就业创业</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评估政府门户网站在就业领域是否依据用户需求和业务逻辑设计导航体系，提供群众眼中的沉浸式、情景式一件事服务，整合提供政策通知、政务公开、办事服务、查询服务、标准规范、互动交流等各类信息资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ascii="仿宋_GB2312" w:hAnsi="等线" w:eastAsia="仿宋_GB2312" w:cs="宋体"/>
                <w:kern w:val="0"/>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社会救助和福利</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评估政府门户网站在社会救助和福利领域是否依据用户需求和业务逻辑设计导航体系，提供群众眼中的沉浸式、情景式一件事服务，整合提供政策通知、政务公开、办事服务、查询服务、标准规范、互动交流等各类信息资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jc w:val="center"/>
              <w:rPr>
                <w:rFonts w:ascii="仿宋_GB2312" w:hAnsi="等线" w:eastAsia="仿宋_GB2312" w:cs="宋体"/>
                <w:kern w:val="0"/>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婚姻生育</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评估政府门户网站在婚育领域是否依据用户需求和业务逻辑设计导航体系，提供群众眼中的沉浸式、情景式一件事服务，整合提供政策通知、政务公开、办事服务、查询服务、标准规范、互动交流等各类信息资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continue"/>
            <w:tcBorders>
              <w:tl2br w:val="nil"/>
              <w:tr2bl w:val="nil"/>
            </w:tcBorders>
            <w:noWrap w:val="0"/>
            <w:vAlign w:val="center"/>
          </w:tcPr>
          <w:p>
            <w:pPr>
              <w:widowControl/>
              <w:jc w:val="center"/>
              <w:rPr>
                <w:rFonts w:ascii="仿宋_GB2312" w:hAnsi="等线" w:eastAsia="仿宋_GB2312" w:cs="宋体"/>
                <w:kern w:val="0"/>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医疗健康</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评估政府门户网站在医疗领域是否依据用户需求和业务逻辑设计导航体系，提供群众眼中的沉浸式、情景式一件事服务，整合提供政策通知、政务公开、办事服务、查询服务、标准规范、互动交流等各类信息资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jc w:val="center"/>
              <w:rPr>
                <w:rFonts w:ascii="仿宋_GB2312" w:hAnsi="等线" w:eastAsia="仿宋_GB2312" w:cs="宋体"/>
                <w:kern w:val="0"/>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证件办理</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评估政府门户网站在证件办理领域是否依据用户需求和业务逻辑设计导航体系，提供群众眼中的沉浸式、情景式一件事服务，整合提供政策通知、政务公开、办事服务、查询服务、标准规范、互动交流等各类信息资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jc w:val="center"/>
              <w:rPr>
                <w:rFonts w:ascii="仿宋_GB2312" w:hAnsi="等线" w:eastAsia="仿宋_GB2312" w:cs="宋体"/>
                <w:kern w:val="0"/>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企业开办</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评估政府门户网站在企业开办领域是否依据用户需求和业务逻辑设计导航体系，提供群众眼中的沉浸式、情景式一件事服务，整合提供政策通知、政务公开、办事服务、查询服务、标准规范、互动交流等各类信息资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restart"/>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互动交流（8分）</w:t>
            </w: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互动交流（8分）</w:t>
            </w:r>
          </w:p>
          <w:p>
            <w:pPr>
              <w:pStyle w:val="2"/>
              <w:rPr>
                <w:rFonts w:hint="eastAsia"/>
              </w:rPr>
            </w:pPr>
          </w:p>
          <w:p>
            <w:pPr>
              <w:widowControl/>
              <w:spacing w:line="240" w:lineRule="auto"/>
              <w:jc w:val="center"/>
              <w:rPr>
                <w:rFonts w:hint="eastAsia" w:ascii="仿宋_GB2312" w:hAnsi="等线" w:eastAsia="仿宋_GB2312" w:cs="宋体"/>
                <w:kern w:val="0"/>
                <w:sz w:val="21"/>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咨询互动</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网站咨询互动渠道的实效性：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1.通过模拟用户进行简单问题提问检查网站是否在咨询后5个工作日内答复且内容准确</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2.留言统计信息的更新情况：实时更新/月度更新/月度以上。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额外扣分：留言统计数据弄虚作假、模拟用户提出的简单问题超过10个工作日未答复或答复内容存在敷衍塞责情况的。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民意征集</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5</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网站民意征集渠道建设情况、内容维护情况、功能实现情况以及征集实效情况：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1.是否通过在线方式开展（查看征集公告中提交方式）</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2.是否围绕政府决策、重点工作、用户关注热点开展意见征集</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3.一年内开展的民意征集（仅民意征集，不包括网上调查）次数不少于6次</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4.是否公开收到意见的总体情况</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5.是否公开意见具体采纳情况。（1年内开展的民意征集活动，反馈结果全部为空白/共有0人发表意见或未收到意见等模板性话术显示，此项不得分）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额外加分：对收到的意见逐一进行答复的。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额外扣分：活动均为转载或与本地区无关、意见反馈内容存在弄虚作假的。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restart"/>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功能设计（4分）</w:t>
            </w: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规范设计</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网站规范性建设情况：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spacing w:line="240" w:lineRule="auto"/>
              <w:jc w:val="left"/>
              <w:rPr>
                <w:rFonts w:ascii="仿宋_GB2312" w:hAnsi="等线" w:eastAsia="仿宋_GB2312"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1.是否按照《政府网站发展指引》-网页设计规范进行网页设计</w:t>
            </w:r>
            <w:r>
              <w:rPr>
                <w:rFonts w:hint="eastAsia" w:ascii="仿宋_GB2312" w:hAnsi="等线" w:cs="宋体"/>
                <w:kern w:val="0"/>
                <w:sz w:val="21"/>
                <w:szCs w:val="21"/>
                <w:lang w:eastAsia="zh-CN"/>
              </w:rPr>
              <w:t>。</w:t>
            </w:r>
            <w:r>
              <w:rPr>
                <w:rFonts w:hint="eastAsia" w:ascii="仿宋_GB2312" w:hAnsi="等线" w:eastAsia="仿宋_GB2312" w:cs="宋体"/>
                <w:kern w:val="0"/>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2.是否按照《国务院办公厅政府信息与政务公开办公室关于规范政府信息公开平台有关事项的通知》要求设置政府信息公开栏目。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无障碍</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网站无障碍功能建设情况：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1.考核网站开展无障碍改造的情况。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2.适老化专区建设情况。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额外扣分：无障碍功能不可用或适老化专区内容与本网站无关的。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restart"/>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智慧应用（12分）</w:t>
            </w: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智慧应用（12分）</w:t>
            </w:r>
          </w:p>
          <w:p>
            <w:pPr>
              <w:pStyle w:val="2"/>
              <w:rPr>
                <w:rFonts w:hint="eastAsia"/>
              </w:rPr>
            </w:pPr>
          </w:p>
          <w:p>
            <w:pPr>
              <w:widowControl/>
              <w:spacing w:line="240" w:lineRule="auto"/>
              <w:jc w:val="center"/>
              <w:rPr>
                <w:rFonts w:hint="eastAsia" w:ascii="仿宋_GB2312" w:hAnsi="等线" w:eastAsia="仿宋_GB2312" w:cs="宋体"/>
                <w:kern w:val="0"/>
                <w:sz w:val="21"/>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智能问答</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政府网站智能问答功能实现情况：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jc w:val="left"/>
              <w:rPr>
                <w:rFonts w:ascii="仿宋_GB2312" w:hAnsi="等线" w:eastAsia="仿宋_GB2312"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1.是否提供智能问答业务知识库</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2.模拟用户测试答复准确度</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3.是否实现智能提示、拼音理解、错别字识别、复杂意图理解、智能联想等功能。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额外加分：实现了融合答案输出的。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额外扣分：功能不可用或答复内容与本网站内容无关的。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智能搜索</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政府网站智能搜索实现情况：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网站是否提供错别字自动纠正、关键词推荐、拼音转化搜索和通俗语言搜索等模糊搜索功能</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2.</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网站是否提供搜索结果分类展示以及根据内容相关性强弱提供排序的功能</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3.</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网站是否提供网站群全站搜索功能</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4.</w:t>
            </w: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优先展现的搜索结果与搜索关键词的高度关联匹配程度。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加分：针对政策文件、办事服务类资源提供多条件、多维度筛选功能，便于公众快速搜索自己所需要的政策与服务。针对关联性高、逻辑性强的服务事项，能够围绕用户需求和业务逻辑提供集成式、场景式的搜索聚合展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额外扣分：选取网站的政策文件、办事服务、查询服务、名单名录等资源的专业关键词测试，搜不到资源的。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智能推荐</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网站是否定期分析办事服务热点、咨询投诉热点问题在网站首页及时推荐热点办事服务、热点政策措施。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额外扣分：智能推荐功能不可用或不同用户群体登录时推荐相同内容的。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continue"/>
            <w:tcBorders>
              <w:tl2br w:val="nil"/>
              <w:tr2bl w:val="nil"/>
            </w:tcBorders>
            <w:noWrap w:val="0"/>
            <w:vAlign w:val="center"/>
          </w:tcPr>
          <w:p>
            <w:pPr>
              <w:jc w:val="left"/>
              <w:rPr>
                <w:rFonts w:ascii="等线" w:hAnsi="等线" w:eastAsia="等线" w:cs="宋体"/>
                <w:kern w:val="0"/>
                <w:szCs w:val="21"/>
              </w:rPr>
            </w:pPr>
          </w:p>
        </w:tc>
        <w:tc>
          <w:tcPr>
            <w:tcW w:w="2268" w:type="dxa"/>
            <w:gridSpan w:val="2"/>
            <w:vMerge w:val="restart"/>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数据应用</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4</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网站利用统一信息资源库中汇聚的信息资源开发设计轻量化数据应用的情况。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额外扣分：以静态栏目或其他弄虚作假方式伪装成动态数据应用栏目的。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restart"/>
            <w:tcBorders>
              <w:tl2br w:val="nil"/>
              <w:tr2bl w:val="nil"/>
            </w:tcBorders>
            <w:noWrap w:val="0"/>
            <w:vAlign w:val="center"/>
          </w:tcPr>
          <w:p>
            <w:pPr>
              <w:widowControl/>
              <w:spacing w:line="240" w:lineRule="auto"/>
              <w:jc w:val="center"/>
              <w:rPr>
                <w:rFonts w:ascii="仿宋_GB2312" w:hAnsi="等线" w:eastAsia="仿宋_GB2312" w:cs="宋体"/>
                <w:kern w:val="0"/>
                <w:szCs w:val="21"/>
              </w:rPr>
            </w:pPr>
            <w:r>
              <w:rPr>
                <w:rFonts w:hint="eastAsia" w:ascii="仿宋_GB2312" w:hAnsi="等线" w:eastAsia="仿宋_GB2312" w:cs="宋体"/>
                <w:kern w:val="0"/>
                <w:sz w:val="21"/>
                <w:szCs w:val="21"/>
              </w:rPr>
              <w:t>政务新媒体（15分）</w:t>
            </w:r>
          </w:p>
          <w:p>
            <w:pPr>
              <w:spacing w:line="240" w:lineRule="auto"/>
              <w:jc w:val="left"/>
              <w:rPr>
                <w:rFonts w:ascii="仿宋_GB2312" w:hAnsi="等线" w:eastAsia="仿宋_GB2312" w:cs="宋体"/>
                <w:kern w:val="0"/>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集约开设</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1.按照一单位一平台一账号的原则进行集约开设政务新媒体</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spacing w:line="240" w:lineRule="auto"/>
              <w:jc w:val="left"/>
              <w:rPr>
                <w:rFonts w:ascii="仿宋_GB2312" w:hAnsi="等线" w:eastAsia="仿宋_GB2312" w:cs="宋体"/>
                <w:kern w:val="0"/>
                <w:szCs w:val="21"/>
              </w:rPr>
            </w:pPr>
          </w:p>
        </w:tc>
        <w:tc>
          <w:tcPr>
            <w:tcW w:w="2268" w:type="dxa"/>
            <w:gridSpan w:val="2"/>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2.通过政务新媒体运行管理系统统一管理全市范围内的政务新媒体。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日常监管</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本地区政务新媒体季度检查情况，若检查N个，M个不合格，则得分为权重*(N-M)/N。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网站协同</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cs="宋体"/>
                <w:kern w:val="0"/>
                <w:sz w:val="21"/>
                <w:szCs w:val="21"/>
                <w:lang w:eastAsia="zh-CN"/>
              </w:rPr>
              <w:t>考核</w:t>
            </w:r>
            <w:r>
              <w:rPr>
                <w:rFonts w:hint="eastAsia" w:ascii="仿宋_GB2312" w:hAnsi="等线" w:eastAsia="仿宋_GB2312" w:cs="宋体"/>
                <w:kern w:val="0"/>
                <w:sz w:val="21"/>
                <w:szCs w:val="21"/>
              </w:rPr>
              <w:t>门户网站对应政务新媒体是否与网站协同发布内容提供服务。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1.发布的信息和提供的服务是否与政府网站同源。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2.政府网站发布的重要政策解读、民意征集活动是否在政务新媒体同步发声。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内容发布</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4</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政务新媒体发布的内容更新情况和内容质量：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1.信息发布频率</w:t>
            </w:r>
            <w:r>
              <w:rPr>
                <w:rFonts w:hint="eastAsia" w:ascii="仿宋_GB2312" w:hAnsi="等线" w:cs="宋体"/>
                <w:kern w:val="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2.页面是否适配移动端。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spacing w:line="240" w:lineRule="auto"/>
              <w:jc w:val="left"/>
              <w:rPr>
                <w:rFonts w:ascii="等线" w:hAnsi="等线" w:eastAsia="等线" w:cs="宋体"/>
                <w:kern w:val="0"/>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移动服务</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适配移动端的办事服务和便民查询服务提供情况。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spacing w:line="240" w:lineRule="auto"/>
              <w:jc w:val="left"/>
              <w:rPr>
                <w:rFonts w:ascii="等线" w:hAnsi="等线" w:eastAsia="等线" w:cs="宋体"/>
                <w:kern w:val="0"/>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原创比例</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3</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抽查文章（不包括要求转载的文章）计算原创比例。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restart"/>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p>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机制保障（7分）</w:t>
            </w:r>
          </w:p>
          <w:p>
            <w:pPr>
              <w:widowControl/>
              <w:spacing w:line="240" w:lineRule="auto"/>
              <w:jc w:val="center"/>
              <w:rPr>
                <w:rFonts w:hint="eastAsia" w:ascii="仿宋_GB2312" w:hAnsi="等线" w:eastAsia="仿宋_GB2312" w:cs="宋体"/>
                <w:kern w:val="0"/>
                <w:sz w:val="21"/>
                <w:szCs w:val="21"/>
              </w:rPr>
            </w:pPr>
          </w:p>
        </w:tc>
        <w:tc>
          <w:tcPr>
            <w:tcW w:w="2268" w:type="dxa"/>
            <w:gridSpan w:val="2"/>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应知应会</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5</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2023年全区</w:t>
            </w:r>
            <w:r>
              <w:rPr>
                <w:rFonts w:hint="eastAsia" w:ascii="仿宋_GB2312" w:hAnsi="等线" w:eastAsia="仿宋_GB2312" w:cs="宋体"/>
                <w:kern w:val="0"/>
                <w:sz w:val="21"/>
                <w:szCs w:val="21"/>
                <w:lang w:eastAsia="zh-CN"/>
              </w:rPr>
              <w:t>政府网站与政务新媒体</w:t>
            </w:r>
            <w:r>
              <w:rPr>
                <w:rFonts w:hint="eastAsia" w:ascii="仿宋_GB2312" w:hAnsi="等线" w:eastAsia="仿宋_GB2312" w:cs="宋体"/>
                <w:kern w:val="0"/>
                <w:sz w:val="21"/>
                <w:szCs w:val="21"/>
              </w:rPr>
              <w:t>应知应会知识竞赛成绩。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主席信箱</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及时办理自治区转办的自治区政府门户网站“主席信箱”栏目网民信件，在规定时间内及时反馈情况。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运维机制</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1</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建立健全专人负责制度、值班读网制度、资源管理机制、预算及项目管理制度、年报制度等运维机制。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2268" w:type="dxa"/>
            <w:gridSpan w:val="2"/>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709"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注：以上内容通过会议纪要、制度文件、图片等材料证明，与自查整改报告一并报送。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restart"/>
            <w:tcBorders>
              <w:tl2br w:val="nil"/>
              <w:tr2bl w:val="nil"/>
            </w:tcBorders>
            <w:noWrap/>
            <w:vAlign w:val="center"/>
          </w:tcPr>
          <w:p>
            <w:pPr>
              <w:pStyle w:val="2"/>
              <w:rPr>
                <w:rFonts w:hint="eastAsia" w:ascii="仿宋_GB2312" w:hAnsi="等线" w:eastAsia="仿宋_GB2312" w:cs="宋体"/>
                <w:kern w:val="0"/>
                <w:szCs w:val="21"/>
              </w:rPr>
            </w:pPr>
          </w:p>
          <w:p>
            <w:pPr>
              <w:pStyle w:val="2"/>
              <w:rPr>
                <w:rFonts w:hint="eastAsia" w:ascii="仿宋_GB2312" w:hAnsi="等线" w:eastAsia="仿宋_GB2312" w:cs="宋体"/>
                <w:kern w:val="0"/>
                <w:szCs w:val="21"/>
              </w:rPr>
            </w:pPr>
          </w:p>
          <w:p>
            <w:pPr>
              <w:pStyle w:val="2"/>
              <w:rPr>
                <w:rFonts w:hint="eastAsia" w:ascii="仿宋_GB2312" w:hAnsi="等线" w:eastAsia="仿宋_GB2312" w:cs="宋体"/>
                <w:kern w:val="0"/>
                <w:szCs w:val="21"/>
              </w:rPr>
            </w:pPr>
          </w:p>
          <w:p>
            <w:pPr>
              <w:pStyle w:val="2"/>
              <w:rPr>
                <w:rFonts w:hint="eastAsia" w:ascii="仿宋_GB2312" w:hAnsi="等线" w:eastAsia="仿宋_GB2312" w:cs="宋体"/>
                <w:kern w:val="0"/>
                <w:szCs w:val="21"/>
              </w:rPr>
            </w:pPr>
          </w:p>
          <w:p>
            <w:pPr>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附加指标</w:t>
            </w:r>
            <w:r>
              <w:rPr>
                <w:rFonts w:hint="eastAsia" w:ascii="仿宋_GB2312" w:hAnsi="等线" w:eastAsia="仿宋_GB2312" w:cs="宋体"/>
                <w:kern w:val="0"/>
                <w:sz w:val="21"/>
                <w:szCs w:val="21"/>
                <w:lang w:eastAsia="zh-CN"/>
              </w:rPr>
              <w:t>（</w:t>
            </w:r>
            <w:r>
              <w:rPr>
                <w:rFonts w:hint="eastAsia" w:ascii="仿宋_GB2312" w:hAnsi="等线" w:cs="宋体"/>
                <w:kern w:val="0"/>
                <w:sz w:val="21"/>
                <w:szCs w:val="21"/>
                <w:lang w:val="en-US" w:eastAsia="zh-CN"/>
              </w:rPr>
              <w:t>30</w:t>
            </w:r>
            <w:r>
              <w:rPr>
                <w:rFonts w:hint="eastAsia" w:ascii="仿宋_GB2312" w:hAnsi="等线" w:eastAsia="仿宋_GB2312" w:cs="宋体"/>
                <w:kern w:val="0"/>
                <w:sz w:val="21"/>
                <w:szCs w:val="21"/>
                <w:lang w:val="en-US" w:eastAsia="zh-CN"/>
              </w:rPr>
              <w:t>分</w:t>
            </w:r>
            <w:r>
              <w:rPr>
                <w:rFonts w:hint="eastAsia" w:ascii="仿宋_GB2312" w:hAnsi="等线" w:eastAsia="仿宋_GB2312" w:cs="宋体"/>
                <w:kern w:val="0"/>
                <w:sz w:val="21"/>
                <w:szCs w:val="21"/>
                <w:lang w:eastAsia="zh-CN"/>
              </w:rPr>
              <w:t>）</w:t>
            </w:r>
          </w:p>
          <w:p>
            <w:pPr>
              <w:pStyle w:val="2"/>
              <w:jc w:val="center"/>
              <w:rPr>
                <w:rFonts w:hint="eastAsia" w:ascii="仿宋_GB2312" w:hAnsi="等线" w:eastAsia="仿宋_GB2312" w:cs="宋体"/>
                <w:kern w:val="0"/>
                <w:sz w:val="21"/>
                <w:szCs w:val="21"/>
              </w:rPr>
            </w:pPr>
          </w:p>
          <w:p>
            <w:pPr>
              <w:pStyle w:val="2"/>
              <w:jc w:val="center"/>
              <w:rPr>
                <w:rFonts w:hint="eastAsia" w:ascii="仿宋_GB2312" w:hAnsi="等线" w:eastAsia="仿宋_GB2312" w:cs="宋体"/>
                <w:kern w:val="0"/>
                <w:sz w:val="21"/>
                <w:szCs w:val="21"/>
              </w:rPr>
            </w:pPr>
          </w:p>
          <w:p>
            <w:pPr>
              <w:pStyle w:val="2"/>
              <w:jc w:val="center"/>
              <w:rPr>
                <w:rFonts w:hint="eastAsia" w:ascii="仿宋_GB2312" w:hAnsi="等线" w:eastAsia="仿宋_GB2312" w:cs="宋体"/>
                <w:kern w:val="0"/>
                <w:sz w:val="21"/>
                <w:szCs w:val="21"/>
              </w:rPr>
            </w:pPr>
          </w:p>
          <w:p>
            <w:pPr>
              <w:pStyle w:val="2"/>
              <w:jc w:val="center"/>
              <w:rPr>
                <w:rFonts w:hint="eastAsia" w:ascii="仿宋_GB2312" w:hAnsi="等线" w:eastAsia="仿宋_GB2312" w:cs="宋体"/>
                <w:kern w:val="0"/>
                <w:sz w:val="21"/>
                <w:szCs w:val="21"/>
              </w:rPr>
            </w:pPr>
          </w:p>
          <w:p>
            <w:pPr>
              <w:pStyle w:val="2"/>
              <w:jc w:val="center"/>
              <w:rPr>
                <w:rFonts w:hint="eastAsia" w:ascii="仿宋_GB2312" w:hAnsi="等线" w:eastAsia="仿宋_GB2312" w:cs="宋体"/>
                <w:kern w:val="0"/>
                <w:sz w:val="21"/>
                <w:szCs w:val="21"/>
              </w:rPr>
            </w:pPr>
          </w:p>
          <w:p>
            <w:pPr>
              <w:pStyle w:val="2"/>
              <w:jc w:val="center"/>
              <w:rPr>
                <w:rFonts w:hint="eastAsia" w:ascii="仿宋_GB2312" w:hAnsi="等线" w:eastAsia="仿宋_GB2312" w:cs="宋体"/>
                <w:kern w:val="0"/>
                <w:sz w:val="21"/>
                <w:szCs w:val="21"/>
              </w:rPr>
            </w:pPr>
          </w:p>
          <w:p>
            <w:pPr>
              <w:pStyle w:val="2"/>
              <w:jc w:val="both"/>
              <w:rPr>
                <w:rFonts w:hint="eastAsia" w:ascii="仿宋_GB2312" w:hAnsi="等线" w:eastAsia="仿宋_GB2312" w:cs="宋体"/>
                <w:kern w:val="0"/>
                <w:sz w:val="21"/>
                <w:szCs w:val="21"/>
              </w:rPr>
            </w:pPr>
          </w:p>
          <w:p>
            <w:pPr>
              <w:pStyle w:val="2"/>
              <w:jc w:val="center"/>
              <w:rPr>
                <w:rFonts w:hint="eastAsia" w:ascii="仿宋_GB2312" w:hAnsi="等线" w:eastAsia="仿宋_GB2312" w:cs="宋体"/>
                <w:kern w:val="0"/>
                <w:sz w:val="21"/>
                <w:szCs w:val="21"/>
              </w:rPr>
            </w:pPr>
          </w:p>
          <w:p>
            <w:pPr>
              <w:pStyle w:val="2"/>
              <w:jc w:val="center"/>
              <w:rPr>
                <w:rFonts w:hint="eastAsia" w:eastAsia="仿宋_GB2312"/>
                <w:lang w:eastAsia="zh-CN"/>
              </w:rPr>
            </w:pPr>
            <w:r>
              <w:rPr>
                <w:rFonts w:hint="eastAsia" w:ascii="仿宋_GB2312" w:hAnsi="等线" w:eastAsia="仿宋_GB2312" w:cs="宋体"/>
                <w:kern w:val="0"/>
                <w:sz w:val="21"/>
                <w:szCs w:val="21"/>
              </w:rPr>
              <w:t>附加指标</w:t>
            </w:r>
            <w:r>
              <w:rPr>
                <w:rFonts w:hint="eastAsia" w:ascii="仿宋_GB2312" w:hAnsi="等线" w:eastAsia="仿宋_GB2312" w:cs="宋体"/>
                <w:kern w:val="0"/>
                <w:sz w:val="21"/>
                <w:szCs w:val="21"/>
                <w:lang w:eastAsia="zh-CN"/>
              </w:rPr>
              <w:t>（</w:t>
            </w:r>
            <w:r>
              <w:rPr>
                <w:rFonts w:hint="eastAsia" w:ascii="仿宋_GB2312" w:hAnsi="等线" w:eastAsia="仿宋_GB2312" w:cs="宋体"/>
                <w:kern w:val="0"/>
                <w:sz w:val="21"/>
                <w:szCs w:val="21"/>
                <w:lang w:val="en-US" w:eastAsia="zh-CN"/>
              </w:rPr>
              <w:t>30分</w:t>
            </w:r>
            <w:r>
              <w:rPr>
                <w:rFonts w:hint="eastAsia" w:ascii="仿宋_GB2312" w:hAnsi="等线" w:eastAsia="仿宋_GB2312" w:cs="宋体"/>
                <w:kern w:val="0"/>
                <w:sz w:val="21"/>
                <w:szCs w:val="21"/>
                <w:lang w:eastAsia="zh-CN"/>
              </w:rPr>
              <w:t>）</w:t>
            </w:r>
          </w:p>
        </w:tc>
        <w:tc>
          <w:tcPr>
            <w:tcW w:w="1134" w:type="dxa"/>
            <w:vMerge w:val="restart"/>
            <w:tcBorders>
              <w:tl2br w:val="nil"/>
              <w:tr2bl w:val="nil"/>
            </w:tcBorders>
            <w:noWrap/>
            <w:vAlign w:val="center"/>
          </w:tcPr>
          <w:p>
            <w:pPr>
              <w:pStyle w:val="2"/>
              <w:jc w:val="center"/>
              <w:rPr>
                <w:rFonts w:hint="eastAsia" w:ascii="仿宋_GB2312" w:hAnsi="等线" w:eastAsia="仿宋_GB2312" w:cs="宋体"/>
                <w:kern w:val="0"/>
                <w:szCs w:val="21"/>
              </w:rPr>
            </w:pPr>
          </w:p>
          <w:p>
            <w:pPr>
              <w:pStyle w:val="2"/>
              <w:jc w:val="center"/>
              <w:rPr>
                <w:rFonts w:hint="eastAsia" w:ascii="仿宋_GB2312" w:hAnsi="等线" w:eastAsia="仿宋_GB2312" w:cs="宋体"/>
                <w:kern w:val="0"/>
                <w:szCs w:val="21"/>
              </w:rPr>
            </w:pPr>
          </w:p>
          <w:p>
            <w:pPr>
              <w:pStyle w:val="2"/>
              <w:jc w:val="center"/>
              <w:rPr>
                <w:rFonts w:hint="eastAsia" w:ascii="仿宋_GB2312" w:hAnsi="等线" w:eastAsia="仿宋_GB2312" w:cs="宋体"/>
                <w:kern w:val="0"/>
                <w:szCs w:val="21"/>
              </w:rPr>
            </w:pPr>
          </w:p>
          <w:p>
            <w:pPr>
              <w:pStyle w:val="2"/>
              <w:jc w:val="center"/>
              <w:rPr>
                <w:rFonts w:hint="eastAsia" w:ascii="仿宋_GB2312" w:hAnsi="等线" w:eastAsia="仿宋_GB2312" w:cs="宋体"/>
                <w:kern w:val="0"/>
                <w:szCs w:val="21"/>
              </w:rPr>
            </w:pPr>
          </w:p>
          <w:p>
            <w:pPr>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加分指标</w:t>
            </w:r>
            <w:r>
              <w:rPr>
                <w:rFonts w:hint="eastAsia" w:ascii="仿宋_GB2312" w:hAnsi="等线" w:eastAsia="仿宋_GB2312" w:cs="宋体"/>
                <w:kern w:val="0"/>
                <w:sz w:val="21"/>
                <w:szCs w:val="21"/>
                <w:lang w:eastAsia="zh-CN"/>
              </w:rPr>
              <w:t>（</w:t>
            </w:r>
            <w:r>
              <w:rPr>
                <w:rFonts w:hint="eastAsia" w:ascii="仿宋_GB2312" w:hAnsi="等线" w:cs="宋体"/>
                <w:kern w:val="0"/>
                <w:sz w:val="21"/>
                <w:szCs w:val="21"/>
                <w:lang w:val="en-US" w:eastAsia="zh-CN"/>
              </w:rPr>
              <w:t>16</w:t>
            </w:r>
            <w:r>
              <w:rPr>
                <w:rFonts w:hint="eastAsia" w:ascii="仿宋_GB2312" w:hAnsi="等线" w:eastAsia="仿宋_GB2312" w:cs="宋体"/>
                <w:kern w:val="0"/>
                <w:sz w:val="21"/>
                <w:szCs w:val="21"/>
                <w:lang w:val="en-US" w:eastAsia="zh-CN"/>
              </w:rPr>
              <w:t>分</w:t>
            </w:r>
            <w:r>
              <w:rPr>
                <w:rFonts w:hint="eastAsia" w:ascii="仿宋_GB2312" w:hAnsi="等线" w:eastAsia="仿宋_GB2312" w:cs="宋体"/>
                <w:kern w:val="0"/>
                <w:sz w:val="21"/>
                <w:szCs w:val="21"/>
                <w:lang w:eastAsia="zh-CN"/>
              </w:rPr>
              <w:t>）</w:t>
            </w:r>
          </w:p>
          <w:p>
            <w:pPr>
              <w:pStyle w:val="2"/>
              <w:jc w:val="center"/>
              <w:rPr>
                <w:rFonts w:hint="eastAsia" w:ascii="仿宋_GB2312" w:hAnsi="等线" w:eastAsia="仿宋_GB2312" w:cs="宋体"/>
                <w:kern w:val="0"/>
                <w:sz w:val="21"/>
                <w:szCs w:val="21"/>
              </w:rPr>
            </w:pPr>
          </w:p>
          <w:p>
            <w:pPr>
              <w:pStyle w:val="2"/>
              <w:jc w:val="center"/>
              <w:rPr>
                <w:rFonts w:hint="eastAsia" w:ascii="仿宋_GB2312" w:hAnsi="等线" w:eastAsia="仿宋_GB2312" w:cs="宋体"/>
                <w:kern w:val="0"/>
                <w:sz w:val="21"/>
                <w:szCs w:val="21"/>
              </w:rPr>
            </w:pPr>
          </w:p>
          <w:p>
            <w:pPr>
              <w:pStyle w:val="2"/>
              <w:jc w:val="center"/>
              <w:rPr>
                <w:rFonts w:hint="eastAsia" w:ascii="仿宋_GB2312" w:hAnsi="等线" w:eastAsia="仿宋_GB2312" w:cs="宋体"/>
                <w:kern w:val="0"/>
                <w:sz w:val="21"/>
                <w:szCs w:val="21"/>
              </w:rPr>
            </w:pPr>
          </w:p>
          <w:p>
            <w:pPr>
              <w:pStyle w:val="2"/>
              <w:jc w:val="center"/>
              <w:rPr>
                <w:rFonts w:hint="eastAsia" w:ascii="仿宋_GB2312" w:hAnsi="等线" w:eastAsia="仿宋_GB2312" w:cs="宋体"/>
                <w:kern w:val="0"/>
                <w:sz w:val="21"/>
                <w:szCs w:val="21"/>
              </w:rPr>
            </w:pPr>
          </w:p>
          <w:p>
            <w:pPr>
              <w:pStyle w:val="2"/>
              <w:jc w:val="center"/>
              <w:rPr>
                <w:rFonts w:hint="eastAsia" w:ascii="仿宋_GB2312" w:hAnsi="等线" w:eastAsia="仿宋_GB2312" w:cs="宋体"/>
                <w:kern w:val="0"/>
                <w:sz w:val="21"/>
                <w:szCs w:val="21"/>
              </w:rPr>
            </w:pPr>
          </w:p>
          <w:p>
            <w:pPr>
              <w:pStyle w:val="2"/>
              <w:jc w:val="center"/>
              <w:rPr>
                <w:rFonts w:hint="eastAsia" w:eastAsia="仿宋_GB2312"/>
                <w:lang w:eastAsia="zh-CN"/>
              </w:rPr>
            </w:pPr>
            <w:r>
              <w:rPr>
                <w:rFonts w:hint="eastAsia" w:ascii="仿宋_GB2312" w:hAnsi="等线" w:eastAsia="仿宋_GB2312" w:cs="宋体"/>
                <w:kern w:val="0"/>
                <w:sz w:val="21"/>
                <w:szCs w:val="21"/>
              </w:rPr>
              <w:t>加分指标</w:t>
            </w:r>
            <w:r>
              <w:rPr>
                <w:rFonts w:hint="eastAsia" w:ascii="仿宋_GB2312" w:hAnsi="等线" w:eastAsia="仿宋_GB2312" w:cs="宋体"/>
                <w:kern w:val="0"/>
                <w:sz w:val="21"/>
                <w:szCs w:val="21"/>
                <w:lang w:eastAsia="zh-CN"/>
              </w:rPr>
              <w:t>（</w:t>
            </w:r>
            <w:r>
              <w:rPr>
                <w:rFonts w:hint="eastAsia" w:ascii="仿宋_GB2312" w:hAnsi="等线" w:eastAsia="仿宋_GB2312" w:cs="宋体"/>
                <w:kern w:val="0"/>
                <w:sz w:val="21"/>
                <w:szCs w:val="21"/>
                <w:lang w:val="en-US" w:eastAsia="zh-CN"/>
              </w:rPr>
              <w:t>16分</w:t>
            </w:r>
            <w:r>
              <w:rPr>
                <w:rFonts w:hint="eastAsia" w:ascii="仿宋_GB2312" w:hAnsi="等线" w:eastAsia="仿宋_GB2312" w:cs="宋体"/>
                <w:kern w:val="0"/>
                <w:sz w:val="21"/>
                <w:szCs w:val="21"/>
                <w:lang w:eastAsia="zh-CN"/>
              </w:rPr>
              <w:t>）</w:t>
            </w:r>
          </w:p>
        </w:tc>
        <w:tc>
          <w:tcPr>
            <w:tcW w:w="1134"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创新案例</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5</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政府网站在一体化服务、政务新媒体管理、新技术应用、数据开放等方面的创新做法（本年度和以往评估指标中涉及的创新性较低的案例不予采纳，发现不同网站上报材料相似度过高，经专家评审认定为疑似抄袭的，均不采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每个网站可推荐多个应用案例，从展现功能、做法模式、效益效果、制度机制、可推广性等方面简要描述，填报《全区政府网站绩效评估优秀创新案例申请表》与自评整改报告一并报送。报送多个案例时，仅采纳评分最高的两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精品栏目</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5</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考核各网站整合网站信息资源，以人性化、喜闻乐见的方式设计并打造特色精品栏目的情况。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left"/>
              <w:rPr>
                <w:rFonts w:ascii="仿宋_GB2312" w:hAnsi="等线" w:eastAsia="仿宋_GB2312" w:cs="宋体"/>
                <w:kern w:val="0"/>
                <w:szCs w:val="21"/>
              </w:rPr>
            </w:pPr>
          </w:p>
        </w:tc>
        <w:tc>
          <w:tcPr>
            <w:tcW w:w="1134"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表彰宣传</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4</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本地区</w:t>
            </w:r>
            <w:r>
              <w:rPr>
                <w:rFonts w:hint="eastAsia" w:ascii="仿宋_GB2312" w:hAnsi="等线" w:cs="宋体"/>
                <w:kern w:val="0"/>
                <w:sz w:val="21"/>
                <w:szCs w:val="21"/>
                <w:lang w:eastAsia="zh-CN"/>
              </w:rPr>
              <w:t>政府网站与政务新媒体</w:t>
            </w:r>
            <w:r>
              <w:rPr>
                <w:rFonts w:hint="eastAsia" w:ascii="仿宋_GB2312" w:hAnsi="等线" w:eastAsia="仿宋_GB2312" w:cs="宋体"/>
                <w:kern w:val="0"/>
                <w:sz w:val="21"/>
                <w:szCs w:val="21"/>
              </w:rPr>
              <w:t>建设管理工作，如在信息公开、办事服务、互动交流、回应关切、集约化建设等方面的优秀做法模式、保障机制、实际效果等受到国务院相关部门、中央网信办、自治区人民政府等上级单位表彰的，每受到1次表彰加1分，累计最高加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本地区</w:t>
            </w:r>
            <w:r>
              <w:rPr>
                <w:rFonts w:hint="eastAsia" w:ascii="仿宋_GB2312" w:hAnsi="等线" w:cs="宋体"/>
                <w:kern w:val="0"/>
                <w:sz w:val="21"/>
                <w:szCs w:val="21"/>
                <w:lang w:eastAsia="zh-CN"/>
              </w:rPr>
              <w:t>政府网站与政务新媒体</w:t>
            </w:r>
            <w:r>
              <w:rPr>
                <w:rFonts w:hint="eastAsia" w:ascii="仿宋_GB2312" w:hAnsi="等线" w:eastAsia="仿宋_GB2312" w:cs="宋体"/>
                <w:kern w:val="0"/>
                <w:sz w:val="21"/>
                <w:szCs w:val="21"/>
              </w:rPr>
              <w:t>建设管理工作，如在信息公开、办事服务、互动交流、回应关切、集约化建设等方面的优秀做法模式、保障机制、实际效果等，被国家和自治区级主流媒体正面宣传报道的，每被报道1次加0.5分，累计最高加1分。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积极主动向广西壮族自治区人民政府门户网站报送本地区政府网站建设管理、“互联网</w:t>
            </w:r>
            <w:r>
              <w:rPr>
                <w:rFonts w:hint="eastAsia" w:ascii="仿宋_GB2312" w:hAnsi="等线" w:cs="宋体"/>
                <w:kern w:val="0"/>
                <w:sz w:val="21"/>
                <w:szCs w:val="21"/>
                <w:lang w:eastAsia="zh-CN"/>
              </w:rPr>
              <w:t>＋</w:t>
            </w:r>
            <w:r>
              <w:rPr>
                <w:rFonts w:hint="eastAsia" w:ascii="仿宋_GB2312" w:hAnsi="等线" w:eastAsia="仿宋_GB2312" w:cs="宋体"/>
                <w:kern w:val="0"/>
                <w:sz w:val="21"/>
                <w:szCs w:val="21"/>
              </w:rPr>
              <w:t>政务服务”等方面的工作成果，被中国政府网站、广西壮族自治区人民政府门户网站采用的，每被采用1次加0.5分，累计最高加1分。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网站排名</w:t>
            </w:r>
          </w:p>
        </w:tc>
        <w:tc>
          <w:tcPr>
            <w:tcW w:w="709" w:type="dxa"/>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工信部政府网站排名情况，按照所处梯队打分。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lang w:eastAsia="zh-CN"/>
              </w:rPr>
            </w:pPr>
            <w:r>
              <w:rPr>
                <w:rFonts w:hint="eastAsia" w:ascii="仿宋_GB2312" w:hAnsi="等线" w:eastAsia="仿宋_GB2312" w:cs="宋体"/>
                <w:kern w:val="0"/>
                <w:sz w:val="21"/>
                <w:szCs w:val="21"/>
              </w:rPr>
              <w:t>扣分指标</w:t>
            </w:r>
            <w:r>
              <w:rPr>
                <w:rFonts w:hint="eastAsia" w:ascii="仿宋_GB2312" w:hAnsi="等线" w:cs="宋体"/>
                <w:kern w:val="0"/>
                <w:sz w:val="21"/>
                <w:szCs w:val="21"/>
                <w:lang w:eastAsia="zh-CN"/>
              </w:rPr>
              <w:t>（</w:t>
            </w:r>
            <w:r>
              <w:rPr>
                <w:rFonts w:hint="eastAsia" w:ascii="仿宋_GB2312" w:hAnsi="等线" w:cs="宋体"/>
                <w:kern w:val="0"/>
                <w:sz w:val="21"/>
                <w:szCs w:val="21"/>
                <w:lang w:val="en-US" w:eastAsia="zh-CN"/>
              </w:rPr>
              <w:t>14分</w:t>
            </w:r>
            <w:r>
              <w:rPr>
                <w:rFonts w:hint="eastAsia" w:ascii="仿宋_GB2312" w:hAnsi="等线" w:cs="宋体"/>
                <w:kern w:val="0"/>
                <w:sz w:val="21"/>
                <w:szCs w:val="21"/>
                <w:lang w:eastAsia="zh-CN"/>
              </w:rPr>
              <w:t>）</w:t>
            </w:r>
          </w:p>
        </w:tc>
        <w:tc>
          <w:tcPr>
            <w:tcW w:w="1134"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健康情况</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8</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季度检查中出现网站和政务新媒体不合格的情况、严重表述错误情况。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4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安全事件</w:t>
            </w:r>
          </w:p>
        </w:tc>
        <w:tc>
          <w:tcPr>
            <w:tcW w:w="709" w:type="dxa"/>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4</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本地区</w:t>
            </w:r>
            <w:r>
              <w:rPr>
                <w:rFonts w:hint="eastAsia" w:ascii="仿宋_GB2312" w:hAnsi="等线" w:cs="宋体"/>
                <w:kern w:val="0"/>
                <w:sz w:val="21"/>
                <w:szCs w:val="21"/>
                <w:lang w:eastAsia="zh-CN"/>
              </w:rPr>
              <w:t>政府网站与政务新媒体</w:t>
            </w:r>
            <w:r>
              <w:rPr>
                <w:rFonts w:hint="eastAsia" w:ascii="仿宋_GB2312" w:hAnsi="等线" w:eastAsia="仿宋_GB2312" w:cs="宋体"/>
                <w:kern w:val="0"/>
                <w:sz w:val="21"/>
                <w:szCs w:val="21"/>
              </w:rPr>
              <w:t>发生信息安全事故、存在安全漏洞、内容失真、问题地图、政治方向错误等事件的，扣分。其中，政府门户网站每次1.5分，组织填报网站每次扣1分，累计最高扣3分。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spacing w:line="240" w:lineRule="auto"/>
              <w:jc w:val="center"/>
              <w:rPr>
                <w:rFonts w:hint="eastAsia" w:ascii="仿宋_GB2312" w:hAnsi="等线" w:eastAsia="仿宋_GB2312" w:cs="宋体"/>
                <w:kern w:val="0"/>
                <w:sz w:val="21"/>
                <w:szCs w:val="21"/>
              </w:rPr>
            </w:pPr>
          </w:p>
        </w:tc>
        <w:tc>
          <w:tcPr>
            <w:tcW w:w="1134"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通报曝光</w:t>
            </w:r>
          </w:p>
        </w:tc>
        <w:tc>
          <w:tcPr>
            <w:tcW w:w="709" w:type="dxa"/>
            <w:vMerge w:val="restart"/>
            <w:tcBorders>
              <w:tl2br w:val="nil"/>
              <w:tr2bl w:val="nil"/>
            </w:tcBorders>
            <w:noWrap/>
            <w:vAlign w:val="center"/>
          </w:tcPr>
          <w:p>
            <w:pPr>
              <w:widowControl/>
              <w:spacing w:line="240" w:lineRule="auto"/>
              <w:jc w:val="center"/>
              <w:rPr>
                <w:rFonts w:hint="eastAsia" w:ascii="仿宋_GB2312" w:hAnsi="等线" w:eastAsia="仿宋_GB2312" w:cs="宋体"/>
                <w:kern w:val="0"/>
                <w:sz w:val="21"/>
                <w:szCs w:val="21"/>
              </w:rPr>
            </w:pPr>
            <w:r>
              <w:rPr>
                <w:rFonts w:hint="eastAsia" w:ascii="仿宋_GB2312" w:hAnsi="等线" w:eastAsia="仿宋_GB2312" w:cs="宋体"/>
                <w:kern w:val="0"/>
                <w:sz w:val="21"/>
                <w:szCs w:val="21"/>
              </w:rPr>
              <w:t>2</w:t>
            </w: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本地区</w:t>
            </w:r>
            <w:r>
              <w:rPr>
                <w:rFonts w:hint="eastAsia" w:ascii="仿宋_GB2312" w:hAnsi="等线" w:cs="宋体"/>
                <w:kern w:val="0"/>
                <w:sz w:val="21"/>
                <w:szCs w:val="21"/>
                <w:lang w:eastAsia="zh-CN"/>
              </w:rPr>
              <w:t>政府网站与政务新媒体</w:t>
            </w:r>
            <w:r>
              <w:rPr>
                <w:rFonts w:hint="eastAsia" w:ascii="仿宋_GB2312" w:hAnsi="等线" w:eastAsia="仿宋_GB2312" w:cs="宋体"/>
                <w:kern w:val="0"/>
                <w:sz w:val="21"/>
                <w:szCs w:val="21"/>
              </w:rPr>
              <w:t>受到国家和自治区相关文件通报批评的，扣分。其中，政府门户网站每次1分，组织填报网站每次扣0.5分，累计最高扣2分。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trPr>
        <w:tc>
          <w:tcPr>
            <w:tcW w:w="112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kern w:val="0"/>
                <w:szCs w:val="21"/>
              </w:rPr>
            </w:pPr>
          </w:p>
        </w:tc>
        <w:tc>
          <w:tcPr>
            <w:tcW w:w="1134" w:type="dxa"/>
            <w:vMerge w:val="continue"/>
            <w:tcBorders>
              <w:tl2br w:val="nil"/>
              <w:tr2bl w:val="nil"/>
            </w:tcBorders>
            <w:noWrap w:val="0"/>
            <w:vAlign w:val="center"/>
          </w:tcPr>
          <w:p>
            <w:pPr>
              <w:widowControl/>
              <w:jc w:val="left"/>
              <w:rPr>
                <w:rFonts w:ascii="仿宋_GB2312" w:hAnsi="等线" w:eastAsia="仿宋_GB2312" w:cs="宋体"/>
                <w:color w:val="auto"/>
                <w:kern w:val="0"/>
                <w:szCs w:val="21"/>
              </w:rPr>
            </w:pPr>
          </w:p>
        </w:tc>
        <w:tc>
          <w:tcPr>
            <w:tcW w:w="709" w:type="dxa"/>
            <w:vMerge w:val="continue"/>
            <w:tcBorders>
              <w:tl2br w:val="nil"/>
              <w:tr2bl w:val="nil"/>
            </w:tcBorders>
            <w:noWrap w:val="0"/>
            <w:vAlign w:val="center"/>
          </w:tcPr>
          <w:p>
            <w:pPr>
              <w:widowControl/>
              <w:jc w:val="left"/>
              <w:rPr>
                <w:rFonts w:ascii="仿宋_GB2312" w:hAnsi="等线" w:eastAsia="仿宋_GB2312" w:cs="宋体"/>
                <w:color w:val="auto"/>
                <w:kern w:val="0"/>
                <w:szCs w:val="21"/>
              </w:rPr>
            </w:pPr>
          </w:p>
        </w:tc>
        <w:tc>
          <w:tcPr>
            <w:tcW w:w="8789" w:type="dxa"/>
            <w:tcBorders>
              <w:tl2br w:val="nil"/>
              <w:tr2bl w:val="nil"/>
            </w:tcBorders>
            <w:noWrap w:val="0"/>
            <w:vAlign w:val="center"/>
          </w:tcPr>
          <w:p>
            <w:pPr>
              <w:widowControl/>
              <w:spacing w:line="240" w:lineRule="auto"/>
              <w:jc w:val="both"/>
              <w:rPr>
                <w:rFonts w:hint="eastAsia" w:ascii="仿宋_GB2312" w:hAnsi="等线" w:eastAsia="仿宋_GB2312" w:cs="宋体"/>
                <w:kern w:val="0"/>
                <w:sz w:val="21"/>
                <w:szCs w:val="21"/>
              </w:rPr>
            </w:pPr>
            <w:r>
              <w:rPr>
                <w:rFonts w:hint="eastAsia" w:ascii="仿宋_GB2312" w:hAnsi="等线" w:eastAsia="仿宋_GB2312" w:cs="宋体"/>
                <w:kern w:val="0"/>
                <w:sz w:val="21"/>
                <w:szCs w:val="21"/>
              </w:rPr>
              <w:t>本地区</w:t>
            </w:r>
            <w:r>
              <w:rPr>
                <w:rFonts w:hint="eastAsia" w:ascii="仿宋_GB2312" w:hAnsi="等线" w:cs="宋体"/>
                <w:kern w:val="0"/>
                <w:sz w:val="21"/>
                <w:szCs w:val="21"/>
                <w:lang w:eastAsia="zh-CN"/>
              </w:rPr>
              <w:t>政府网站与政务新媒体</w:t>
            </w:r>
            <w:r>
              <w:rPr>
                <w:rFonts w:hint="eastAsia" w:ascii="仿宋_GB2312" w:hAnsi="等线" w:eastAsia="仿宋_GB2312" w:cs="宋体"/>
                <w:kern w:val="0"/>
                <w:sz w:val="21"/>
                <w:szCs w:val="21"/>
              </w:rPr>
              <w:t>发生媒体曝光或其他负面影响事件，造成重大舆情或引发群体性事件的，</w:t>
            </w:r>
            <w:r>
              <w:rPr>
                <w:rFonts w:hint="eastAsia" w:ascii="仿宋_GB2312" w:hAnsi="等线" w:cs="宋体"/>
                <w:kern w:val="0"/>
                <w:sz w:val="21"/>
                <w:szCs w:val="21"/>
              </w:rPr>
              <w:t>经查实属于政府网站建设管理责任的</w:t>
            </w:r>
            <w:r>
              <w:rPr>
                <w:rFonts w:hint="eastAsia" w:ascii="仿宋_GB2312" w:hAnsi="等线" w:eastAsia="仿宋_GB2312" w:cs="宋体"/>
                <w:kern w:val="0"/>
                <w:sz w:val="21"/>
                <w:szCs w:val="21"/>
              </w:rPr>
              <w:t>或受到国家和自治区相关文件通报批评的，扣分。其中，政府门户网站每次1分，组织填报网站每次扣0.5分，累计最高扣2分。</w:t>
            </w:r>
          </w:p>
        </w:tc>
      </w:tr>
    </w:tbl>
    <w:p>
      <w:pPr>
        <w:rPr>
          <w:snapToGrid w:val="0"/>
        </w:rPr>
      </w:pPr>
    </w:p>
    <w:p>
      <w:pPr>
        <w:adjustRightInd w:val="0"/>
        <w:snapToGrid w:val="0"/>
        <w:spacing w:before="405" w:beforeLines="130" w:after="405" w:afterLines="130" w:line="560" w:lineRule="exact"/>
        <w:jc w:val="center"/>
        <w:outlineLvl w:val="0"/>
        <w:rPr>
          <w:rFonts w:ascii="Times New Roman Regular" w:hAnsi="Times New Roman Regular" w:eastAsia="黑体" w:cs="Times New Roman Regular"/>
          <w:snapToGrid w:val="0"/>
          <w:sz w:val="32"/>
          <w:szCs w:val="32"/>
        </w:rPr>
      </w:pPr>
      <w:r>
        <w:rPr>
          <w:rFonts w:ascii="Times New Roman Regular" w:hAnsi="Times New Roman Regular" w:eastAsia="黑体" w:cs="Times New Roman Regular"/>
          <w:snapToGrid w:val="0"/>
          <w:sz w:val="32"/>
          <w:szCs w:val="32"/>
        </w:rPr>
        <w:br w:type="page"/>
      </w:r>
      <w:r>
        <w:rPr>
          <w:rFonts w:ascii="Times New Roman Regular" w:hAnsi="Times New Roman Regular" w:eastAsia="黑体" w:cs="Times New Roman Regular"/>
          <w:snapToGrid w:val="0"/>
          <w:sz w:val="32"/>
          <w:szCs w:val="32"/>
        </w:rPr>
        <w:t>附录1  自治区部门</w:t>
      </w:r>
      <w:r>
        <w:rPr>
          <w:rFonts w:hint="eastAsia" w:ascii="Times New Roman Regular" w:hAnsi="Times New Roman Regular" w:eastAsia="黑体" w:cs="Times New Roman Regular"/>
          <w:snapToGrid w:val="0"/>
          <w:sz w:val="32"/>
          <w:szCs w:val="32"/>
          <w:lang w:val="en-US" w:eastAsia="zh-CN"/>
        </w:rPr>
        <w:t>网站</w:t>
      </w:r>
      <w:r>
        <w:rPr>
          <w:rFonts w:ascii="Times New Roman Regular" w:hAnsi="Times New Roman Regular" w:eastAsia="黑体" w:cs="Times New Roman Regular"/>
          <w:snapToGrid w:val="0"/>
          <w:sz w:val="32"/>
          <w:szCs w:val="32"/>
        </w:rPr>
        <w:t>主动公开考核范围</w:t>
      </w:r>
    </w:p>
    <w:tbl>
      <w:tblPr>
        <w:tblStyle w:val="5"/>
        <w:tblW w:w="13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4367"/>
        <w:gridCol w:w="1200"/>
        <w:gridCol w:w="750"/>
        <w:gridCol w:w="5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1498" w:type="dxa"/>
            <w:vMerge w:val="restart"/>
            <w:noWrap w:val="0"/>
            <w:vAlign w:val="center"/>
          </w:tcPr>
          <w:p>
            <w:pPr>
              <w:adjustRightInd w:val="0"/>
              <w:snapToGrid w:val="0"/>
              <w:spacing w:line="500" w:lineRule="exact"/>
              <w:jc w:val="center"/>
              <w:textAlignment w:val="center"/>
              <w:rPr>
                <w:rFonts w:ascii="Times New Roman Regular" w:hAnsi="Times New Roman Regular" w:eastAsia="方正黑体_GBK" w:cs="Times New Roman Regular"/>
                <w:kern w:val="0"/>
                <w:sz w:val="24"/>
              </w:rPr>
            </w:pPr>
            <w:r>
              <w:rPr>
                <w:rFonts w:hint="eastAsia" w:ascii="Times New Roman Regular" w:hAnsi="Times New Roman Regular" w:eastAsia="方正黑体_GBK" w:cs="Times New Roman Regular"/>
                <w:kern w:val="0"/>
                <w:sz w:val="24"/>
              </w:rPr>
              <w:t>部门</w:t>
            </w:r>
          </w:p>
        </w:tc>
        <w:tc>
          <w:tcPr>
            <w:tcW w:w="4367" w:type="dxa"/>
            <w:vMerge w:val="restart"/>
            <w:noWrap w:val="0"/>
            <w:vAlign w:val="center"/>
          </w:tcPr>
          <w:p>
            <w:pPr>
              <w:adjustRightInd w:val="0"/>
              <w:snapToGrid w:val="0"/>
              <w:spacing w:line="500" w:lineRule="exact"/>
              <w:jc w:val="center"/>
              <w:textAlignment w:val="center"/>
              <w:rPr>
                <w:rFonts w:ascii="Times New Roman Regular" w:hAnsi="Times New Roman Regular" w:eastAsia="方正黑体_GBK" w:cs="Times New Roman Regular"/>
                <w:kern w:val="0"/>
                <w:sz w:val="24"/>
              </w:rPr>
            </w:pPr>
            <w:r>
              <w:rPr>
                <w:rFonts w:hint="eastAsia" w:ascii="Times New Roman Regular" w:hAnsi="Times New Roman Regular" w:eastAsia="方正黑体_GBK" w:cs="Times New Roman Regular"/>
                <w:kern w:val="0"/>
                <w:sz w:val="24"/>
              </w:rPr>
              <w:t>主动公开考核范围</w:t>
            </w:r>
          </w:p>
        </w:tc>
        <w:tc>
          <w:tcPr>
            <w:tcW w:w="7695" w:type="dxa"/>
            <w:gridSpan w:val="3"/>
            <w:noWrap w:val="0"/>
            <w:vAlign w:val="bottom"/>
          </w:tcPr>
          <w:p>
            <w:pPr>
              <w:adjustRightInd w:val="0"/>
              <w:snapToGrid w:val="0"/>
              <w:spacing w:line="500" w:lineRule="exact"/>
              <w:jc w:val="center"/>
              <w:textAlignment w:val="center"/>
              <w:rPr>
                <w:rFonts w:ascii="Times New Roman Regular" w:hAnsi="Times New Roman Regular" w:eastAsia="方正黑体_GBK" w:cs="Times New Roman Regular"/>
                <w:kern w:val="0"/>
                <w:sz w:val="24"/>
              </w:rPr>
            </w:pPr>
            <w:r>
              <w:rPr>
                <w:rFonts w:hint="eastAsia" w:ascii="Times New Roman Regular" w:hAnsi="Times New Roman Regular" w:eastAsia="方正黑体_GBK" w:cs="Times New Roman Regular"/>
                <w:kern w:val="0"/>
                <w:sz w:val="24"/>
              </w:rPr>
              <w:t>重点领域信息公开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1498" w:type="dxa"/>
            <w:vMerge w:val="continue"/>
            <w:noWrap w:val="0"/>
            <w:vAlign w:val="center"/>
          </w:tcPr>
          <w:p>
            <w:pPr>
              <w:adjustRightInd w:val="0"/>
              <w:snapToGrid w:val="0"/>
              <w:spacing w:line="500" w:lineRule="exact"/>
              <w:jc w:val="center"/>
              <w:textAlignment w:val="center"/>
              <w:rPr>
                <w:rFonts w:ascii="Times New Roman Regular" w:hAnsi="Times New Roman Regular" w:eastAsia="方正黑体_GBK" w:cs="Times New Roman Regular"/>
                <w:kern w:val="0"/>
                <w:sz w:val="24"/>
              </w:rPr>
            </w:pPr>
          </w:p>
        </w:tc>
        <w:tc>
          <w:tcPr>
            <w:tcW w:w="4367" w:type="dxa"/>
            <w:vMerge w:val="continue"/>
            <w:noWrap w:val="0"/>
            <w:vAlign w:val="center"/>
          </w:tcPr>
          <w:p>
            <w:pPr>
              <w:adjustRightInd w:val="0"/>
              <w:snapToGrid w:val="0"/>
              <w:spacing w:line="500" w:lineRule="exact"/>
              <w:jc w:val="center"/>
              <w:textAlignment w:val="center"/>
              <w:rPr>
                <w:rFonts w:ascii="Times New Roman Regular" w:hAnsi="Times New Roman Regular" w:eastAsia="方正黑体_GBK" w:cs="Times New Roman Regular"/>
                <w:kern w:val="0"/>
                <w:sz w:val="24"/>
              </w:rPr>
            </w:pPr>
          </w:p>
        </w:tc>
        <w:tc>
          <w:tcPr>
            <w:tcW w:w="1200" w:type="dxa"/>
            <w:noWrap w:val="0"/>
            <w:vAlign w:val="bottom"/>
          </w:tcPr>
          <w:p>
            <w:pPr>
              <w:adjustRightInd w:val="0"/>
              <w:snapToGrid w:val="0"/>
              <w:spacing w:line="500" w:lineRule="exact"/>
              <w:jc w:val="center"/>
              <w:textAlignment w:val="center"/>
              <w:rPr>
                <w:rFonts w:ascii="Times New Roman Regular" w:hAnsi="Times New Roman Regular" w:eastAsia="方正黑体_GBK" w:cs="Times New Roman Regular"/>
                <w:kern w:val="0"/>
                <w:sz w:val="24"/>
              </w:rPr>
            </w:pPr>
            <w:r>
              <w:rPr>
                <w:rFonts w:hint="eastAsia" w:ascii="Times New Roman Regular" w:hAnsi="Times New Roman Regular" w:eastAsia="方正黑体_GBK" w:cs="Times New Roman Regular"/>
                <w:kern w:val="0"/>
                <w:sz w:val="24"/>
              </w:rPr>
              <w:t>指标</w:t>
            </w:r>
          </w:p>
        </w:tc>
        <w:tc>
          <w:tcPr>
            <w:tcW w:w="750" w:type="dxa"/>
            <w:noWrap w:val="0"/>
            <w:vAlign w:val="bottom"/>
          </w:tcPr>
          <w:p>
            <w:pPr>
              <w:adjustRightInd w:val="0"/>
              <w:snapToGrid w:val="0"/>
              <w:spacing w:line="500" w:lineRule="exact"/>
              <w:jc w:val="center"/>
              <w:textAlignment w:val="center"/>
              <w:rPr>
                <w:rFonts w:ascii="Times New Roman Regular" w:hAnsi="Times New Roman Regular" w:eastAsia="方正黑体_GBK" w:cs="Times New Roman Regular"/>
                <w:kern w:val="0"/>
                <w:sz w:val="24"/>
              </w:rPr>
            </w:pPr>
            <w:r>
              <w:rPr>
                <w:rFonts w:hint="eastAsia" w:ascii="Times New Roman Regular" w:hAnsi="Times New Roman Regular" w:eastAsia="方正黑体_GBK" w:cs="Times New Roman Regular"/>
                <w:kern w:val="0"/>
                <w:sz w:val="24"/>
              </w:rPr>
              <w:t>权重</w:t>
            </w:r>
          </w:p>
        </w:tc>
        <w:tc>
          <w:tcPr>
            <w:tcW w:w="5745" w:type="dxa"/>
            <w:noWrap w:val="0"/>
            <w:vAlign w:val="bottom"/>
          </w:tcPr>
          <w:p>
            <w:pPr>
              <w:adjustRightInd w:val="0"/>
              <w:snapToGrid w:val="0"/>
              <w:spacing w:line="500" w:lineRule="exact"/>
              <w:jc w:val="center"/>
              <w:textAlignment w:val="center"/>
              <w:rPr>
                <w:rFonts w:ascii="Times New Roman Regular" w:hAnsi="Times New Roman Regular" w:eastAsia="方正黑体_GBK" w:cs="Times New Roman Regular"/>
                <w:kern w:val="0"/>
                <w:sz w:val="24"/>
              </w:rPr>
            </w:pPr>
            <w:r>
              <w:rPr>
                <w:rFonts w:hint="eastAsia" w:ascii="Times New Roman Regular" w:hAnsi="Times New Roman Regular" w:eastAsia="方正黑体_GBK" w:cs="Times New Roman Regular"/>
                <w:kern w:val="0"/>
                <w:sz w:val="24"/>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发展改革委</w:t>
            </w:r>
          </w:p>
        </w:tc>
        <w:tc>
          <w:tcPr>
            <w:tcW w:w="4367" w:type="dxa"/>
            <w:vMerge w:val="restart"/>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机构职能、领导信息、政务动态、政策文件、政策解读、人事信息、规划计划、财政信息、数据发布、重大建设项目批准和实施、公共资源配置、社会公益事业建设</w:t>
            </w:r>
          </w:p>
        </w:tc>
        <w:tc>
          <w:tcPr>
            <w:tcW w:w="120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重大建设项目批准和实施</w:t>
            </w:r>
          </w:p>
        </w:tc>
        <w:tc>
          <w:tcPr>
            <w:tcW w:w="75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6</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1.项目批准服务信息：申报要求、申报材料清单、批准流程、办理时限、受理机构联系方式、监督举报方式等批准服务信息。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2.项目投资批准结果信息：项目建议书审批结果、可行性研究报告审批结果、初步设计文件审批结果、项目核准结果等批准结果信息、移民安置规划及审核意见批准结果信息。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3.项目报建批准结果信息：固定资产投资项目节能评估和审查结果。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4.重大变更信息：项目设计变更原因、主要变更内容、变更依据、批准单位、变更结果等重大设计变更信息。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5.是否通过设置栏目集中公开以上信息。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社会公益事业建设</w:t>
            </w:r>
          </w:p>
        </w:tc>
        <w:tc>
          <w:tcPr>
            <w:tcW w:w="75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6</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1.扶贫产业开发项目建设计划、补助总体信息。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2.易地扶贫搬迁项目总体信息。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3.设置市场规则标准栏目，主动公开市场准入负面清单并根据调整情况动态更新。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教育厅</w:t>
            </w:r>
          </w:p>
        </w:tc>
        <w:tc>
          <w:tcPr>
            <w:tcW w:w="4367" w:type="dxa"/>
            <w:vMerge w:val="restart"/>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机构职能、领导信息、政务动态、政策文件、政策解读、人事信息、规划计划、财政信息、数据发布、社会公益事业建设</w:t>
            </w:r>
          </w:p>
        </w:tc>
        <w:tc>
          <w:tcPr>
            <w:tcW w:w="120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社会公益事业建设</w:t>
            </w:r>
          </w:p>
        </w:tc>
        <w:tc>
          <w:tcPr>
            <w:tcW w:w="75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12</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1.自治区出台的教育领域的政策及解读。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2.教育领域发展总体规划。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3.教育资金分配总体情况。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4.县域义务教育均衡发展等工作整体进展情况。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5.高等教育的招生、困难学生资助实施情况等信息。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6.自治区出台的有关教育救助的政策及解读信息、教育救助资金分配总体情况。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科技厅</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w:t>
            </w:r>
          </w:p>
        </w:tc>
        <w:tc>
          <w:tcPr>
            <w:tcW w:w="7695" w:type="dxa"/>
            <w:gridSpan w:val="3"/>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自治区工业和信息化厅</w:t>
            </w:r>
          </w:p>
        </w:tc>
        <w:tc>
          <w:tcPr>
            <w:tcW w:w="4367" w:type="dxa"/>
            <w:vMerge w:val="restart"/>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机构职能、领导信息、政务动态、政策文件、政策解读、人事信息、规划计划、财政信息、数据发布、重大建设项目批准和实施</w:t>
            </w:r>
          </w:p>
        </w:tc>
        <w:tc>
          <w:tcPr>
            <w:tcW w:w="120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重大建设项目批准和实施</w:t>
            </w:r>
          </w:p>
        </w:tc>
        <w:tc>
          <w:tcPr>
            <w:tcW w:w="75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12</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1.批准服务信息：申报要求、申报材料清单、批准流程、办理时限、受理机构联系方式、监督举报方式等批准服务信息。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2.项目投资批准结果信息：企业、事业单位、社会团体等投资建设的固定资产投资项目核准（技术改造类）结果、技术改造类固定资产投资项目节能评估和审查结果等批准结果。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3.是否通过设置栏目集中公开以上信息。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民宗委</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机构职能、领导信息、政务动态、政策文件、政策解读、人事信息、规划计划、财政信息、数据发布、社会公益事业建设</w:t>
            </w:r>
          </w:p>
        </w:tc>
        <w:tc>
          <w:tcPr>
            <w:tcW w:w="1200"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社会公益事业建设</w:t>
            </w:r>
          </w:p>
        </w:tc>
        <w:tc>
          <w:tcPr>
            <w:tcW w:w="750"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12</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扶贫项目资金分配、使用总体情况。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公安厅</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机构职能、政务动态、政策文件、政策解读、人事信息、规划计划、财政信息、数据发布</w:t>
            </w:r>
          </w:p>
        </w:tc>
        <w:tc>
          <w:tcPr>
            <w:tcW w:w="7695" w:type="dxa"/>
            <w:gridSpan w:val="3"/>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民政厅</w:t>
            </w:r>
          </w:p>
        </w:tc>
        <w:tc>
          <w:tcPr>
            <w:tcW w:w="4367" w:type="dxa"/>
            <w:vMerge w:val="restart"/>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机构职能、领导信息、政务动态、政策文件、政策解读、人事信息、规划计划、财政信息、数据发布、社会公益事业建设</w:t>
            </w:r>
          </w:p>
        </w:tc>
        <w:tc>
          <w:tcPr>
            <w:tcW w:w="120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社会公益事业建设</w:t>
            </w:r>
          </w:p>
        </w:tc>
        <w:tc>
          <w:tcPr>
            <w:tcW w:w="75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12</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1.自治区出台的有关城乡低保救助的政策及解读、城乡低保资金分配总体情况。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2.自治区出台的有关特困人员救助供养的政策及解读、特困人员救助供养资金分配总体情况。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 xml:space="preserve">3.自治区出台的有关临时救助的政策及解读、临时救助资金分配总体情况。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hint="eastAsia" w:ascii="Times New Roman Regular" w:hAnsi="Times New Roman Regular" w:eastAsia="仿宋_GB2312" w:cs="Times New Roman Regular"/>
                <w:kern w:val="0"/>
                <w:sz w:val="24"/>
              </w:rPr>
              <w:t>4.自治区出台的有关养老服务和老年人福利的政策及解读。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5.自治区出台的有关残疾人福利的政策及解读。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6.自治区出台的有关儿童福利、孤儿基本生活保障的政策及解读和孤儿基本生活保障资金分配总体情况。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7.彩票公益金使用规模、资助项目、执行情况和实际效果等总体信息。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6"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司法厅</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w:t>
            </w:r>
          </w:p>
        </w:tc>
        <w:tc>
          <w:tcPr>
            <w:tcW w:w="7695" w:type="dxa"/>
            <w:gridSpan w:val="3"/>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98"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财政厅</w:t>
            </w:r>
          </w:p>
        </w:tc>
        <w:tc>
          <w:tcPr>
            <w:tcW w:w="4367" w:type="dxa"/>
            <w:vMerge w:val="restart"/>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机构职能、领导信息、政务动态、政策文件、政策解读、人事信息、规划计划、财政信息、数据发布、公共资源配置、社会公益事业建设</w:t>
            </w:r>
          </w:p>
        </w:tc>
        <w:tc>
          <w:tcPr>
            <w:tcW w:w="1200"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公共资源配置</w:t>
            </w:r>
          </w:p>
        </w:tc>
        <w:tc>
          <w:tcPr>
            <w:tcW w:w="750"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6</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政府采购领域的投诉和监督检查等处理决定、对集中采购机构的考核结果、违法失信行为记录等监督处罚信息。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社会公益事业建设</w:t>
            </w:r>
          </w:p>
        </w:tc>
        <w:tc>
          <w:tcPr>
            <w:tcW w:w="750"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6</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彩票公益金筹集、分配、使用情况。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自治区人力资源社会保障厅</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w:t>
            </w:r>
          </w:p>
        </w:tc>
        <w:tc>
          <w:tcPr>
            <w:tcW w:w="7695" w:type="dxa"/>
            <w:gridSpan w:val="3"/>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1498" w:type="dxa"/>
            <w:vMerge w:val="restart"/>
            <w:noWrap w:val="0"/>
            <w:vAlign w:val="center"/>
          </w:tcPr>
          <w:p>
            <w:pPr>
              <w:widowControl/>
              <w:spacing w:line="320" w:lineRule="exact"/>
              <w:jc w:val="center"/>
              <w:rPr>
                <w:rFonts w:ascii="Times New Roman Regular" w:hAnsi="Times New Roman Regular" w:cs="Times New Roman Regular"/>
                <w:kern w:val="0"/>
                <w:sz w:val="24"/>
              </w:rPr>
            </w:pPr>
          </w:p>
          <w:p>
            <w:pPr>
              <w:widowControl/>
              <w:spacing w:line="320" w:lineRule="exact"/>
              <w:jc w:val="center"/>
              <w:rPr>
                <w:rFonts w:ascii="Times New Roman Regular" w:hAnsi="Times New Roman Regular" w:cs="Times New Roman Regular"/>
                <w:kern w:val="0"/>
                <w:sz w:val="24"/>
              </w:rPr>
            </w:pPr>
            <w:r>
              <w:rPr>
                <w:rFonts w:ascii="Times New Roman Regular" w:hAnsi="Times New Roman Regular" w:cs="Times New Roman Regular"/>
                <w:kern w:val="0"/>
                <w:sz w:val="24"/>
              </w:rPr>
              <w:t>自治区</w:t>
            </w:r>
          </w:p>
          <w:p>
            <w:pPr>
              <w:widowControl/>
              <w:spacing w:line="320" w:lineRule="exact"/>
              <w:jc w:val="center"/>
              <w:rPr>
                <w:rFonts w:ascii="Times New Roman Regular" w:hAnsi="Times New Roman Regular" w:cs="Times New Roman Regular"/>
                <w:kern w:val="0"/>
                <w:sz w:val="24"/>
              </w:rPr>
            </w:pPr>
            <w:r>
              <w:rPr>
                <w:rFonts w:ascii="Times New Roman Regular" w:hAnsi="Times New Roman Regular" w:cs="Times New Roman Regular"/>
                <w:kern w:val="0"/>
                <w:sz w:val="24"/>
              </w:rPr>
              <w:t>自然资源厅</w:t>
            </w: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both"/>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pStyle w:val="2"/>
            </w:pPr>
            <w:r>
              <w:rPr>
                <w:rFonts w:ascii="Times New Roman Regular" w:hAnsi="Times New Roman Regular" w:eastAsia="仿宋_GB2312" w:cs="Times New Roman Regular"/>
                <w:kern w:val="0"/>
                <w:sz w:val="24"/>
              </w:rPr>
              <w:t>自然资源厅</w:t>
            </w:r>
          </w:p>
        </w:tc>
        <w:tc>
          <w:tcPr>
            <w:tcW w:w="4367" w:type="dxa"/>
            <w:vMerge w:val="restart"/>
            <w:noWrap w:val="0"/>
            <w:vAlign w:val="center"/>
          </w:tcPr>
          <w:p>
            <w:pPr>
              <w:widowControl/>
              <w:spacing w:line="320" w:lineRule="exact"/>
              <w:jc w:val="left"/>
            </w:pPr>
            <w:r>
              <w:rPr>
                <w:rFonts w:ascii="Times New Roman Regular" w:hAnsi="Times New Roman Regular" w:cs="Times New Roman Regular"/>
                <w:kern w:val="0"/>
                <w:sz w:val="24"/>
              </w:rPr>
              <w:t>机构职能、领导信息、政务动态、政策文件、政策解读、人事信息、规划计划、财政信息、数据发布、重大建设项目批准和实施、公共资源配置</w:t>
            </w:r>
          </w:p>
          <w:p>
            <w:pPr>
              <w:pStyle w:val="2"/>
              <w:rPr>
                <w:rFonts w:ascii="Times New Roman Regular" w:hAnsi="Times New Roman Regular" w:eastAsia="仿宋_GB2312" w:cs="Times New Roman Regular"/>
                <w:kern w:val="0"/>
                <w:sz w:val="24"/>
                <w:szCs w:val="22"/>
              </w:rPr>
            </w:pPr>
          </w:p>
          <w:p>
            <w:pPr>
              <w:pStyle w:val="2"/>
            </w:pPr>
            <w:r>
              <w:rPr>
                <w:rFonts w:ascii="Times New Roman Regular" w:hAnsi="Times New Roman Regular" w:eastAsia="仿宋_GB2312" w:cs="Times New Roman Regular"/>
                <w:kern w:val="0"/>
                <w:sz w:val="24"/>
                <w:szCs w:val="22"/>
              </w:rPr>
              <w:t>机构职能、领导信息、政务动态、政策文件、政策解读、人事信息、规划计划、财政信息、数据发布、重大建设项目批准和实施、公共资源配置</w:t>
            </w:r>
          </w:p>
        </w:tc>
        <w:tc>
          <w:tcPr>
            <w:tcW w:w="1200" w:type="dxa"/>
            <w:vMerge w:val="restart"/>
            <w:noWrap w:val="0"/>
            <w:vAlign w:val="center"/>
          </w:tcPr>
          <w:p>
            <w:pPr>
              <w:pStyle w:val="2"/>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重大建设项目批准和实施</w:t>
            </w:r>
          </w:p>
          <w:p>
            <w:pPr>
              <w:pStyle w:val="2"/>
              <w:rPr>
                <w:rFonts w:ascii="Times New Roman Regular" w:hAnsi="Times New Roman Regular" w:eastAsia="仿宋_GB2312" w:cs="Times New Roman Regular"/>
                <w:kern w:val="0"/>
                <w:sz w:val="24"/>
              </w:rPr>
            </w:pPr>
          </w:p>
          <w:p>
            <w:pPr>
              <w:pStyle w:val="2"/>
              <w:jc w:val="center"/>
            </w:pPr>
            <w:r>
              <w:rPr>
                <w:rFonts w:ascii="Times New Roman Regular" w:hAnsi="Times New Roman Regular" w:eastAsia="仿宋_GB2312" w:cs="Times New Roman Regular"/>
                <w:kern w:val="0"/>
                <w:sz w:val="24"/>
              </w:rPr>
              <w:t>重大建设项目批准和实施</w:t>
            </w:r>
          </w:p>
        </w:tc>
        <w:tc>
          <w:tcPr>
            <w:tcW w:w="750" w:type="dxa"/>
            <w:vMerge w:val="restart"/>
            <w:noWrap w:val="0"/>
            <w:vAlign w:val="center"/>
          </w:tcPr>
          <w:p>
            <w:pPr>
              <w:widowControl/>
              <w:spacing w:line="320" w:lineRule="exact"/>
              <w:jc w:val="center"/>
              <w:rPr>
                <w:rFonts w:ascii="Times New Roman Regular" w:hAnsi="Times New Roman Regular" w:cs="Times New Roman Regular"/>
                <w:kern w:val="0"/>
                <w:sz w:val="24"/>
              </w:rPr>
            </w:pPr>
          </w:p>
          <w:p>
            <w:pPr>
              <w:widowControl/>
              <w:spacing w:line="320" w:lineRule="exact"/>
              <w:jc w:val="center"/>
              <w:rPr>
                <w:rFonts w:ascii="Times New Roman Regular" w:hAnsi="Times New Roman Regular" w:cs="Times New Roman Regular"/>
                <w:kern w:val="0"/>
                <w:sz w:val="24"/>
              </w:rPr>
            </w:pPr>
            <w:r>
              <w:rPr>
                <w:rFonts w:ascii="Times New Roman Regular" w:hAnsi="Times New Roman Regular" w:cs="Times New Roman Regular"/>
                <w:kern w:val="0"/>
                <w:sz w:val="24"/>
              </w:rPr>
              <w:t>6</w:t>
            </w:r>
          </w:p>
          <w:p>
            <w:pPr>
              <w:pStyle w:val="2"/>
            </w:pPr>
          </w:p>
          <w:p>
            <w:pPr>
              <w:pStyle w:val="3"/>
            </w:pPr>
          </w:p>
          <w:p>
            <w:pPr>
              <w:pStyle w:val="2"/>
              <w:jc w:val="center"/>
            </w:pPr>
            <w:r>
              <w:rPr>
                <w:rFonts w:ascii="Times New Roman Regular" w:hAnsi="Times New Roman Regular" w:eastAsia="仿宋_GB2312" w:cs="Times New Roman Regular"/>
                <w:kern w:val="0"/>
                <w:sz w:val="24"/>
              </w:rPr>
              <w:t>6</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1.批准服务信息：申报要求、申报材料清单、批准流程、办理时限、受理机构联系方式、监督举报方式等批准服务信息。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2.项目投资批准结果信息：建设项目用地预审与选址意见结果信息。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3.项目报建批准结果信息：建设用地审批、建设项目压覆重要矿床审批等批准结果信息。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4.是否通过设置栏目集中公开以上信息。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公共资源配置</w:t>
            </w:r>
          </w:p>
        </w:tc>
        <w:tc>
          <w:tcPr>
            <w:tcW w:w="750"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6</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矿业权出让领域。主要公开全区探矿权和采矿权的出让公告、成交公示、审批结果信息等矿业权出让信息。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restart"/>
            <w:noWrap w:val="0"/>
            <w:vAlign w:val="center"/>
          </w:tcPr>
          <w:p>
            <w:pPr>
              <w:pStyle w:val="2"/>
              <w:jc w:val="both"/>
              <w:rPr>
                <w:rFonts w:ascii="Times New Roman Regular" w:hAnsi="Times New Roman Regular" w:eastAsia="仿宋_GB2312" w:cs="Times New Roman Regular"/>
                <w:kern w:val="0"/>
                <w:sz w:val="24"/>
              </w:rPr>
            </w:pPr>
          </w:p>
          <w:p>
            <w:pPr>
              <w:pStyle w:val="2"/>
              <w:jc w:val="center"/>
              <w:rPr>
                <w:rFonts w:ascii="Times New Roman Regular" w:hAnsi="Times New Roman Regular" w:eastAsia="仿宋_GB2312" w:cs="Times New Roman Regular"/>
                <w:kern w:val="0"/>
                <w:sz w:val="24"/>
              </w:rPr>
            </w:pPr>
          </w:p>
          <w:p>
            <w:pPr>
              <w:pStyle w:val="2"/>
              <w:jc w:val="center"/>
              <w:rPr>
                <w:rFonts w:ascii="Times New Roman Regular" w:hAnsi="Times New Roman Regular" w:eastAsia="仿宋_GB2312" w:cs="Times New Roman Regular"/>
                <w:kern w:val="0"/>
                <w:sz w:val="24"/>
              </w:rPr>
            </w:pPr>
          </w:p>
          <w:p>
            <w:pPr>
              <w:pStyle w:val="2"/>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pStyle w:val="2"/>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生态环境厅</w:t>
            </w: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pStyle w:val="3"/>
              <w:jc w:val="both"/>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pStyle w:val="2"/>
            </w:pPr>
            <w:r>
              <w:rPr>
                <w:rFonts w:ascii="Times New Roman Regular" w:hAnsi="Times New Roman Regular" w:eastAsia="仿宋_GB2312" w:cs="Times New Roman Regular"/>
                <w:kern w:val="0"/>
                <w:sz w:val="24"/>
              </w:rPr>
              <w:t>生态环境厅</w:t>
            </w:r>
          </w:p>
        </w:tc>
        <w:tc>
          <w:tcPr>
            <w:tcW w:w="4367" w:type="dxa"/>
            <w:vMerge w:val="restart"/>
            <w:noWrap w:val="0"/>
            <w:vAlign w:val="center"/>
          </w:tcPr>
          <w:p>
            <w:pPr>
              <w:pStyle w:val="2"/>
              <w:rPr>
                <w:rFonts w:ascii="Times New Roman Regular" w:hAnsi="Times New Roman Regular" w:eastAsia="仿宋_GB2312" w:cs="Times New Roman Regular"/>
                <w:kern w:val="0"/>
                <w:sz w:val="24"/>
                <w:szCs w:val="22"/>
              </w:rPr>
            </w:pPr>
          </w:p>
          <w:p>
            <w:pPr>
              <w:pStyle w:val="2"/>
              <w:rPr>
                <w:rFonts w:ascii="Times New Roman Regular" w:hAnsi="Times New Roman Regular" w:eastAsia="仿宋_GB2312" w:cs="Times New Roman Regular"/>
                <w:kern w:val="0"/>
                <w:sz w:val="24"/>
                <w:szCs w:val="22"/>
              </w:rPr>
            </w:pPr>
          </w:p>
          <w:p>
            <w:pPr>
              <w:pStyle w:val="2"/>
              <w:rPr>
                <w:rFonts w:ascii="Times New Roman Regular" w:hAnsi="Times New Roman Regular" w:eastAsia="仿宋_GB2312" w:cs="Times New Roman Regular"/>
                <w:kern w:val="0"/>
                <w:sz w:val="24"/>
                <w:szCs w:val="22"/>
              </w:rPr>
            </w:pPr>
          </w:p>
          <w:p>
            <w:pPr>
              <w:pStyle w:val="2"/>
              <w:rPr>
                <w:rFonts w:ascii="Times New Roman Regular" w:hAnsi="Times New Roman Regular" w:eastAsia="仿宋_GB2312" w:cs="Times New Roman Regular"/>
                <w:kern w:val="0"/>
                <w:sz w:val="24"/>
                <w:szCs w:val="22"/>
              </w:rPr>
            </w:pPr>
            <w:r>
              <w:rPr>
                <w:rFonts w:ascii="Times New Roman Regular" w:hAnsi="Times New Roman Regular" w:eastAsia="仿宋_GB2312" w:cs="Times New Roman Regular"/>
                <w:kern w:val="0"/>
                <w:sz w:val="24"/>
                <w:szCs w:val="22"/>
              </w:rPr>
              <w:t>机构职能、领导信息、政务动态、政策文件、政策解读、人事信息、规划计划、财政信息、数据发布、重大建设项目批准和实施、社会公益事业建设</w:t>
            </w:r>
          </w:p>
          <w:p>
            <w:pPr>
              <w:pStyle w:val="3"/>
              <w:rPr>
                <w:rFonts w:ascii="Times New Roman Regular" w:hAnsi="Times New Roman Regular" w:eastAsia="仿宋_GB2312" w:cs="Times New Roman Regular"/>
                <w:kern w:val="0"/>
                <w:sz w:val="24"/>
                <w:szCs w:val="22"/>
              </w:rPr>
            </w:pPr>
          </w:p>
          <w:p>
            <w:pPr>
              <w:rPr>
                <w:rFonts w:ascii="Times New Roman Regular" w:hAnsi="Times New Roman Regular" w:eastAsia="仿宋_GB2312" w:cs="Times New Roman Regular"/>
                <w:kern w:val="0"/>
                <w:sz w:val="24"/>
                <w:szCs w:val="22"/>
              </w:rPr>
            </w:pPr>
          </w:p>
          <w:p>
            <w:pPr>
              <w:pStyle w:val="2"/>
              <w:rPr>
                <w:rFonts w:ascii="Times New Roman Regular" w:hAnsi="Times New Roman Regular" w:eastAsia="仿宋_GB2312" w:cs="Times New Roman Regular"/>
                <w:kern w:val="0"/>
                <w:sz w:val="24"/>
                <w:szCs w:val="22"/>
              </w:rPr>
            </w:pPr>
          </w:p>
          <w:p>
            <w:pPr>
              <w:pStyle w:val="3"/>
              <w:rPr>
                <w:rFonts w:ascii="Times New Roman Regular" w:hAnsi="Times New Roman Regular" w:eastAsia="仿宋_GB2312" w:cs="Times New Roman Regular"/>
                <w:kern w:val="0"/>
                <w:sz w:val="24"/>
                <w:szCs w:val="22"/>
              </w:rPr>
            </w:pPr>
          </w:p>
          <w:p>
            <w:pPr>
              <w:rPr>
                <w:rFonts w:ascii="Times New Roman Regular" w:hAnsi="Times New Roman Regular" w:eastAsia="仿宋_GB2312" w:cs="Times New Roman Regular"/>
                <w:kern w:val="0"/>
                <w:sz w:val="24"/>
                <w:szCs w:val="22"/>
              </w:rPr>
            </w:pPr>
          </w:p>
          <w:p>
            <w:pPr>
              <w:pStyle w:val="2"/>
            </w:pPr>
          </w:p>
          <w:p>
            <w:pPr>
              <w:pStyle w:val="2"/>
            </w:pPr>
            <w:r>
              <w:rPr>
                <w:rFonts w:ascii="Times New Roman Regular" w:hAnsi="Times New Roman Regular" w:eastAsia="仿宋_GB2312" w:cs="Times New Roman Regular"/>
                <w:kern w:val="0"/>
                <w:sz w:val="24"/>
              </w:rPr>
              <w:t>机构职能、领导信息、政务动态、政策文件、政策解读、人事信息、规划计划、财政信息、数据发布、重大建设项目批准和实施、社会公益事业建设</w:t>
            </w:r>
          </w:p>
        </w:tc>
        <w:tc>
          <w:tcPr>
            <w:tcW w:w="120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重大建设项目批准和实施</w:t>
            </w:r>
          </w:p>
        </w:tc>
        <w:tc>
          <w:tcPr>
            <w:tcW w:w="75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6</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1.批准服务信息：申报要求、申报材料清单、批准流程、办理时限、受理机构联系方式、监督举报方式等批准服务信息。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2.项目报建批准结果信息：环境影响评价审批文件等批准结果信息。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3.是否通过设置栏目集中公开以上信息。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restart"/>
            <w:noWrap w:val="0"/>
            <w:vAlign w:val="center"/>
          </w:tcPr>
          <w:p>
            <w:pPr>
              <w:widowControl/>
              <w:spacing w:line="240" w:lineRule="auto"/>
              <w:jc w:val="center"/>
              <w:rPr>
                <w:rFonts w:ascii="Times New Roman Regular" w:hAnsi="Times New Roman Regular" w:cs="Times New Roman Regular"/>
                <w:kern w:val="0"/>
                <w:sz w:val="24"/>
              </w:rPr>
            </w:pPr>
          </w:p>
          <w:p>
            <w:pPr>
              <w:widowControl/>
              <w:spacing w:line="240" w:lineRule="auto"/>
              <w:jc w:val="center"/>
              <w:rPr>
                <w:rFonts w:ascii="Times New Roman Regular" w:hAnsi="Times New Roman Regular" w:cs="Times New Roman Regular"/>
                <w:kern w:val="0"/>
                <w:sz w:val="24"/>
              </w:rPr>
            </w:pPr>
          </w:p>
          <w:p>
            <w:pPr>
              <w:widowControl/>
              <w:spacing w:line="240" w:lineRule="auto"/>
              <w:jc w:val="center"/>
              <w:rPr>
                <w:rFonts w:ascii="Times New Roman Regular" w:hAnsi="Times New Roman Regular" w:cs="Times New Roman Regular"/>
                <w:kern w:val="0"/>
                <w:sz w:val="24"/>
              </w:rPr>
            </w:pPr>
            <w:r>
              <w:rPr>
                <w:rFonts w:ascii="Times New Roman Regular" w:hAnsi="Times New Roman Regular" w:cs="Times New Roman Regular"/>
                <w:kern w:val="0"/>
                <w:sz w:val="24"/>
              </w:rPr>
              <w:t>社会公益事业建设</w:t>
            </w:r>
          </w:p>
          <w:p>
            <w:pPr>
              <w:pStyle w:val="2"/>
              <w:jc w:val="center"/>
              <w:rPr>
                <w:rFonts w:ascii="Times New Roman Regular" w:hAnsi="Times New Roman Regular" w:eastAsia="仿宋_GB2312" w:cs="Times New Roman Regular"/>
                <w:kern w:val="0"/>
                <w:sz w:val="24"/>
              </w:rPr>
            </w:pPr>
          </w:p>
          <w:p>
            <w:pPr>
              <w:pStyle w:val="2"/>
              <w:jc w:val="center"/>
              <w:rPr>
                <w:rFonts w:ascii="Times New Roman Regular" w:hAnsi="Times New Roman Regular" w:eastAsia="仿宋_GB2312" w:cs="Times New Roman Regular"/>
                <w:kern w:val="0"/>
                <w:sz w:val="24"/>
              </w:rPr>
            </w:pPr>
          </w:p>
          <w:p>
            <w:pPr>
              <w:pStyle w:val="2"/>
              <w:jc w:val="center"/>
              <w:rPr>
                <w:rFonts w:ascii="Times New Roman Regular" w:hAnsi="Times New Roman Regular" w:eastAsia="仿宋_GB2312" w:cs="Times New Roman Regular"/>
                <w:kern w:val="0"/>
                <w:sz w:val="24"/>
              </w:rPr>
            </w:pPr>
          </w:p>
          <w:p>
            <w:pPr>
              <w:pStyle w:val="3"/>
              <w:spacing w:line="240" w:lineRule="auto"/>
              <w:jc w:val="center"/>
              <w:rPr>
                <w:rFonts w:ascii="Times New Roman Regular" w:hAnsi="Times New Roman Regular" w:eastAsia="仿宋_GB2312" w:cs="Times New Roman Regular"/>
                <w:kern w:val="0"/>
                <w:sz w:val="24"/>
              </w:rPr>
            </w:pPr>
          </w:p>
          <w:p>
            <w:pPr>
              <w:spacing w:line="240" w:lineRule="auto"/>
              <w:jc w:val="center"/>
              <w:rPr>
                <w:rFonts w:ascii="Times New Roman Regular" w:hAnsi="Times New Roman Regular" w:eastAsia="仿宋_GB2312" w:cs="Times New Roman Regular"/>
                <w:kern w:val="0"/>
                <w:sz w:val="24"/>
              </w:rPr>
            </w:pPr>
          </w:p>
          <w:p>
            <w:pPr>
              <w:spacing w:line="240" w:lineRule="auto"/>
              <w:jc w:val="center"/>
              <w:rPr>
                <w:rFonts w:ascii="Times New Roman Regular" w:hAnsi="Times New Roman Regular" w:eastAsia="仿宋_GB2312" w:cs="Times New Roman Regular"/>
                <w:kern w:val="0"/>
                <w:sz w:val="24"/>
              </w:rPr>
            </w:pPr>
          </w:p>
          <w:p>
            <w:pPr>
              <w:pStyle w:val="2"/>
              <w:jc w:val="center"/>
            </w:pPr>
          </w:p>
          <w:p>
            <w:pPr>
              <w:pStyle w:val="2"/>
              <w:jc w:val="center"/>
            </w:pPr>
            <w:r>
              <w:rPr>
                <w:rFonts w:ascii="Times New Roman Regular" w:hAnsi="Times New Roman Regular" w:eastAsia="仿宋_GB2312" w:cs="Times New Roman Regular"/>
                <w:kern w:val="0"/>
                <w:sz w:val="24"/>
              </w:rPr>
              <w:t>社会公益事业建设</w:t>
            </w:r>
          </w:p>
        </w:tc>
        <w:tc>
          <w:tcPr>
            <w:tcW w:w="750" w:type="dxa"/>
            <w:vMerge w:val="restart"/>
            <w:noWrap w:val="0"/>
            <w:vAlign w:val="center"/>
          </w:tcPr>
          <w:p>
            <w:pPr>
              <w:widowControl/>
              <w:spacing w:line="240" w:lineRule="auto"/>
              <w:jc w:val="center"/>
              <w:rPr>
                <w:rFonts w:ascii="Times New Roman Regular" w:hAnsi="Times New Roman Regular" w:cs="Times New Roman Regular"/>
                <w:kern w:val="0"/>
                <w:sz w:val="24"/>
              </w:rPr>
            </w:pPr>
          </w:p>
          <w:p>
            <w:pPr>
              <w:widowControl/>
              <w:spacing w:line="240" w:lineRule="auto"/>
              <w:jc w:val="center"/>
              <w:rPr>
                <w:rFonts w:ascii="Times New Roman Regular" w:hAnsi="Times New Roman Regular" w:cs="Times New Roman Regular"/>
                <w:kern w:val="0"/>
                <w:sz w:val="24"/>
              </w:rPr>
            </w:pPr>
          </w:p>
          <w:p>
            <w:pPr>
              <w:widowControl/>
              <w:spacing w:line="240" w:lineRule="auto"/>
              <w:jc w:val="center"/>
              <w:rPr>
                <w:rFonts w:ascii="Times New Roman Regular" w:hAnsi="Times New Roman Regular" w:cs="Times New Roman Regular"/>
                <w:kern w:val="0"/>
                <w:sz w:val="24"/>
              </w:rPr>
            </w:pPr>
          </w:p>
          <w:p>
            <w:pPr>
              <w:widowControl/>
              <w:spacing w:line="240" w:lineRule="auto"/>
              <w:jc w:val="center"/>
              <w:rPr>
                <w:rFonts w:ascii="Times New Roman Regular" w:hAnsi="Times New Roman Regular" w:cs="Times New Roman Regular"/>
                <w:kern w:val="0"/>
                <w:sz w:val="24"/>
              </w:rPr>
            </w:pPr>
            <w:r>
              <w:rPr>
                <w:rFonts w:ascii="Times New Roman Regular" w:hAnsi="Times New Roman Regular" w:cs="Times New Roman Regular"/>
                <w:kern w:val="0"/>
                <w:sz w:val="24"/>
              </w:rPr>
              <w:t>6</w:t>
            </w:r>
          </w:p>
          <w:p>
            <w:pPr>
              <w:pStyle w:val="2"/>
              <w:jc w:val="center"/>
              <w:rPr>
                <w:rFonts w:ascii="Times New Roman Regular" w:hAnsi="Times New Roman Regular" w:eastAsia="仿宋_GB2312" w:cs="Times New Roman Regular"/>
                <w:kern w:val="0"/>
                <w:sz w:val="24"/>
              </w:rPr>
            </w:pPr>
          </w:p>
          <w:p>
            <w:pPr>
              <w:pStyle w:val="2"/>
              <w:jc w:val="center"/>
              <w:rPr>
                <w:rFonts w:ascii="Times New Roman Regular" w:hAnsi="Times New Roman Regular" w:eastAsia="仿宋_GB2312" w:cs="Times New Roman Regular"/>
                <w:kern w:val="0"/>
                <w:sz w:val="24"/>
              </w:rPr>
            </w:pPr>
          </w:p>
          <w:p>
            <w:pPr>
              <w:pStyle w:val="2"/>
              <w:jc w:val="center"/>
              <w:rPr>
                <w:rFonts w:ascii="Times New Roman Regular" w:hAnsi="Times New Roman Regular" w:eastAsia="仿宋_GB2312" w:cs="Times New Roman Regular"/>
                <w:kern w:val="0"/>
                <w:sz w:val="24"/>
              </w:rPr>
            </w:pPr>
          </w:p>
          <w:p>
            <w:pPr>
              <w:pStyle w:val="2"/>
              <w:jc w:val="center"/>
              <w:rPr>
                <w:rFonts w:ascii="Times New Roman Regular" w:hAnsi="Times New Roman Regular" w:eastAsia="仿宋_GB2312" w:cs="Times New Roman Regular"/>
                <w:kern w:val="0"/>
                <w:sz w:val="24"/>
              </w:rPr>
            </w:pPr>
          </w:p>
          <w:p>
            <w:pPr>
              <w:pStyle w:val="2"/>
              <w:jc w:val="center"/>
              <w:rPr>
                <w:rFonts w:ascii="Times New Roman Regular" w:hAnsi="Times New Roman Regular" w:eastAsia="仿宋_GB2312" w:cs="Times New Roman Regular"/>
                <w:kern w:val="0"/>
                <w:sz w:val="24"/>
              </w:rPr>
            </w:pPr>
          </w:p>
          <w:p>
            <w:pPr>
              <w:pStyle w:val="2"/>
              <w:jc w:val="center"/>
              <w:rPr>
                <w:rFonts w:ascii="Times New Roman Regular" w:hAnsi="Times New Roman Regular" w:eastAsia="仿宋_GB2312" w:cs="Times New Roman Regular"/>
                <w:kern w:val="0"/>
                <w:sz w:val="24"/>
              </w:rPr>
            </w:pPr>
          </w:p>
          <w:p>
            <w:pPr>
              <w:pStyle w:val="2"/>
              <w:jc w:val="center"/>
              <w:rPr>
                <w:rFonts w:ascii="Times New Roman Regular" w:hAnsi="Times New Roman Regular" w:eastAsia="仿宋_GB2312" w:cs="Times New Roman Regular"/>
                <w:kern w:val="0"/>
                <w:sz w:val="24"/>
              </w:rPr>
            </w:pPr>
          </w:p>
          <w:p>
            <w:pPr>
              <w:pStyle w:val="2"/>
              <w:jc w:val="center"/>
            </w:pPr>
            <w:r>
              <w:rPr>
                <w:rFonts w:ascii="Times New Roman Regular" w:hAnsi="Times New Roman Regular" w:eastAsia="仿宋_GB2312" w:cs="Times New Roman Regular"/>
                <w:kern w:val="0"/>
                <w:sz w:val="24"/>
              </w:rPr>
              <w:t>6</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1.自治区大气污染防治政策措施、规划，大气环境质量标准、大气污染物排放标准及解读。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2.大气污染防治实施效果，污染源监测及减排，建设项目环境影响评价审批。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3.大气环境质量改善目标、大气污染防治重点任务执行情况、考核结果。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4.重大大气污染事件调查处理结果、约谈情况。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5.大气环境质量状况、大气环境质量预报信息、大范围重污染天气预警提示，重污染天气期间信息。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6.重点排污单位名录及排放大气污染物的种类、浓度等信息。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7.环境保护执法监管、举报电话、投诉处理、舆情引导等信息。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8.自治区水污染防治政策措施、规划，水环境质量标准、水污染物排放标准及解读。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9.水污染防治实施效果，污染源监测及减排，建设项目环境影响评价审批。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10.重大水污染事件调查处理结果、约谈情况。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11.水环境质量状况、大范围重污染水预警提示信息。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12.有毒有害水污染物名录及排放有毒有害水污染物等信息。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13.重点排污单位名录及排放水污染物的种类、浓度等信息。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14.环境突发事件应急预案。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15.自治区土壤污染管控和修复政策措施、规划及解读。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16.土壤污染管控和修复实施效果，污染源监测及减排，建设项目环境影响评价审批。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17.重大土壤污染事件调查处理结果、约谈情况。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18.土壤环境状况。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19.重点行业企业产生的污染物名称、排放浓度等情况。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自治区住房城乡建设厅</w:t>
            </w:r>
          </w:p>
        </w:tc>
        <w:tc>
          <w:tcPr>
            <w:tcW w:w="4367" w:type="dxa"/>
            <w:vMerge w:val="restart"/>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机构职能、领导信息、政务动态、政策文件、政策解读、人事信息、规划计划、财政信息、数据发布、重大建设项目批准和实施、公共资源配置</w:t>
            </w:r>
          </w:p>
        </w:tc>
        <w:tc>
          <w:tcPr>
            <w:tcW w:w="120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重大建设项目批准和实施</w:t>
            </w:r>
          </w:p>
        </w:tc>
        <w:tc>
          <w:tcPr>
            <w:tcW w:w="75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6</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1.批准服务信息：申报要求、申报材料清单、批准流程、办理时限、受理机构联系方式、监督举报方式等批准服务信息。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2.施工及质量安全监督信息：项目法人单位及其主要负责人信息，设计、施工、监理单位及其主要负责人、项目负责人信息、资质情况，施工单位项目管理机构设置、工作职责、主要管理制度，施工期环境保护措施落实情况等；质量安全监督机构及其联系方式、质量安全行政处罚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3.是否通过设置栏目集中公开以上信息。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公共资源配置</w:t>
            </w:r>
          </w:p>
        </w:tc>
        <w:tc>
          <w:tcPr>
            <w:tcW w:w="750"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6</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工程建设项目招标投标领域：市场主体基本信息、资质情况、执业人员信息、业绩情况、良好行为和不良行为、信用评价结果、行政处罚信息等。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restart"/>
            <w:noWrap w:val="0"/>
            <w:vAlign w:val="center"/>
          </w:tcPr>
          <w:p>
            <w:pPr>
              <w:widowControl/>
              <w:spacing w:line="320" w:lineRule="exact"/>
              <w:jc w:val="center"/>
              <w:rPr>
                <w:rFonts w:ascii="Times New Roman Regular" w:hAnsi="Times New Roman Regular" w:cs="Times New Roman Regular"/>
                <w:kern w:val="0"/>
                <w:sz w:val="24"/>
              </w:rPr>
            </w:pPr>
          </w:p>
          <w:p>
            <w:pPr>
              <w:widowControl/>
              <w:spacing w:line="320" w:lineRule="exact"/>
              <w:jc w:val="center"/>
              <w:rPr>
                <w:rFonts w:ascii="Times New Roman Regular" w:hAnsi="Times New Roman Regular" w:cs="Times New Roman Regular"/>
                <w:kern w:val="0"/>
                <w:sz w:val="24"/>
              </w:rPr>
            </w:pPr>
            <w:r>
              <w:rPr>
                <w:rFonts w:ascii="Times New Roman Regular" w:hAnsi="Times New Roman Regular" w:cs="Times New Roman Regular"/>
                <w:kern w:val="0"/>
                <w:sz w:val="24"/>
              </w:rPr>
              <w:t>自治区</w:t>
            </w:r>
          </w:p>
          <w:p>
            <w:pPr>
              <w:widowControl/>
              <w:spacing w:line="320" w:lineRule="exact"/>
              <w:jc w:val="center"/>
              <w:rPr>
                <w:rFonts w:ascii="Times New Roman Regular" w:hAnsi="Times New Roman Regular" w:cs="Times New Roman Regular"/>
                <w:kern w:val="0"/>
                <w:sz w:val="24"/>
              </w:rPr>
            </w:pPr>
            <w:r>
              <w:rPr>
                <w:rFonts w:ascii="Times New Roman Regular" w:hAnsi="Times New Roman Regular" w:cs="Times New Roman Regular"/>
                <w:kern w:val="0"/>
                <w:sz w:val="24"/>
              </w:rPr>
              <w:t>交通运输厅</w:t>
            </w:r>
          </w:p>
          <w:p>
            <w:pPr>
              <w:pStyle w:val="2"/>
              <w:rPr>
                <w:rFonts w:ascii="Times New Roman Regular" w:hAnsi="Times New Roman Regular" w:cs="Times New Roman Regular"/>
                <w:kern w:val="0"/>
                <w:sz w:val="24"/>
              </w:rPr>
            </w:pPr>
          </w:p>
          <w:p>
            <w:pPr>
              <w:pStyle w:val="3"/>
            </w:pPr>
          </w:p>
          <w:p/>
          <w:p>
            <w:pPr>
              <w:pStyle w:val="3"/>
              <w:jc w:val="both"/>
            </w:pPr>
          </w:p>
          <w:p>
            <w:pPr>
              <w:pStyle w:val="3"/>
            </w:pP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pStyle w:val="2"/>
            </w:pPr>
            <w:r>
              <w:rPr>
                <w:rFonts w:ascii="Times New Roman Regular" w:hAnsi="Times New Roman Regular" w:eastAsia="仿宋_GB2312" w:cs="Times New Roman Regular"/>
                <w:kern w:val="0"/>
                <w:sz w:val="24"/>
              </w:rPr>
              <w:t>交通运输厅</w:t>
            </w:r>
          </w:p>
        </w:tc>
        <w:tc>
          <w:tcPr>
            <w:tcW w:w="4367" w:type="dxa"/>
            <w:vMerge w:val="restart"/>
            <w:noWrap w:val="0"/>
            <w:vAlign w:val="center"/>
          </w:tcPr>
          <w:p>
            <w:pPr>
              <w:widowControl/>
              <w:spacing w:line="320" w:lineRule="exact"/>
              <w:jc w:val="left"/>
              <w:rPr>
                <w:rFonts w:ascii="Times New Roman Regular" w:hAnsi="Times New Roman Regular" w:cs="Times New Roman Regular"/>
                <w:kern w:val="0"/>
                <w:sz w:val="24"/>
              </w:rPr>
            </w:pPr>
            <w:r>
              <w:rPr>
                <w:rFonts w:ascii="Times New Roman Regular" w:hAnsi="Times New Roman Regular" w:cs="Times New Roman Regular"/>
                <w:kern w:val="0"/>
                <w:sz w:val="24"/>
              </w:rPr>
              <w:t>机构职能、领导信息、政务动态、政策文件、政策解读、人事信息、规划计划、财政信息、数据发布、重大建设项目批准和实施、公共资源配置、社会公益事业建设</w:t>
            </w:r>
          </w:p>
          <w:p>
            <w:pPr>
              <w:pStyle w:val="2"/>
              <w:rPr>
                <w:rFonts w:ascii="Times New Roman Regular" w:hAnsi="Times New Roman Regular" w:eastAsia="仿宋_GB2312" w:cs="Times New Roman Regular"/>
                <w:kern w:val="0"/>
                <w:sz w:val="24"/>
              </w:rPr>
            </w:pPr>
          </w:p>
          <w:p>
            <w:pPr>
              <w:pStyle w:val="2"/>
              <w:rPr>
                <w:rFonts w:ascii="Times New Roman Regular" w:hAnsi="Times New Roman Regular" w:eastAsia="仿宋_GB2312" w:cs="Times New Roman Regular"/>
                <w:kern w:val="0"/>
                <w:sz w:val="24"/>
              </w:rPr>
            </w:pPr>
          </w:p>
          <w:p>
            <w:pPr>
              <w:pStyle w:val="2"/>
              <w:rPr>
                <w:rFonts w:ascii="Times New Roman Regular" w:hAnsi="Times New Roman Regular" w:eastAsia="仿宋_GB2312" w:cs="Times New Roman Regular"/>
                <w:kern w:val="0"/>
                <w:sz w:val="24"/>
              </w:rPr>
            </w:pPr>
          </w:p>
          <w:p>
            <w:pPr>
              <w:pStyle w:val="2"/>
              <w:rPr>
                <w:rFonts w:ascii="Times New Roman Regular" w:hAnsi="Times New Roman Regular" w:eastAsia="仿宋_GB2312" w:cs="Times New Roman Regular"/>
                <w:kern w:val="0"/>
                <w:sz w:val="24"/>
              </w:rPr>
            </w:pPr>
          </w:p>
          <w:p>
            <w:pPr>
              <w:pStyle w:val="2"/>
            </w:pPr>
            <w:r>
              <w:rPr>
                <w:rFonts w:ascii="Times New Roman Regular" w:hAnsi="Times New Roman Regular" w:eastAsia="仿宋_GB2312" w:cs="Times New Roman Regular"/>
                <w:kern w:val="0"/>
                <w:sz w:val="24"/>
              </w:rPr>
              <w:t>机构职能、领导信息、政务动态、政策文件、政策解读、人事信息、规划计划、财政信息、数据发布、重大建设项目批准和实施、公共资源配置、社会公益事业建设</w:t>
            </w:r>
          </w:p>
        </w:tc>
        <w:tc>
          <w:tcPr>
            <w:tcW w:w="1200" w:type="dxa"/>
            <w:vMerge w:val="restart"/>
            <w:noWrap w:val="0"/>
            <w:vAlign w:val="center"/>
          </w:tcPr>
          <w:p>
            <w:pPr>
              <w:widowControl/>
              <w:spacing w:line="320" w:lineRule="exact"/>
              <w:jc w:val="center"/>
              <w:rPr>
                <w:rFonts w:ascii="Times New Roman Regular" w:hAnsi="Times New Roman Regular" w:cs="Times New Roman Regular"/>
                <w:kern w:val="0"/>
                <w:sz w:val="24"/>
              </w:rPr>
            </w:pPr>
          </w:p>
          <w:p>
            <w:pPr>
              <w:widowControl/>
              <w:spacing w:line="320" w:lineRule="exact"/>
              <w:jc w:val="center"/>
              <w:rPr>
                <w:rFonts w:ascii="Times New Roman Regular" w:hAnsi="Times New Roman Regular" w:cs="Times New Roman Regular"/>
                <w:kern w:val="0"/>
                <w:sz w:val="24"/>
              </w:rPr>
            </w:pPr>
            <w:r>
              <w:rPr>
                <w:rFonts w:ascii="Times New Roman Regular" w:hAnsi="Times New Roman Regular" w:cs="Times New Roman Regular"/>
                <w:kern w:val="0"/>
                <w:sz w:val="24"/>
              </w:rPr>
              <w:t>重大建设项目批准和实施</w:t>
            </w:r>
          </w:p>
          <w:p>
            <w:pPr>
              <w:pStyle w:val="2"/>
              <w:rPr>
                <w:rFonts w:ascii="Times New Roman Regular" w:hAnsi="Times New Roman Regular" w:eastAsia="仿宋_GB2312" w:cs="Times New Roman Regular"/>
                <w:kern w:val="0"/>
                <w:sz w:val="24"/>
              </w:rPr>
            </w:pPr>
          </w:p>
          <w:p>
            <w:pPr>
              <w:pStyle w:val="2"/>
              <w:rPr>
                <w:rFonts w:ascii="Times New Roman Regular" w:hAnsi="Times New Roman Regular" w:eastAsia="仿宋_GB2312" w:cs="Times New Roman Regular"/>
                <w:kern w:val="0"/>
                <w:sz w:val="24"/>
              </w:rPr>
            </w:pPr>
          </w:p>
          <w:p>
            <w:pPr>
              <w:pStyle w:val="2"/>
              <w:rPr>
                <w:rFonts w:ascii="Times New Roman Regular" w:hAnsi="Times New Roman Regular" w:eastAsia="仿宋_GB2312" w:cs="Times New Roman Regular"/>
                <w:kern w:val="0"/>
                <w:sz w:val="24"/>
              </w:rPr>
            </w:pPr>
          </w:p>
          <w:p>
            <w:pPr>
              <w:pStyle w:val="2"/>
              <w:rPr>
                <w:rFonts w:ascii="Times New Roman Regular" w:hAnsi="Times New Roman Regular" w:eastAsia="仿宋_GB2312" w:cs="Times New Roman Regular"/>
                <w:kern w:val="0"/>
                <w:sz w:val="24"/>
              </w:rPr>
            </w:pPr>
          </w:p>
          <w:p>
            <w:pPr>
              <w:pStyle w:val="2"/>
              <w:jc w:val="center"/>
            </w:pPr>
            <w:r>
              <w:rPr>
                <w:rFonts w:ascii="Times New Roman Regular" w:hAnsi="Times New Roman Regular" w:eastAsia="仿宋_GB2312" w:cs="Times New Roman Regular"/>
                <w:kern w:val="0"/>
                <w:sz w:val="24"/>
              </w:rPr>
              <w:t>重大建设项目批准和实施</w:t>
            </w:r>
          </w:p>
        </w:tc>
        <w:tc>
          <w:tcPr>
            <w:tcW w:w="750" w:type="dxa"/>
            <w:vMerge w:val="restart"/>
            <w:noWrap w:val="0"/>
            <w:vAlign w:val="center"/>
          </w:tcPr>
          <w:p>
            <w:pPr>
              <w:widowControl/>
              <w:spacing w:line="320" w:lineRule="exact"/>
              <w:jc w:val="center"/>
              <w:rPr>
                <w:rFonts w:ascii="Times New Roman Regular" w:hAnsi="Times New Roman Regular" w:cs="Times New Roman Regular"/>
                <w:kern w:val="0"/>
                <w:sz w:val="24"/>
              </w:rPr>
            </w:pPr>
          </w:p>
          <w:p>
            <w:pPr>
              <w:pStyle w:val="2"/>
              <w:jc w:val="center"/>
              <w:rPr>
                <w:rFonts w:ascii="Times New Roman Regular" w:hAnsi="Times New Roman Regular" w:cs="Times New Roman Regular"/>
                <w:kern w:val="0"/>
                <w:sz w:val="24"/>
              </w:rPr>
            </w:pPr>
            <w:r>
              <w:rPr>
                <w:rFonts w:hint="eastAsia" w:ascii="Times New Roman Regular" w:hAnsi="Times New Roman Regular" w:cs="Times New Roman Regular"/>
                <w:kern w:val="0"/>
                <w:sz w:val="24"/>
                <w:lang w:val="en-US" w:eastAsia="zh-CN"/>
              </w:rPr>
              <w:t>4</w:t>
            </w:r>
          </w:p>
          <w:p>
            <w:pPr>
              <w:pStyle w:val="3"/>
              <w:rPr>
                <w:rFonts w:ascii="Times New Roman Regular" w:hAnsi="Times New Roman Regular" w:cs="Times New Roman Regular"/>
                <w:kern w:val="0"/>
                <w:sz w:val="24"/>
              </w:rPr>
            </w:pPr>
          </w:p>
          <w:p>
            <w:pPr>
              <w:jc w:val="center"/>
            </w:pPr>
          </w:p>
          <w:p>
            <w:pPr>
              <w:pStyle w:val="2"/>
              <w:jc w:val="center"/>
              <w:rPr>
                <w:rFonts w:ascii="Times New Roman Regular" w:hAnsi="Times New Roman Regular" w:eastAsia="仿宋_GB2312" w:cs="Times New Roman Regular"/>
                <w:kern w:val="0"/>
                <w:sz w:val="24"/>
              </w:rPr>
            </w:pPr>
          </w:p>
          <w:p>
            <w:pPr>
              <w:pStyle w:val="2"/>
              <w:jc w:val="center"/>
              <w:rPr>
                <w:rFonts w:ascii="Times New Roman Regular" w:hAnsi="Times New Roman Regular" w:eastAsia="仿宋_GB2312" w:cs="Times New Roman Regular"/>
                <w:kern w:val="0"/>
                <w:sz w:val="24"/>
              </w:rPr>
            </w:pPr>
          </w:p>
          <w:p>
            <w:pPr>
              <w:pStyle w:val="2"/>
              <w:jc w:val="center"/>
              <w:rPr>
                <w:rFonts w:hint="eastAsia" w:eastAsia="宋体"/>
                <w:lang w:val="en-US" w:eastAsia="zh-CN"/>
              </w:rPr>
            </w:pPr>
            <w:r>
              <w:rPr>
                <w:rFonts w:hint="eastAsia"/>
                <w:lang w:val="en-US" w:eastAsia="zh-CN"/>
              </w:rPr>
              <w:t>4</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1.批准服务信息：申报要求、申报材料清单、批准流程、办理时限、受理机构联系方式、监督举报方式等批准服务信息。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2.项目报建批准结果信息：水运工程设计文件审查、公路建设项目设计审批、公路建设项目施工许可、航道通航条件影响评价审核、港口岸线使用审批等批准结果信息。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3.重大设计变更信息：项目设计变更原因、主要变更内容、变更依据、批准单位、变更结果等。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 xml:space="preserve">4.施工及质量安全监督信息：项目法人单位及其主要负责人信息，设计、施工、监理单位及其主要负责人、项目负责人信息、资质情况，施工单位项目管理机构设置、工作职责、主要管理制度，施工期环境保护措施落实情况等；质量安全监督机构及其联系方式、质量安全行政处罚情况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5.竣工有关信息：竣工验收时间、工程质量验收结果、交付使用时间。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6.是否通过设置栏目集中公开以上信息。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公共资源配置</w:t>
            </w:r>
          </w:p>
        </w:tc>
        <w:tc>
          <w:tcPr>
            <w:tcW w:w="750"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4</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工程建设项目招标投标领域：市场主体基本信息、资质情况、执业人员信息、业绩情况、良好行为和不良行为、信用评价结果、行政处罚信息等。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社会公益事业建设</w:t>
            </w:r>
          </w:p>
        </w:tc>
        <w:tc>
          <w:tcPr>
            <w:tcW w:w="750"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4</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在疫情防控常态化情况下，要依法依规围绕散发疫情、隔离管控、精准防控、冷链运输、流调溯源、疫苗使用、假期人员流动等方面发布权威信息。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水利厅</w:t>
            </w:r>
          </w:p>
        </w:tc>
        <w:tc>
          <w:tcPr>
            <w:tcW w:w="4367" w:type="dxa"/>
            <w:vMerge w:val="restart"/>
            <w:noWrap w:val="0"/>
            <w:vAlign w:val="center"/>
          </w:tcPr>
          <w:p>
            <w:pPr>
              <w:widowControl/>
              <w:spacing w:line="320" w:lineRule="exact"/>
              <w:jc w:val="left"/>
              <w:rPr>
                <w:rFonts w:ascii="Times New Roman Regular" w:hAnsi="Times New Roman Regular" w:eastAsia="仿宋_GB2312" w:cs="Times New Roman Regular"/>
                <w:kern w:val="0"/>
                <w:sz w:val="24"/>
              </w:rPr>
            </w:pPr>
          </w:p>
          <w:p>
            <w:pPr>
              <w:widowControl/>
              <w:spacing w:line="320" w:lineRule="exact"/>
              <w:jc w:val="left"/>
              <w:rPr>
                <w:rFonts w:ascii="Times New Roman Regular" w:hAnsi="Times New Roman Regular" w:eastAsia="仿宋_GB2312" w:cs="Times New Roman Regular"/>
                <w:kern w:val="0"/>
                <w:sz w:val="24"/>
              </w:rPr>
            </w:pPr>
          </w:p>
          <w:p>
            <w:pPr>
              <w:widowControl/>
              <w:spacing w:line="320" w:lineRule="exact"/>
              <w:jc w:val="left"/>
              <w:rPr>
                <w:rFonts w:ascii="Times New Roman Regular" w:hAnsi="Times New Roman Regular" w:eastAsia="仿宋_GB2312" w:cs="Times New Roman Regular"/>
                <w:kern w:val="0"/>
                <w:sz w:val="24"/>
              </w:rPr>
            </w:pPr>
          </w:p>
          <w:p>
            <w:pPr>
              <w:widowControl/>
              <w:spacing w:line="320" w:lineRule="exact"/>
              <w:jc w:val="left"/>
              <w:rPr>
                <w:rFonts w:ascii="Times New Roman Regular" w:hAnsi="Times New Roman Regular" w:eastAsia="仿宋_GB2312" w:cs="Times New Roman Regular"/>
                <w:kern w:val="0"/>
                <w:sz w:val="24"/>
              </w:rPr>
            </w:pPr>
          </w:p>
          <w:p>
            <w:pPr>
              <w:widowControl/>
              <w:spacing w:line="320" w:lineRule="exact"/>
              <w:jc w:val="left"/>
              <w:rPr>
                <w:rFonts w:ascii="Times New Roman Regular" w:hAnsi="Times New Roman Regular" w:eastAsia="仿宋_GB2312" w:cs="Times New Roman Regular"/>
                <w:kern w:val="0"/>
                <w:sz w:val="24"/>
              </w:rPr>
            </w:pPr>
          </w:p>
          <w:p>
            <w:pPr>
              <w:widowControl/>
              <w:spacing w:line="320" w:lineRule="exact"/>
              <w:jc w:val="left"/>
              <w:rPr>
                <w:rFonts w:ascii="Times New Roman Regular" w:hAnsi="Times New Roman Regular" w:eastAsia="仿宋_GB2312" w:cs="Times New Roman Regular"/>
                <w:kern w:val="0"/>
                <w:sz w:val="24"/>
              </w:rPr>
            </w:pPr>
          </w:p>
          <w:p>
            <w:pPr>
              <w:widowControl/>
              <w:spacing w:line="320" w:lineRule="exact"/>
              <w:jc w:val="left"/>
              <w:rPr>
                <w:rFonts w:ascii="Times New Roman Regular" w:hAnsi="Times New Roman Regular" w:eastAsia="仿宋_GB2312" w:cs="Times New Roman Regular"/>
                <w:kern w:val="0"/>
                <w:sz w:val="24"/>
              </w:rPr>
            </w:pPr>
          </w:p>
          <w:p>
            <w:pPr>
              <w:widowControl/>
              <w:spacing w:line="320" w:lineRule="exact"/>
              <w:jc w:val="left"/>
              <w:rPr>
                <w:rFonts w:ascii="Times New Roman Regular" w:hAnsi="Times New Roman Regular" w:eastAsia="仿宋_GB2312" w:cs="Times New Roman Regular"/>
                <w:kern w:val="0"/>
                <w:sz w:val="24"/>
              </w:rPr>
            </w:pPr>
          </w:p>
          <w:p>
            <w:pPr>
              <w:widowControl/>
              <w:spacing w:line="320" w:lineRule="exact"/>
              <w:jc w:val="left"/>
              <w:rPr>
                <w:rFonts w:ascii="Times New Roman Regular" w:hAnsi="Times New Roman Regular" w:eastAsia="仿宋_GB2312" w:cs="Times New Roman Regular"/>
                <w:kern w:val="0"/>
                <w:sz w:val="24"/>
              </w:rPr>
            </w:pPr>
          </w:p>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机构职能、领导信息、政务动态、政策文件、政策解读、人事信息、规划计划、财政信息、数据发布、重大建设项目批准和实施、公共资源配置</w:t>
            </w:r>
          </w:p>
        </w:tc>
        <w:tc>
          <w:tcPr>
            <w:tcW w:w="120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重大建设项目批准和实施</w:t>
            </w:r>
          </w:p>
        </w:tc>
        <w:tc>
          <w:tcPr>
            <w:tcW w:w="75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6</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1.批准服务信息：申报要求、申报材料清单、批准流程、办理时限、受理机构联系方式、监督举报方式等批准服务信息。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2.项目报建批准结果信息：取水许可、洪水影响评价、生产建设项目水土保持方案审批、水利基建项目初步设计文件审批等批准结果；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3.重大设计变更信息：项目设计变更原因、主要变更内容、变更依据、批准单位、变更结果等。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 xml:space="preserve">4.施工及质量安全监督信息：项目法人单位及其主要负责人信息，设计、施工、监理单位及其主要负责人、项目负责人信息、资质情况，施工期水土保持措施落实情况等；质量安全监督机构及其联系方式、质量安全行政处罚情况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5.竣工有关信息：竣工验收时间、工程质量验收结果，竣工验收备案时间、备案编号、备案部门、交付使用时间。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6.是否通过设置栏目集中公开以上信息。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公共资源配置</w:t>
            </w:r>
          </w:p>
        </w:tc>
        <w:tc>
          <w:tcPr>
            <w:tcW w:w="750"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6</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工程建设项目招标投标领域：市场主体基本信息、资质情况、执业人员信息、业绩情况、良好行为和不良行为、信用评价结果、行政处罚信息等。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农业农村厅</w:t>
            </w:r>
          </w:p>
        </w:tc>
        <w:tc>
          <w:tcPr>
            <w:tcW w:w="4367" w:type="dxa"/>
            <w:vMerge w:val="restart"/>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机构职能、领导信息、政务动态、政策文件、政策解读、人事信息、规划计划、财政信息、数据发布、社会公益事业建设</w:t>
            </w:r>
          </w:p>
        </w:tc>
        <w:tc>
          <w:tcPr>
            <w:tcW w:w="120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社会公益事业建设</w:t>
            </w:r>
          </w:p>
        </w:tc>
        <w:tc>
          <w:tcPr>
            <w:tcW w:w="75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12</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1.扶贫基础设施项目建设计划总体信息。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2.扶贫产业开发项目建设计划、补助总体信息。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3.易地扶贫搬迁项目总体信息。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4.扶贫项目资金分配、使用总体情况。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5.外资扶贫项目采购和招投标总体信息。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商务厅</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w:t>
            </w:r>
          </w:p>
        </w:tc>
        <w:tc>
          <w:tcPr>
            <w:tcW w:w="7695" w:type="dxa"/>
            <w:gridSpan w:val="3"/>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自治区文化和旅游厅</w:t>
            </w:r>
          </w:p>
        </w:tc>
        <w:tc>
          <w:tcPr>
            <w:tcW w:w="4367" w:type="dxa"/>
            <w:vMerge w:val="restart"/>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机构职能、领导信息、政务动态、政策文件、政策解读、人事信息、规划计划、财政信息、数据发布、重大建设项目批准和实施、社会公益事业建设</w:t>
            </w:r>
          </w:p>
        </w:tc>
        <w:tc>
          <w:tcPr>
            <w:tcW w:w="120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重大建设项目批准和实施</w:t>
            </w:r>
          </w:p>
        </w:tc>
        <w:tc>
          <w:tcPr>
            <w:tcW w:w="75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6</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1.批准服务信息：申报要求、申报材料清单、批准流程、办理时限、受理机构联系方式、监督举报方式等批准服务信息。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2.项目报建批准结果信息：建设工程文物保护和考古许可批准结果信息。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3.是否通过设置栏目集中公开以上信息。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社会公益事业建设</w:t>
            </w:r>
          </w:p>
        </w:tc>
        <w:tc>
          <w:tcPr>
            <w:tcW w:w="75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6</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1.自治区出台的公共文化的服务保障政策及解读、基本公共文化服务指导、实施标准。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2.公共文化服务体系建设、财政资金投入和使用、设施建设和使用。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3.政府购买公共文化服务的目录、绩效评价结果等总体情况。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4.免费及优惠开放公共文化服务项目和活动计划总体情况。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5.全国重点文物保护单位、自治区文物保护单位等名录。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6.</w:t>
            </w:r>
            <w:r>
              <w:rPr>
                <w:rFonts w:ascii="Times New Roman Regular" w:hAnsi="Times New Roman Regular" w:eastAsia="仿宋_GB2312" w:cs="Times New Roman Regular"/>
                <w:spacing w:val="0"/>
                <w:kern w:val="0"/>
                <w:sz w:val="24"/>
              </w:rPr>
              <w:t>公益性文化服务活动、受捐款物管理使用等总体信息。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98"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卫生健康委</w:t>
            </w:r>
          </w:p>
        </w:tc>
        <w:tc>
          <w:tcPr>
            <w:tcW w:w="4367" w:type="dxa"/>
            <w:vMerge w:val="restart"/>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机构职能、领导信息、政务动态、政策文件、政策解读、人事信息、规划计划、财政信息、数据发布、公共资源配置、社会公益事业建设</w:t>
            </w:r>
          </w:p>
        </w:tc>
        <w:tc>
          <w:tcPr>
            <w:tcW w:w="1200"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公共资源配置</w:t>
            </w:r>
          </w:p>
        </w:tc>
        <w:tc>
          <w:tcPr>
            <w:tcW w:w="750"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6</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药品和医疗器械采购领域：检验试剂、非免疫规划疫苗采购的有关政策和方案。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社会公益事业建设</w:t>
            </w:r>
          </w:p>
        </w:tc>
        <w:tc>
          <w:tcPr>
            <w:tcW w:w="75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6</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1.自治区出台的有关重大疾病预防控制、国家免疫规划政策及解读。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2.自治区出台疾病救助、健康扶贫政策并做好政策解读。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3.突发公共卫生事件事态发展和应急处置工作、法定传染疫情信息。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4.公共卫生事件应急救护培训规划。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5.自治区出台的有关公共卫生事件应急预案、政策及解读，预警防范，目标任务、涉及范围。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6.公共卫生事件应急处置与救援、医疗救护与卫生防疫、次生灾害预警防范等工作情况及动态信息。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7.公共卫生事件的舆情回应情况。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8.公开自治区重大健康行动方案。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restart"/>
            <w:noWrap w:val="0"/>
            <w:vAlign w:val="center"/>
          </w:tcPr>
          <w:p>
            <w:pPr>
              <w:widowControl/>
              <w:spacing w:line="320" w:lineRule="exact"/>
              <w:jc w:val="center"/>
              <w:rPr>
                <w:rFonts w:ascii="Times New Roman Regular" w:hAnsi="Times New Roman Regular" w:cs="Times New Roman Regular"/>
                <w:kern w:val="0"/>
                <w:sz w:val="24"/>
              </w:rPr>
            </w:pPr>
          </w:p>
          <w:p>
            <w:pPr>
              <w:widowControl/>
              <w:spacing w:line="320" w:lineRule="exact"/>
              <w:jc w:val="center"/>
              <w:rPr>
                <w:rFonts w:ascii="Times New Roman Regular" w:hAnsi="Times New Roman Regular" w:cs="Times New Roman Regular"/>
                <w:kern w:val="0"/>
                <w:sz w:val="24"/>
              </w:rPr>
            </w:pPr>
          </w:p>
          <w:p>
            <w:pPr>
              <w:widowControl/>
              <w:spacing w:line="320" w:lineRule="exact"/>
              <w:jc w:val="center"/>
              <w:rPr>
                <w:rFonts w:ascii="Times New Roman Regular" w:hAnsi="Times New Roman Regular" w:cs="Times New Roman Regular"/>
                <w:kern w:val="0"/>
                <w:sz w:val="24"/>
              </w:rPr>
            </w:pPr>
            <w:r>
              <w:rPr>
                <w:rFonts w:ascii="Times New Roman Regular" w:hAnsi="Times New Roman Regular" w:cs="Times New Roman Regular"/>
                <w:kern w:val="0"/>
                <w:sz w:val="24"/>
              </w:rPr>
              <w:t>自治区</w:t>
            </w:r>
          </w:p>
          <w:p>
            <w:pPr>
              <w:widowControl/>
              <w:spacing w:line="320" w:lineRule="exact"/>
              <w:jc w:val="center"/>
              <w:rPr>
                <w:rFonts w:ascii="Times New Roman Regular" w:hAnsi="Times New Roman Regular" w:cs="Times New Roman Regular"/>
                <w:kern w:val="0"/>
                <w:sz w:val="24"/>
              </w:rPr>
            </w:pPr>
            <w:r>
              <w:rPr>
                <w:rFonts w:ascii="Times New Roman Regular" w:hAnsi="Times New Roman Regular" w:cs="Times New Roman Regular"/>
                <w:kern w:val="0"/>
                <w:sz w:val="24"/>
              </w:rPr>
              <w:t>应急厅</w:t>
            </w:r>
          </w:p>
          <w:p>
            <w:pPr>
              <w:pStyle w:val="2"/>
              <w:rPr>
                <w:rFonts w:ascii="Times New Roman Regular" w:hAnsi="Times New Roman Regular" w:cs="Times New Roman Regular"/>
                <w:kern w:val="0"/>
                <w:sz w:val="24"/>
              </w:rPr>
            </w:pPr>
          </w:p>
          <w:p>
            <w:pPr>
              <w:pStyle w:val="3"/>
              <w:rPr>
                <w:rFonts w:ascii="Times New Roman Regular" w:hAnsi="Times New Roman Regular" w:cs="Times New Roman Regular"/>
                <w:kern w:val="0"/>
                <w:sz w:val="24"/>
              </w:rPr>
            </w:pPr>
          </w:p>
          <w:p>
            <w:pPr>
              <w:rPr>
                <w:rFonts w:ascii="Times New Roman Regular" w:hAnsi="Times New Roman Regular" w:cs="Times New Roman Regular"/>
                <w:kern w:val="0"/>
                <w:sz w:val="24"/>
              </w:rPr>
            </w:pPr>
          </w:p>
          <w:p>
            <w:pPr>
              <w:pStyle w:val="2"/>
            </w:pP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pPr>
            <w:r>
              <w:rPr>
                <w:rFonts w:ascii="Times New Roman Regular" w:hAnsi="Times New Roman Regular" w:eastAsia="仿宋_GB2312" w:cs="Times New Roman Regular"/>
                <w:kern w:val="0"/>
                <w:sz w:val="24"/>
              </w:rPr>
              <w:t>应急厅</w:t>
            </w:r>
          </w:p>
        </w:tc>
        <w:tc>
          <w:tcPr>
            <w:tcW w:w="4367" w:type="dxa"/>
            <w:vMerge w:val="restart"/>
            <w:noWrap w:val="0"/>
            <w:vAlign w:val="center"/>
          </w:tcPr>
          <w:p>
            <w:pPr>
              <w:widowControl/>
              <w:spacing w:line="320" w:lineRule="exact"/>
              <w:jc w:val="both"/>
              <w:rPr>
                <w:rFonts w:ascii="Times New Roman Regular" w:hAnsi="Times New Roman Regular" w:cs="Times New Roman Regular"/>
                <w:kern w:val="0"/>
                <w:sz w:val="24"/>
              </w:rPr>
            </w:pPr>
          </w:p>
          <w:p>
            <w:pPr>
              <w:widowControl/>
              <w:spacing w:line="320" w:lineRule="exact"/>
              <w:jc w:val="both"/>
              <w:rPr>
                <w:rFonts w:ascii="Times New Roman Regular" w:hAnsi="Times New Roman Regular" w:cs="Times New Roman Regular"/>
                <w:kern w:val="0"/>
                <w:sz w:val="24"/>
              </w:rPr>
            </w:pPr>
            <w:r>
              <w:rPr>
                <w:rFonts w:ascii="Times New Roman Regular" w:hAnsi="Times New Roman Regular" w:cs="Times New Roman Regular"/>
                <w:kern w:val="0"/>
                <w:sz w:val="24"/>
              </w:rPr>
              <w:t>机构职能、领导信息、政务动态、政策文件、政策解读、人事信息、规划计划、财政信息、数据发布、重大建设项目批准和实施、社会公益事业建设</w:t>
            </w:r>
          </w:p>
          <w:p>
            <w:pPr>
              <w:widowControl/>
              <w:spacing w:line="320" w:lineRule="exact"/>
              <w:rPr>
                <w:rFonts w:ascii="Times New Roman Regular" w:hAnsi="Times New Roman Regular" w:cs="Times New Roman Regular"/>
                <w:kern w:val="0"/>
                <w:sz w:val="24"/>
              </w:rPr>
            </w:pPr>
          </w:p>
          <w:p>
            <w:pPr>
              <w:pStyle w:val="2"/>
              <w:rPr>
                <w:rFonts w:ascii="Times New Roman Regular" w:hAnsi="Times New Roman Regular" w:cs="Times New Roman Regular"/>
                <w:kern w:val="0"/>
                <w:sz w:val="24"/>
              </w:rPr>
            </w:pPr>
          </w:p>
          <w:p>
            <w:pPr>
              <w:pStyle w:val="3"/>
            </w:pPr>
          </w:p>
          <w:p>
            <w:pPr>
              <w:widowControl/>
              <w:spacing w:line="320" w:lineRule="exact"/>
              <w:jc w:val="both"/>
              <w:rPr>
                <w:rFonts w:ascii="Times New Roman Regular" w:hAnsi="Times New Roman Regular" w:eastAsia="仿宋_GB2312" w:cs="Times New Roman Regular"/>
                <w:kern w:val="0"/>
                <w:sz w:val="24"/>
              </w:rPr>
            </w:pPr>
          </w:p>
          <w:p>
            <w:pPr>
              <w:widowControl/>
              <w:spacing w:line="320" w:lineRule="exact"/>
              <w:jc w:val="both"/>
            </w:pPr>
            <w:r>
              <w:rPr>
                <w:rFonts w:ascii="Times New Roman Regular" w:hAnsi="Times New Roman Regular" w:eastAsia="仿宋_GB2312" w:cs="Times New Roman Regular"/>
                <w:kern w:val="0"/>
                <w:sz w:val="24"/>
              </w:rPr>
              <w:t>机构职能、领导信息、政务动态、政策文件、政策解读、人事信息、规划计划、财政信息、数据发布、重大建设项目批准和实施、社会公益事业建设</w:t>
            </w:r>
          </w:p>
        </w:tc>
        <w:tc>
          <w:tcPr>
            <w:tcW w:w="1200" w:type="dxa"/>
            <w:vMerge w:val="restart"/>
            <w:noWrap w:val="0"/>
            <w:vAlign w:val="center"/>
          </w:tcPr>
          <w:p>
            <w:pPr>
              <w:widowControl/>
              <w:spacing w:line="320" w:lineRule="exact"/>
              <w:jc w:val="both"/>
              <w:rPr>
                <w:rFonts w:ascii="Times New Roman Regular" w:hAnsi="Times New Roman Regular" w:cs="Times New Roman Regular"/>
                <w:kern w:val="0"/>
                <w:sz w:val="24"/>
              </w:rPr>
            </w:pPr>
          </w:p>
          <w:p>
            <w:pPr>
              <w:widowControl/>
              <w:spacing w:line="320" w:lineRule="exact"/>
              <w:jc w:val="center"/>
              <w:rPr>
                <w:rFonts w:ascii="Times New Roman Regular" w:hAnsi="Times New Roman Regular" w:cs="Times New Roman Regular"/>
                <w:kern w:val="0"/>
                <w:sz w:val="24"/>
              </w:rPr>
            </w:pPr>
            <w:r>
              <w:rPr>
                <w:rFonts w:ascii="Times New Roman Regular" w:hAnsi="Times New Roman Regular" w:cs="Times New Roman Regular"/>
                <w:kern w:val="0"/>
                <w:sz w:val="24"/>
              </w:rPr>
              <w:t>重大建设项目批准和实施</w:t>
            </w:r>
          </w:p>
          <w:p>
            <w:pPr>
              <w:pStyle w:val="2"/>
              <w:rPr>
                <w:rFonts w:ascii="Times New Roman Regular" w:hAnsi="Times New Roman Regular" w:eastAsia="仿宋_GB2312" w:cs="Times New Roman Regular"/>
                <w:kern w:val="0"/>
                <w:sz w:val="24"/>
              </w:rPr>
            </w:pPr>
          </w:p>
          <w:p>
            <w:pPr>
              <w:pStyle w:val="2"/>
              <w:rPr>
                <w:rFonts w:ascii="Times New Roman Regular" w:hAnsi="Times New Roman Regular" w:eastAsia="仿宋_GB2312" w:cs="Times New Roman Regular"/>
                <w:kern w:val="0"/>
                <w:sz w:val="24"/>
              </w:rPr>
            </w:pPr>
          </w:p>
          <w:p>
            <w:pPr>
              <w:pStyle w:val="2"/>
              <w:jc w:val="center"/>
            </w:pPr>
            <w:r>
              <w:rPr>
                <w:rFonts w:ascii="Times New Roman Regular" w:hAnsi="Times New Roman Regular" w:eastAsia="仿宋_GB2312" w:cs="Times New Roman Regular"/>
                <w:kern w:val="0"/>
                <w:sz w:val="24"/>
              </w:rPr>
              <w:t>重大建设项目批准和实施</w:t>
            </w:r>
          </w:p>
        </w:tc>
        <w:tc>
          <w:tcPr>
            <w:tcW w:w="750" w:type="dxa"/>
            <w:vMerge w:val="restart"/>
            <w:noWrap w:val="0"/>
            <w:vAlign w:val="center"/>
          </w:tcPr>
          <w:p>
            <w:pPr>
              <w:widowControl/>
              <w:spacing w:line="320" w:lineRule="exact"/>
              <w:jc w:val="center"/>
              <w:rPr>
                <w:rFonts w:ascii="Times New Roman Regular" w:hAnsi="Times New Roman Regular" w:cs="Times New Roman Regular"/>
                <w:kern w:val="0"/>
                <w:sz w:val="24"/>
              </w:rPr>
            </w:pPr>
          </w:p>
          <w:p>
            <w:pPr>
              <w:widowControl/>
              <w:spacing w:line="320" w:lineRule="exact"/>
              <w:jc w:val="center"/>
              <w:rPr>
                <w:rFonts w:ascii="Times New Roman Regular" w:hAnsi="Times New Roman Regular" w:cs="Times New Roman Regular"/>
                <w:kern w:val="0"/>
                <w:sz w:val="24"/>
              </w:rPr>
            </w:pPr>
          </w:p>
          <w:p>
            <w:pPr>
              <w:widowControl/>
              <w:spacing w:line="320" w:lineRule="exact"/>
              <w:jc w:val="center"/>
              <w:rPr>
                <w:rFonts w:ascii="Times New Roman Regular" w:hAnsi="Times New Roman Regular" w:cs="Times New Roman Regular"/>
                <w:kern w:val="0"/>
                <w:sz w:val="24"/>
              </w:rPr>
            </w:pPr>
          </w:p>
          <w:p>
            <w:pPr>
              <w:widowControl/>
              <w:spacing w:line="320" w:lineRule="exact"/>
              <w:jc w:val="center"/>
              <w:rPr>
                <w:rFonts w:ascii="Times New Roman Regular" w:hAnsi="Times New Roman Regular" w:cs="Times New Roman Regular"/>
                <w:kern w:val="0"/>
                <w:sz w:val="24"/>
              </w:rPr>
            </w:pPr>
            <w:r>
              <w:rPr>
                <w:rFonts w:ascii="Times New Roman Regular" w:hAnsi="Times New Roman Regular" w:cs="Times New Roman Regular"/>
                <w:kern w:val="0"/>
                <w:sz w:val="24"/>
              </w:rPr>
              <w:t>6</w:t>
            </w:r>
          </w:p>
          <w:p>
            <w:pPr>
              <w:widowControl/>
              <w:spacing w:line="320" w:lineRule="exact"/>
              <w:jc w:val="center"/>
              <w:rPr>
                <w:rFonts w:ascii="Times New Roman Regular" w:hAnsi="Times New Roman Regular" w:cs="Times New Roman Regular"/>
                <w:kern w:val="0"/>
                <w:sz w:val="24"/>
              </w:rPr>
            </w:pPr>
          </w:p>
          <w:p>
            <w:pPr>
              <w:widowControl/>
              <w:spacing w:line="320" w:lineRule="exact"/>
              <w:jc w:val="center"/>
              <w:rPr>
                <w:rFonts w:ascii="Times New Roman Regular" w:hAnsi="Times New Roman Regular" w:cs="Times New Roman Regular"/>
                <w:kern w:val="0"/>
                <w:sz w:val="24"/>
              </w:rPr>
            </w:pPr>
          </w:p>
          <w:p>
            <w:pPr>
              <w:widowControl/>
              <w:spacing w:line="320" w:lineRule="exact"/>
              <w:jc w:val="center"/>
              <w:rPr>
                <w:rFonts w:ascii="Times New Roman Regular" w:hAnsi="Times New Roman Regular" w:cs="Times New Roman Regular"/>
                <w:kern w:val="0"/>
                <w:sz w:val="24"/>
              </w:rPr>
            </w:pPr>
          </w:p>
          <w:p>
            <w:pPr>
              <w:widowControl/>
              <w:spacing w:line="320" w:lineRule="exact"/>
              <w:jc w:val="center"/>
              <w:rPr>
                <w:rFonts w:ascii="Times New Roman Regular" w:hAnsi="Times New Roman Regular" w:cs="Times New Roman Regular"/>
                <w:kern w:val="0"/>
                <w:sz w:val="24"/>
              </w:rPr>
            </w:pPr>
          </w:p>
          <w:p>
            <w:pPr>
              <w:widowControl/>
              <w:spacing w:line="320" w:lineRule="exact"/>
              <w:jc w:val="center"/>
              <w:rPr>
                <w:rFonts w:ascii="Times New Roman Regular" w:hAnsi="Times New Roman Regular" w:cs="Times New Roman Regular"/>
                <w:kern w:val="0"/>
                <w:sz w:val="24"/>
              </w:rPr>
            </w:pPr>
          </w:p>
          <w:p>
            <w:pPr>
              <w:widowControl/>
              <w:spacing w:line="320" w:lineRule="exact"/>
              <w:jc w:val="center"/>
            </w:pPr>
            <w:r>
              <w:rPr>
                <w:rFonts w:ascii="Times New Roman Regular" w:hAnsi="Times New Roman Regular" w:eastAsia="仿宋_GB2312" w:cs="Times New Roman Regular"/>
                <w:kern w:val="0"/>
                <w:sz w:val="24"/>
              </w:rPr>
              <w:t>6</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1.批准服务信息：申报要求、申报材料清单、批准流程、办理时限、受理机构联系方式、监督举报方式等批准服务信息。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 xml:space="preserve">2.项目报建批准结果信息：建设项目安全设计审查、职业病危害预评价、建设项目安全预评价等批准结果信息。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3.施工及质量安全监督信息：项目法人单位及其主要负责人信息，设计、施工、监理单位及其主要负责人、项目负责人信息、资质情况，施工单位项目管理机构设置、工作职责、主要管理制度，施工期环境保护措施落实情况等；质量安全监督机构及其联系方式、质量安全行政处罚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4.是否通过设置栏目集中公开以上信息。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社会公益事业建设</w:t>
            </w:r>
          </w:p>
        </w:tc>
        <w:tc>
          <w:tcPr>
            <w:tcW w:w="75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6</w:t>
            </w:r>
          </w:p>
        </w:tc>
        <w:tc>
          <w:tcPr>
            <w:tcW w:w="5745" w:type="dxa"/>
            <w:noWrap w:val="0"/>
            <w:vAlign w:val="center"/>
          </w:tcPr>
          <w:p>
            <w:pPr>
              <w:widowControl/>
              <w:spacing w:line="320" w:lineRule="exact"/>
              <w:jc w:val="both"/>
              <w:rPr>
                <w:rFonts w:ascii="Times New Roman Regular" w:hAnsi="Times New Roman Regular" w:eastAsia="仿宋_GB2312" w:cs="Times New Roman Regular"/>
                <w:color w:val="auto"/>
                <w:kern w:val="0"/>
                <w:sz w:val="24"/>
              </w:rPr>
            </w:pPr>
            <w:r>
              <w:rPr>
                <w:rFonts w:ascii="Times New Roman Regular" w:hAnsi="Times New Roman Regular" w:eastAsia="仿宋_GB2312" w:cs="Times New Roman Regular"/>
                <w:color w:val="auto"/>
                <w:kern w:val="0"/>
                <w:sz w:val="24"/>
              </w:rPr>
              <w:t>1.自治区出台的有关自然灾害应急预案、政策及解读，预警防范，目标任务、涉及范围。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color w:val="auto"/>
                <w:kern w:val="0"/>
                <w:sz w:val="24"/>
              </w:rPr>
            </w:pPr>
            <w:r>
              <w:rPr>
                <w:rFonts w:ascii="Times New Roman Regular" w:hAnsi="Times New Roman Regular" w:eastAsia="仿宋_GB2312" w:cs="Times New Roman Regular"/>
                <w:color w:val="auto"/>
                <w:kern w:val="0"/>
                <w:sz w:val="24"/>
              </w:rPr>
              <w:t>2.</w:t>
            </w:r>
            <w:r>
              <w:rPr>
                <w:rFonts w:hint="default" w:ascii="Times New Roman Regular" w:hAnsi="Times New Roman Regular" w:eastAsia="仿宋_GB2312" w:cs="Times New Roman Regular"/>
                <w:color w:val="auto"/>
                <w:kern w:val="0"/>
                <w:sz w:val="24"/>
              </w:rPr>
              <w:t>自然灾害应急处置与应急处置与救援、次生灾害预警防范等工作情况及动态信息</w:t>
            </w:r>
            <w:r>
              <w:rPr>
                <w:rFonts w:ascii="Times New Roman Regular" w:hAnsi="Times New Roman Regular" w:eastAsia="仿宋_GB2312" w:cs="Times New Roman Regular"/>
                <w:color w:val="auto"/>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color w:val="auto"/>
                <w:kern w:val="0"/>
                <w:sz w:val="24"/>
              </w:rPr>
            </w:pPr>
            <w:r>
              <w:rPr>
                <w:rFonts w:ascii="Times New Roman Regular" w:hAnsi="Times New Roman Regular" w:eastAsia="仿宋_GB2312" w:cs="Times New Roman Regular"/>
                <w:color w:val="auto"/>
                <w:kern w:val="0"/>
                <w:sz w:val="24"/>
              </w:rPr>
              <w:t>3.自治区出台的有关重大事故灾难应急预案、政策及解读，预警防范，目标任务、涉及范围。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4.</w:t>
            </w:r>
            <w:r>
              <w:rPr>
                <w:rFonts w:hint="eastAsia" w:ascii="Times New Roman Regular" w:hAnsi="Times New Roman Regular" w:eastAsia="仿宋_GB2312" w:cs="Times New Roman Regular"/>
                <w:kern w:val="0"/>
                <w:sz w:val="24"/>
              </w:rPr>
              <w:t>重大事故灾害应急处置与救援、次生灾害预警防范等工作情况及动态信息</w:t>
            </w:r>
            <w:r>
              <w:rPr>
                <w:rFonts w:ascii="Times New Roman Regular" w:hAnsi="Times New Roman Regular" w:eastAsia="仿宋_GB2312" w:cs="Times New Roman Regular"/>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审计厅</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机构职能、领导信息、政务动态、政策文件、政策解读、人事信息、规划计划、财政信息、数据发布、重大建设项目批准和实施</w:t>
            </w:r>
          </w:p>
        </w:tc>
        <w:tc>
          <w:tcPr>
            <w:tcW w:w="1200"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重大建设项目批准和实施</w:t>
            </w:r>
          </w:p>
        </w:tc>
        <w:tc>
          <w:tcPr>
            <w:tcW w:w="750"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12</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竣工有关信息：竣工决算审计单位、审计结论、财务决算金额等竣工有关信息。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外事办</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w:t>
            </w:r>
          </w:p>
        </w:tc>
        <w:tc>
          <w:tcPr>
            <w:tcW w:w="7695" w:type="dxa"/>
            <w:gridSpan w:val="3"/>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szCs w:val="22"/>
                <w:lang w:val="en-US" w:eastAsia="zh-CN" w:bidi="ar-SA"/>
              </w:rPr>
            </w:pPr>
            <w:r>
              <w:rPr>
                <w:rFonts w:ascii="Times New Roman Regular" w:hAnsi="Times New Roman Regular" w:eastAsia="仿宋_GB2312" w:cs="Times New Roman Regular"/>
                <w:kern w:val="0"/>
                <w:sz w:val="24"/>
              </w:rPr>
              <w:t>退役军人厅</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szCs w:val="22"/>
                <w:lang w:val="en-US" w:eastAsia="zh-CN" w:bidi="ar-SA"/>
              </w:rPr>
            </w:pPr>
            <w:r>
              <w:rPr>
                <w:rFonts w:ascii="Times New Roman Regular" w:hAnsi="Times New Roman Regular" w:eastAsia="仿宋_GB2312" w:cs="Times New Roman Regular"/>
                <w:kern w:val="0"/>
                <w:sz w:val="24"/>
              </w:rPr>
              <w:t>机构职能、领导信息、政务动态、政策文件、政策解读、人事信息、规划计划、财政信息、数据发布</w:t>
            </w:r>
          </w:p>
        </w:tc>
        <w:tc>
          <w:tcPr>
            <w:tcW w:w="7695" w:type="dxa"/>
            <w:gridSpan w:val="3"/>
            <w:noWrap w:val="0"/>
            <w:vAlign w:val="center"/>
          </w:tcPr>
          <w:p>
            <w:pPr>
              <w:widowControl/>
              <w:spacing w:line="320" w:lineRule="exact"/>
              <w:jc w:val="center"/>
              <w:rPr>
                <w:rFonts w:ascii="Times New Roman Regular" w:hAnsi="Times New Roman Regular" w:eastAsia="仿宋_GB2312" w:cs="Times New Roman Regular"/>
                <w:kern w:val="0"/>
                <w:sz w:val="24"/>
                <w:szCs w:val="22"/>
                <w:lang w:val="en-US" w:eastAsia="zh-CN" w:bidi="ar-SA"/>
              </w:rPr>
            </w:pPr>
            <w:r>
              <w:rPr>
                <w:rFonts w:ascii="Times New Roman Regular" w:hAnsi="Times New Roman Regular" w:eastAsia="仿宋_GB2312" w:cs="Times New Roman Regular"/>
                <w:kern w:val="0"/>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国资委</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机构职能、领导信息、政务动态、政策文件、政策解读、人事信息、规划计划、财政信息、数据发布、公共资源配置</w:t>
            </w:r>
          </w:p>
        </w:tc>
        <w:tc>
          <w:tcPr>
            <w:tcW w:w="1200"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公共资源配置</w:t>
            </w:r>
          </w:p>
        </w:tc>
        <w:tc>
          <w:tcPr>
            <w:tcW w:w="750"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12</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除涉及商业秘密外，主要公开进场的国有产权交易决策及批准信息、交易项目信息、转让价格、交易价格、相关中介机构审计结果等信息。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市场监管局</w:t>
            </w:r>
          </w:p>
        </w:tc>
        <w:tc>
          <w:tcPr>
            <w:tcW w:w="4367" w:type="dxa"/>
            <w:vMerge w:val="restart"/>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spacing w:val="-6"/>
                <w:kern w:val="0"/>
                <w:sz w:val="24"/>
              </w:rPr>
              <w:t>机构职能、领导信息、政务动态、政策文件、政策解读、人事信息、规划计划、财政信息、数据发布、社会公益事业建设</w:t>
            </w:r>
          </w:p>
        </w:tc>
        <w:tc>
          <w:tcPr>
            <w:tcW w:w="120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社会公益事业建设</w:t>
            </w:r>
          </w:p>
        </w:tc>
        <w:tc>
          <w:tcPr>
            <w:tcW w:w="75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12</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1.食品安全标准、食品安全风险警示信息。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2.国家总局监督抽检不合格食品核查处置情况、风险控制情况及自治区查处食品违法案件情况。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3.与食品安全相关的监督抽检的总体信息。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广电局</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w:t>
            </w:r>
          </w:p>
        </w:tc>
        <w:tc>
          <w:tcPr>
            <w:tcW w:w="7695" w:type="dxa"/>
            <w:gridSpan w:val="3"/>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体育局</w:t>
            </w:r>
          </w:p>
        </w:tc>
        <w:tc>
          <w:tcPr>
            <w:tcW w:w="4367" w:type="dxa"/>
            <w:vMerge w:val="restart"/>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机构职能、领导信息、政务动态、政策文件、政策解读、人事信息、规划计划、财政信息、数据发布、社会公益事业建设</w:t>
            </w:r>
          </w:p>
        </w:tc>
        <w:tc>
          <w:tcPr>
            <w:tcW w:w="120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社会公益事业建设</w:t>
            </w:r>
          </w:p>
        </w:tc>
        <w:tc>
          <w:tcPr>
            <w:tcW w:w="75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12</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1.自治区出台的公共体育发展政策及解读。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2.公共体育服务体系建设、财政资金投入和使用、设施建设和使用情况。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3.政府购买公共体育服务的目录和内容、绩效评价结果等总体情况；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4.公共体育设施建设种类（名录）、标准和要求、科学健身服务活动、公益性体育赛事和活动、受捐款物管理使用等总体信息。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5.体育彩票公益金筹集、分配、使用情况。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统计局</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w:t>
            </w:r>
          </w:p>
        </w:tc>
        <w:tc>
          <w:tcPr>
            <w:tcW w:w="7695" w:type="dxa"/>
            <w:gridSpan w:val="3"/>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林业局</w:t>
            </w:r>
          </w:p>
        </w:tc>
        <w:tc>
          <w:tcPr>
            <w:tcW w:w="4367" w:type="dxa"/>
            <w:vMerge w:val="restart"/>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机构职能、领导信息、政务动态、政策文件、政策解读、人事信息、规划计划、财政信息、数据发布、重大建设项目批准和实施</w:t>
            </w:r>
          </w:p>
        </w:tc>
        <w:tc>
          <w:tcPr>
            <w:tcW w:w="120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重大建设项目批准和实施</w:t>
            </w:r>
          </w:p>
        </w:tc>
        <w:tc>
          <w:tcPr>
            <w:tcW w:w="75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12</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1.批准服务信息：申报要求、申报材料清单、批准流程、办理时限、受理机构联系方式、监督举报方式等批准服务信息。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2.建设项目报建批准结果信息：建设项目使用林地及在林业部门管理的自然保护区建设审批（核）结果信息，风景名胜区内建设活动审批结果。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3.是否通过设置栏目集中公开以上信息。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6"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自治区地方金融监管局</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w:t>
            </w:r>
          </w:p>
        </w:tc>
        <w:tc>
          <w:tcPr>
            <w:tcW w:w="7695" w:type="dxa"/>
            <w:gridSpan w:val="3"/>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自治区人防边海防办</w:t>
            </w:r>
          </w:p>
        </w:tc>
        <w:tc>
          <w:tcPr>
            <w:tcW w:w="4367" w:type="dxa"/>
            <w:vMerge w:val="restart"/>
            <w:noWrap w:val="0"/>
            <w:vAlign w:val="center"/>
          </w:tcPr>
          <w:p>
            <w:pPr>
              <w:widowControl/>
              <w:spacing w:line="320" w:lineRule="exact"/>
              <w:jc w:val="left"/>
              <w:rPr>
                <w:rFonts w:ascii="Times New Roman Regular" w:hAnsi="Times New Roman Regular" w:eastAsia="仿宋_GB2312" w:cs="Times New Roman Regular"/>
                <w:kern w:val="0"/>
                <w:sz w:val="24"/>
              </w:rPr>
            </w:pPr>
          </w:p>
          <w:p>
            <w:pPr>
              <w:widowControl/>
              <w:spacing w:line="320" w:lineRule="exact"/>
              <w:jc w:val="left"/>
              <w:rPr>
                <w:rFonts w:ascii="Times New Roman Regular" w:hAnsi="Times New Roman Regular" w:eastAsia="仿宋_GB2312" w:cs="Times New Roman Regular"/>
                <w:kern w:val="0"/>
                <w:sz w:val="24"/>
              </w:rPr>
            </w:pPr>
          </w:p>
          <w:p>
            <w:pPr>
              <w:widowControl/>
              <w:spacing w:line="320" w:lineRule="exact"/>
              <w:jc w:val="left"/>
              <w:rPr>
                <w:rFonts w:ascii="Times New Roman Regular" w:hAnsi="Times New Roman Regular" w:eastAsia="仿宋_GB2312" w:cs="Times New Roman Regular"/>
                <w:kern w:val="0"/>
                <w:sz w:val="24"/>
              </w:rPr>
            </w:pPr>
          </w:p>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领导信息、政务动态、政策文件、政策解读、人事信息、数据发布、重大建设项目批准和实施</w:t>
            </w:r>
          </w:p>
        </w:tc>
        <w:tc>
          <w:tcPr>
            <w:tcW w:w="120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重大建设项目批准和实施</w:t>
            </w:r>
          </w:p>
        </w:tc>
        <w:tc>
          <w:tcPr>
            <w:tcW w:w="75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12</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p>
          <w:p>
            <w:pPr>
              <w:widowControl/>
              <w:spacing w:line="320" w:lineRule="exact"/>
              <w:jc w:val="both"/>
              <w:rPr>
                <w:rFonts w:ascii="Times New Roman Regular" w:hAnsi="Times New Roman Regular" w:eastAsia="仿宋_GB2312" w:cs="Times New Roman Regular"/>
                <w:kern w:val="0"/>
                <w:sz w:val="24"/>
              </w:rPr>
            </w:pPr>
          </w:p>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1.批准服务信息：申报要求、申报材料清单、批准流程、办理时限、受理机构联系方式、监督举报方式等批准服务信息。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2.项目报建批准结果信息：应建防空地下室的民用建筑项目报建审批批准结果信息。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3.是否通过设置栏目集中公开以上信息。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乡村振兴局</w:t>
            </w:r>
          </w:p>
        </w:tc>
        <w:tc>
          <w:tcPr>
            <w:tcW w:w="4367" w:type="dxa"/>
            <w:vMerge w:val="restart"/>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机构职能、领导信息、政务动态、政策文件、政策解读、人事信息、规划计划、财政信息、数据发布、社会公益事业建设</w:t>
            </w:r>
          </w:p>
        </w:tc>
        <w:tc>
          <w:tcPr>
            <w:tcW w:w="120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社会公益事业建设</w:t>
            </w:r>
          </w:p>
        </w:tc>
        <w:tc>
          <w:tcPr>
            <w:tcW w:w="75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12</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1.财政专项资金分配情况。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2.外资扶贫项目采购和招投标总体信息。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北部湾办</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w:t>
            </w:r>
          </w:p>
        </w:tc>
        <w:tc>
          <w:tcPr>
            <w:tcW w:w="7695" w:type="dxa"/>
            <w:gridSpan w:val="3"/>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自治区大数据发展局</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w:t>
            </w:r>
          </w:p>
        </w:tc>
        <w:tc>
          <w:tcPr>
            <w:tcW w:w="7695" w:type="dxa"/>
            <w:gridSpan w:val="3"/>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自治区机关事务管理局</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w:t>
            </w:r>
          </w:p>
        </w:tc>
        <w:tc>
          <w:tcPr>
            <w:tcW w:w="7695" w:type="dxa"/>
            <w:gridSpan w:val="3"/>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医保局</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w:t>
            </w:r>
          </w:p>
        </w:tc>
        <w:tc>
          <w:tcPr>
            <w:tcW w:w="7695" w:type="dxa"/>
            <w:gridSpan w:val="3"/>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自治区粮食和储备局</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w:t>
            </w:r>
          </w:p>
        </w:tc>
        <w:tc>
          <w:tcPr>
            <w:tcW w:w="7695" w:type="dxa"/>
            <w:gridSpan w:val="3"/>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监狱管理局</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w:t>
            </w:r>
          </w:p>
        </w:tc>
        <w:tc>
          <w:tcPr>
            <w:tcW w:w="7695" w:type="dxa"/>
            <w:gridSpan w:val="3"/>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海洋局</w:t>
            </w:r>
          </w:p>
        </w:tc>
        <w:tc>
          <w:tcPr>
            <w:tcW w:w="4367" w:type="dxa"/>
            <w:vMerge w:val="restart"/>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机构职能、领导信息、政务动态、政策文件、政策解读、人事信息、规划计划、财政信息、数据发布、重大建设项目批准和实施</w:t>
            </w:r>
          </w:p>
        </w:tc>
        <w:tc>
          <w:tcPr>
            <w:tcW w:w="120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重大建设项目批准和实施</w:t>
            </w:r>
          </w:p>
        </w:tc>
        <w:tc>
          <w:tcPr>
            <w:tcW w:w="75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12</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1.批准服务信息：申报要求、申报材料清单、批准流程、办理时限、受理机构联系方式、监督举报方式等批准服务信息。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2.项目投资批准结果信息：建设项目用海预审意见批准结果信息。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3.项目报建批准结果信息：</w:t>
            </w:r>
            <w:r>
              <w:rPr>
                <w:rFonts w:hint="default" w:ascii="Times New Roman Regular" w:hAnsi="Times New Roman Regular" w:eastAsia="仿宋_GB2312" w:cs="Times New Roman Regular"/>
                <w:color w:val="auto"/>
                <w:kern w:val="0"/>
                <w:sz w:val="24"/>
              </w:rPr>
              <w:t>海域使用权设立审核、无居民海岛开发利用审核、填海项目竣工海域使用验收审批等批准结果信息</w:t>
            </w:r>
            <w:r>
              <w:rPr>
                <w:rFonts w:ascii="Times New Roman Regular" w:hAnsi="Times New Roman Regular" w:eastAsia="仿宋_GB2312" w:cs="Times New Roman Regular"/>
                <w:color w:val="auto"/>
                <w:kern w:val="0"/>
                <w:sz w:val="24"/>
              </w:rPr>
              <w:t>等批准结果信息。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4.是否通过设置栏目集中公开以上信息。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中医药局</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w:t>
            </w:r>
          </w:p>
        </w:tc>
        <w:tc>
          <w:tcPr>
            <w:tcW w:w="7695" w:type="dxa"/>
            <w:gridSpan w:val="3"/>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98"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药监局</w:t>
            </w:r>
          </w:p>
        </w:tc>
        <w:tc>
          <w:tcPr>
            <w:tcW w:w="4367" w:type="dxa"/>
            <w:vMerge w:val="restart"/>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机构职能、领导信息、政务动态、政策文件、政策解读、人事信息、规划计划、财政信息、数据发布、社会公益事业建设</w:t>
            </w:r>
          </w:p>
        </w:tc>
        <w:tc>
          <w:tcPr>
            <w:tcW w:w="120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社会公益事业建设</w:t>
            </w:r>
          </w:p>
        </w:tc>
        <w:tc>
          <w:tcPr>
            <w:tcW w:w="75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12</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1.药品安全标准、药品安全风险警示信息。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2.国家总局监督抽检不合格药品核查处置情况、风险控制情况及自治区查处药品违法案件情况。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3.与食品药品安全相关的监督抽检的总体信息。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投资促进局</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w:t>
            </w:r>
          </w:p>
        </w:tc>
        <w:tc>
          <w:tcPr>
            <w:tcW w:w="7695" w:type="dxa"/>
            <w:gridSpan w:val="3"/>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地矿局</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w:t>
            </w:r>
          </w:p>
        </w:tc>
        <w:tc>
          <w:tcPr>
            <w:tcW w:w="7695" w:type="dxa"/>
            <w:gridSpan w:val="3"/>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自治区公共资源交易中心</w:t>
            </w:r>
          </w:p>
        </w:tc>
        <w:tc>
          <w:tcPr>
            <w:tcW w:w="4367" w:type="dxa"/>
            <w:vMerge w:val="restart"/>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机构职能、领导信息、政务动态、政策文件、政策解读、人事信息、规划计划、财政信息、数据发布、重大建设项目批准和实施、公共资源配置</w:t>
            </w:r>
          </w:p>
        </w:tc>
        <w:tc>
          <w:tcPr>
            <w:tcW w:w="120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重大建设项目批准和实施</w:t>
            </w:r>
          </w:p>
        </w:tc>
        <w:tc>
          <w:tcPr>
            <w:tcW w:w="75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6</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1.招标投标信息：资格预审公告、招标公告、中标候选人公示、中标结果公示等招标投标信息。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2.是否通过设置栏目集中公开以上信息。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公共资源配置</w:t>
            </w:r>
          </w:p>
        </w:tc>
        <w:tc>
          <w:tcPr>
            <w:tcW w:w="750" w:type="dxa"/>
            <w:vMerge w:val="restart"/>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6</w:t>
            </w: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1.矿业权出让领域。主要公开全区探矿权和采矿权的出让公告、成交公示等矿业权出让信息。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2.政府采购领域。主要公开采购项目公告、采购文件、采购项目预算金额、采购结果、采购合同等采购项目信息。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3.国有产权交易领域。除涉及商业秘密外，主要公开进场的国有产权交易项目信息，包括交易公告、转让价格、成交公示、交易价格、相关中介机构评估结果等信息。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4.药品和医疗器械采购领域。药品、医用耗材及检验试剂、非免疫规划疫苗的采购项目公告、采购文件、采购结果等采购信息。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98"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4367"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120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750" w:type="dxa"/>
            <w:vMerge w:val="continue"/>
            <w:noWrap w:val="0"/>
            <w:vAlign w:val="center"/>
          </w:tcPr>
          <w:p>
            <w:pPr>
              <w:widowControl/>
              <w:spacing w:line="320" w:lineRule="exact"/>
              <w:jc w:val="left"/>
              <w:rPr>
                <w:rFonts w:ascii="Times New Roman Regular" w:hAnsi="Times New Roman Regular" w:eastAsia="仿宋_GB2312" w:cs="Times New Roman Regular"/>
                <w:kern w:val="0"/>
                <w:sz w:val="24"/>
              </w:rPr>
            </w:pPr>
          </w:p>
        </w:tc>
        <w:tc>
          <w:tcPr>
            <w:tcW w:w="5745" w:type="dxa"/>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5.工程建设项目招标投标领域：招标公告、中标候选人、中标结果等。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农机中心</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w:t>
            </w:r>
          </w:p>
        </w:tc>
        <w:tc>
          <w:tcPr>
            <w:tcW w:w="7695" w:type="dxa"/>
            <w:gridSpan w:val="3"/>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中国（广西）自由贸易试验区钦州港片区管委会</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w:t>
            </w:r>
          </w:p>
        </w:tc>
        <w:tc>
          <w:tcPr>
            <w:tcW w:w="7695" w:type="dxa"/>
            <w:gridSpan w:val="3"/>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凭祥综合保税区管委会</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w:t>
            </w:r>
          </w:p>
        </w:tc>
        <w:tc>
          <w:tcPr>
            <w:tcW w:w="7695" w:type="dxa"/>
            <w:gridSpan w:val="3"/>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东兴试验区管委会</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w:t>
            </w:r>
          </w:p>
        </w:tc>
        <w:tc>
          <w:tcPr>
            <w:tcW w:w="7695" w:type="dxa"/>
            <w:gridSpan w:val="3"/>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南宁五象新区管委会</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w:t>
            </w:r>
          </w:p>
        </w:tc>
        <w:tc>
          <w:tcPr>
            <w:tcW w:w="7695" w:type="dxa"/>
            <w:gridSpan w:val="3"/>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w:t>
            </w: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供销社</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机构职能、领导信息、政务动态、政策文件、人事信息、政策解读、规划计划、财政信息、数据发布</w:t>
            </w:r>
          </w:p>
        </w:tc>
        <w:tc>
          <w:tcPr>
            <w:tcW w:w="7695" w:type="dxa"/>
            <w:gridSpan w:val="3"/>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不考核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498" w:type="dxa"/>
            <w:noWrap w:val="0"/>
            <w:vAlign w:val="center"/>
          </w:tcPr>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自治区糖业发展办</w:t>
            </w:r>
          </w:p>
        </w:tc>
        <w:tc>
          <w:tcPr>
            <w:tcW w:w="4367" w:type="dxa"/>
            <w:noWrap w:val="0"/>
            <w:vAlign w:val="center"/>
          </w:tcPr>
          <w:p>
            <w:pPr>
              <w:widowControl/>
              <w:spacing w:line="320" w:lineRule="exact"/>
              <w:jc w:val="left"/>
              <w:rPr>
                <w:rFonts w:ascii="Times New Roman Regular" w:hAnsi="Times New Roman Regular" w:eastAsia="仿宋_GB2312" w:cs="Times New Roman Regular"/>
                <w:kern w:val="0"/>
                <w:sz w:val="24"/>
              </w:rPr>
            </w:pPr>
          </w:p>
          <w:p>
            <w:pPr>
              <w:widowControl/>
              <w:spacing w:line="32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机构职能、领导信息、政务动态、政策文件、政策解读、人事信息、规划计划、财政信息、数据发布</w:t>
            </w:r>
          </w:p>
        </w:tc>
        <w:tc>
          <w:tcPr>
            <w:tcW w:w="7695" w:type="dxa"/>
            <w:gridSpan w:val="3"/>
            <w:noWrap w:val="0"/>
            <w:vAlign w:val="center"/>
          </w:tcPr>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p>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不考核</w:t>
            </w:r>
          </w:p>
        </w:tc>
      </w:tr>
    </w:tbl>
    <w:p>
      <w:pPr>
        <w:adjustRightInd w:val="0"/>
        <w:snapToGrid w:val="0"/>
        <w:spacing w:before="405" w:beforeLines="130" w:after="405" w:afterLines="130" w:line="560" w:lineRule="exact"/>
        <w:jc w:val="center"/>
        <w:outlineLvl w:val="0"/>
        <w:rPr>
          <w:rFonts w:ascii="Times New Roman Regular" w:hAnsi="Times New Roman Regular" w:eastAsia="黑体" w:cs="Times New Roman Regular"/>
          <w:snapToGrid w:val="0"/>
          <w:sz w:val="32"/>
          <w:szCs w:val="32"/>
        </w:rPr>
      </w:pPr>
      <w:r>
        <w:rPr>
          <w:rFonts w:ascii="Times New Roman Regular" w:hAnsi="Times New Roman Regular" w:eastAsia="黑体" w:cs="Times New Roman Regular"/>
          <w:snapToGrid w:val="0"/>
          <w:sz w:val="32"/>
          <w:szCs w:val="32"/>
        </w:rPr>
        <w:br w:type="page"/>
      </w:r>
      <w:r>
        <w:rPr>
          <w:rFonts w:ascii="Times New Roman Regular" w:hAnsi="Times New Roman Regular" w:eastAsia="黑体" w:cs="Times New Roman Regular"/>
          <w:snapToGrid w:val="0"/>
          <w:sz w:val="32"/>
          <w:szCs w:val="32"/>
        </w:rPr>
        <w:t>附录2  自治区部门</w:t>
      </w:r>
      <w:r>
        <w:rPr>
          <w:rFonts w:hint="eastAsia" w:ascii="Times New Roman Regular" w:hAnsi="Times New Roman Regular" w:eastAsia="黑体" w:cs="Times New Roman Regular"/>
          <w:snapToGrid w:val="0"/>
          <w:sz w:val="32"/>
          <w:szCs w:val="32"/>
          <w:lang w:val="en-US" w:eastAsia="zh-CN"/>
        </w:rPr>
        <w:t>网站</w:t>
      </w:r>
      <w:r>
        <w:rPr>
          <w:rFonts w:ascii="Times New Roman Regular" w:hAnsi="Times New Roman Regular" w:eastAsia="黑体" w:cs="Times New Roman Regular"/>
          <w:snapToGrid w:val="0"/>
          <w:sz w:val="32"/>
          <w:szCs w:val="32"/>
        </w:rPr>
        <w:t>便民服务事项目录</w:t>
      </w:r>
    </w:p>
    <w:tbl>
      <w:tblPr>
        <w:tblStyle w:val="5"/>
        <w:tblW w:w="13307" w:type="dxa"/>
        <w:jc w:val="center"/>
        <w:tblLayout w:type="autofit"/>
        <w:tblCellMar>
          <w:top w:w="0" w:type="dxa"/>
          <w:left w:w="108" w:type="dxa"/>
          <w:bottom w:w="0" w:type="dxa"/>
          <w:right w:w="108" w:type="dxa"/>
        </w:tblCellMar>
      </w:tblPr>
      <w:tblGrid>
        <w:gridCol w:w="3180"/>
        <w:gridCol w:w="10127"/>
      </w:tblGrid>
      <w:tr>
        <w:tblPrEx>
          <w:tblCellMar>
            <w:top w:w="0" w:type="dxa"/>
            <w:left w:w="108" w:type="dxa"/>
            <w:bottom w:w="0" w:type="dxa"/>
            <w:right w:w="108" w:type="dxa"/>
          </w:tblCellMar>
        </w:tblPrEx>
        <w:trPr>
          <w:trHeight w:val="300" w:hRule="atLeast"/>
          <w:tblHeader/>
          <w:jc w:val="center"/>
        </w:trPr>
        <w:tc>
          <w:tcPr>
            <w:tcW w:w="31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b/>
                <w:bCs/>
                <w:kern w:val="0"/>
                <w:sz w:val="24"/>
              </w:rPr>
            </w:pPr>
            <w:r>
              <w:rPr>
                <w:rFonts w:ascii="Times New Roman Regular" w:hAnsi="Times New Roman Regular" w:eastAsia="仿宋_GB2312" w:cs="Times New Roman Regular"/>
                <w:b/>
                <w:bCs/>
                <w:kern w:val="0"/>
                <w:sz w:val="24"/>
              </w:rPr>
              <w:t>部门</w:t>
            </w:r>
          </w:p>
        </w:tc>
        <w:tc>
          <w:tcPr>
            <w:tcW w:w="10127" w:type="dxa"/>
            <w:tcBorders>
              <w:top w:val="single" w:color="000000" w:sz="8" w:space="0"/>
              <w:left w:val="nil"/>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b/>
                <w:bCs/>
                <w:kern w:val="0"/>
                <w:sz w:val="24"/>
              </w:rPr>
            </w:pPr>
            <w:r>
              <w:rPr>
                <w:rFonts w:ascii="Times New Roman Regular" w:hAnsi="Times New Roman Regular" w:eastAsia="仿宋_GB2312" w:cs="Times New Roman Regular"/>
                <w:b/>
                <w:bCs/>
                <w:kern w:val="0"/>
                <w:sz w:val="24"/>
              </w:rPr>
              <w:t>便民服务事项目录</w:t>
            </w:r>
          </w:p>
        </w:tc>
      </w:tr>
      <w:tr>
        <w:tblPrEx>
          <w:tblCellMar>
            <w:top w:w="0" w:type="dxa"/>
            <w:left w:w="108" w:type="dxa"/>
            <w:bottom w:w="0" w:type="dxa"/>
            <w:right w:w="108" w:type="dxa"/>
          </w:tblCellMar>
        </w:tblPrEx>
        <w:trPr>
          <w:trHeight w:val="239"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自治区发展改革委</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重大建设项目查询、价格行政事业性收费查询服务的整合提供情况。</w:t>
            </w:r>
          </w:p>
        </w:tc>
      </w:tr>
      <w:tr>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自治区教育厅</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高等教育学校查询、招考流程与招生人数、高考报名与志愿填报、特长生招考、考生加分资格认定、职业教育机构查询、继续教育机构查询、特殊教育机构查询等服务的整合提供情况。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自治区科技厅</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科技项目查询、高新技术企业查询、科技企业孵化器查询、高新区查询、高新技术特色产业基地查询、获奖项目查询、科技成果查询等服务的整合提供情况。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自治区工业和信息化厅</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自治区企业技术中心查询、工业园区查询、工业产品价格查询等服务的整合提供情况。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自治区民宗委</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民族用品定点企业查询、民族传统体育项目查询等服务的整合提供情况。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自治区公安厅</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机动车辆违章查询、驾驶员记分查询、保安服务组织查询、交通路况等服务的整合提供情况。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自治区民政厅</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行政区划查询、社会团体查询、民办非企业单位查询、假肢和矫形器（辅助器具）生产装配企业查询、城乡最低生活保障待遇查询、</w:t>
            </w:r>
            <w:r>
              <w:rPr>
                <w:rFonts w:hint="eastAsia" w:ascii="Times New Roman Regular" w:hAnsi="Times New Roman Regular" w:eastAsia="仿宋_GB2312" w:cs="Times New Roman Regular"/>
                <w:kern w:val="0"/>
                <w:sz w:val="24"/>
              </w:rPr>
              <w:t>特困人员救助供养标准查询</w:t>
            </w:r>
            <w:r>
              <w:rPr>
                <w:rFonts w:ascii="Times New Roman Regular" w:hAnsi="Times New Roman Regular" w:eastAsia="仿宋_GB2312" w:cs="Times New Roman Regular"/>
                <w:kern w:val="0"/>
                <w:sz w:val="24"/>
              </w:rPr>
              <w:t>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自治区司法厅</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国家统一法律职业资格考试、律师事务所查询、公证处查询、司法鉴定机构查询、律师查询、公证员查询等服务的整合提供情况。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自治区财政厅</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行政事业性收费清单查询、注册会计师信息查询、政府采购代理机构查询、注册资产评估师信息查询、资产评估机构资格查询等服务提供相应链接情况。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自治区人力资源社会保障厅</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民办职业培训学校查询、职业技能鉴定机构查询、技工学校查询、职业介绍机构查询、专业技术考试成绩查询等服务的提供情况。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自治区自然资源厅</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地质灾害资质单位查询、土地评估机构查询、地质资料查询、地质灾害预警、测绘资质证书查询、标准地图等服务的整合提供情况。</w:t>
            </w:r>
          </w:p>
        </w:tc>
      </w:tr>
      <w:tr>
        <w:tblPrEx>
          <w:tblCellMar>
            <w:top w:w="0" w:type="dxa"/>
            <w:left w:w="108" w:type="dxa"/>
            <w:bottom w:w="0" w:type="dxa"/>
            <w:right w:w="108" w:type="dxa"/>
          </w:tblCellMar>
        </w:tblPrEx>
        <w:trPr>
          <w:trHeight w:val="57"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自治区生态环境厅</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空气质量报告、水环境报告、环境影响评价机构查询、环保达标车型目录查询等服务的整合提供情况。</w:t>
            </w:r>
          </w:p>
        </w:tc>
      </w:tr>
      <w:tr>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自治区住房城乡建设厅</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建设工程施工企业查询、工程勘察单位查询、工程设计单位查询、工程监理单位查询、工程质量检测单位查询、施工图设计文件审查机构查询、工程造价咨询单位查询、二级注册结构工程师查询、二级建造师查询、房地产估价机构查询、城市房地产开发企业查询、物业服务企业查询、燃气经营企业查询、住房公积金查询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自治区交通运输厅</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公路水运工程建设项目招投标信息查询、公路养护工程从业资质查询、内地与港澳普通货物运输企业查询、危险化学品水路运输装卸管理人员资格查询、道路客运班线查询等服务的整合提供情况。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自治区水利厅</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水情查询、水库大坝水闸查询等服务的整合提供情况。</w:t>
            </w:r>
          </w:p>
        </w:tc>
      </w:tr>
      <w:tr>
        <w:tblPrEx>
          <w:tblCellMar>
            <w:top w:w="0" w:type="dxa"/>
            <w:left w:w="108" w:type="dxa"/>
            <w:bottom w:w="0" w:type="dxa"/>
            <w:right w:w="108" w:type="dxa"/>
          </w:tblCellMar>
        </w:tblPrEx>
        <w:trPr>
          <w:trHeight w:val="361"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自治区农业农村厅</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农作物种子生产经营许可证获证企业查询、种子经营许可证获证企业查询、农业转基因生物加工许可证获证企业查询、蚕种生产（经营）许可证获证企业查询、农作物种子和食用菌菌种质量检验机构查询、农作物种子经营许可证获证企业查询、农产品市场行情与供求信息、兽医执业资格查询、饲料和饲料添加剂生产企业查询、水产畜牧产品质量安全检测机构资质查询、种畜禽场名录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自治区商务厅</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拍卖企业查询、报废汽车回收拆解企业查询、国际货物运输代理企业查询、主要生活必需品市场监测数据查询等服务的整合提供情况。</w:t>
            </w:r>
          </w:p>
        </w:tc>
      </w:tr>
      <w:tr>
        <w:tblPrEx>
          <w:tblCellMar>
            <w:top w:w="0" w:type="dxa"/>
            <w:left w:w="108" w:type="dxa"/>
            <w:bottom w:w="0" w:type="dxa"/>
            <w:right w:w="108" w:type="dxa"/>
          </w:tblCellMar>
        </w:tblPrEx>
        <w:trPr>
          <w:trHeight w:val="302"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自治区文化和旅游厅</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非物质文化遗产查询、文物保护工程单位资质查询、公共图书馆查询、文化馆（站）查询、纪念馆查询、博物馆查询、社会艺术水平考级机构查询、互联网文化单位查询、营业性演出经纪机构查询、重点文物保护单位名录、旅游景点景区查询、旅行社名录、星级饭店一览表、导游员个人信息查询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自治区卫生健康委</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医疗机构查询、母婴保健技术服务机构查询、已获批准开展人类辅助生殖技术医疗机构查询、医疗广告审查证明名单查询、血站站点查询、职业病健康检查和诊断机构查询、基本药物目录、执业医师查询、注册护士查询、预防接种单位查询、计划生育相关假期查询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自治区应急厅</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第一类非药品类易制毒化学品生产企业查询、第一类非药品类易制毒化学品经营企业查询、安全生产中介机构（安全评价、安全检测检验机构）资质查询、非煤矿山安全生产许可证获证企业查询、危险化学品安全生产许可证获证企业查询、烟花爆竹安全生产许可证获证企业查询、矿山救护队质量标准化等级查询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自治区审计厅</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审计结果公告、审计专业资格考试、特约审计监督员名单等服务的整合提供情况。</w:t>
            </w:r>
          </w:p>
        </w:tc>
      </w:tr>
      <w:tr>
        <w:tblPrEx>
          <w:tblCellMar>
            <w:top w:w="0" w:type="dxa"/>
            <w:left w:w="108" w:type="dxa"/>
            <w:bottom w:w="0" w:type="dxa"/>
            <w:right w:w="108" w:type="dxa"/>
          </w:tblCellMar>
        </w:tblPrEx>
        <w:trPr>
          <w:trHeight w:val="125"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自治区外事办</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友好城市名录、出入境提醒、外国驻南宁领事机构和商务联络处查询、礼宾礼仪等服务的整合提供情况。</w:t>
            </w:r>
          </w:p>
        </w:tc>
      </w:tr>
      <w:tr>
        <w:tblPrEx>
          <w:tblCellMar>
            <w:top w:w="0" w:type="dxa"/>
            <w:left w:w="108" w:type="dxa"/>
            <w:bottom w:w="0" w:type="dxa"/>
            <w:right w:w="108" w:type="dxa"/>
          </w:tblCellMar>
        </w:tblPrEx>
        <w:trPr>
          <w:trHeight w:val="125"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szCs w:val="22"/>
                <w:lang w:val="en-US" w:eastAsia="zh-CN" w:bidi="ar-SA"/>
              </w:rPr>
            </w:pPr>
            <w:r>
              <w:rPr>
                <w:rFonts w:ascii="Times New Roman Regular" w:hAnsi="Times New Roman Regular" w:eastAsia="仿宋_GB2312" w:cs="Times New Roman Regular"/>
                <w:kern w:val="0"/>
                <w:sz w:val="24"/>
              </w:rPr>
              <w:t>自治区退役军人厅</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szCs w:val="22"/>
                <w:lang w:val="en-US" w:eastAsia="zh-CN" w:bidi="ar-SA"/>
              </w:rPr>
            </w:pPr>
            <w:r>
              <w:rPr>
                <w:rFonts w:ascii="Times New Roman Regular" w:hAnsi="Times New Roman Regular" w:eastAsia="仿宋_GB2312" w:cs="Times New Roman Regular"/>
                <w:kern w:val="0"/>
                <w:sz w:val="24"/>
              </w:rPr>
              <w:t>军转干部安置指南、退役士兵安置指南、优待抚恤标准查询、烈士纪念设施查询等服务的整合提供情况。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自治区国资委</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监管企业名录、国有资产产权交易信息等服务的整合提供情况。</w:t>
            </w:r>
          </w:p>
        </w:tc>
      </w:tr>
      <w:tr>
        <w:tblPrEx>
          <w:tblCellMar>
            <w:top w:w="0" w:type="dxa"/>
            <w:left w:w="108" w:type="dxa"/>
            <w:bottom w:w="0" w:type="dxa"/>
            <w:right w:w="108" w:type="dxa"/>
          </w:tblCellMar>
        </w:tblPrEx>
        <w:trPr>
          <w:trHeight w:val="125"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自治区市场监管局</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企业信用信息查询、名称预查询、企业基本信息查询、驰著名商标、地理标志证明商标查询、</w:t>
            </w:r>
            <w:r>
              <w:rPr>
                <w:rFonts w:hint="eastAsia" w:ascii="Times New Roman Regular" w:hAnsi="Times New Roman Regular" w:eastAsia="仿宋_GB2312" w:cs="Times New Roman Regular"/>
                <w:kern w:val="0"/>
                <w:sz w:val="24"/>
              </w:rPr>
              <w:t>守合同重信用公示企业查询、合同示范文本下载</w:t>
            </w:r>
            <w:r>
              <w:rPr>
                <w:rFonts w:ascii="Times New Roman Regular" w:hAnsi="Times New Roman Regular" w:eastAsia="仿宋_GB2312" w:cs="Times New Roman Regular"/>
                <w:kern w:val="0"/>
                <w:sz w:val="24"/>
              </w:rPr>
              <w:t>、特种设备安装改造维修单位查询、特种设备检验检测机构查询、</w:t>
            </w:r>
            <w:r>
              <w:rPr>
                <w:rFonts w:hint="eastAsia" w:ascii="Times New Roman Regular" w:hAnsi="Times New Roman Regular" w:eastAsia="仿宋_GB2312" w:cs="Times New Roman Regular"/>
                <w:kern w:val="0"/>
                <w:sz w:val="24"/>
              </w:rPr>
              <w:t>计量器具型式批准证书获证企业查询</w:t>
            </w:r>
            <w:r>
              <w:rPr>
                <w:rFonts w:ascii="Times New Roman Regular" w:hAnsi="Times New Roman Regular" w:eastAsia="仿宋_GB2312" w:cs="Times New Roman Regular"/>
                <w:kern w:val="0"/>
                <w:sz w:val="24"/>
              </w:rPr>
              <w:t>、特种设备作业人员信息查询、特种设备检验检测人员信息查询、名牌产品查询、食品生产企业查询、食品经营企业查询、网络食品交易第三方平台提供者查询、通过自建网站交易的食品生产经营者查询、食品小作坊查询、小餐饮查询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自治区广电局</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电视剧制作许可证查询、卫星地面接收设施安装服务机构查询等服务的整合提供情况。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自治区体育局</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体育健身设施查询、运动员技术等级查询、裁判员技术等级查询等服务的整合提供情况。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自治区统计局</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涉外统计调查机构资格查询、统计常识与标准等服务的整合提供情况。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自治区林业局</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地方重点保护野生植物名录、地方陆生野生重点保护动物名录、森林公园查询、林业自然保护区查询等服务的整合提供情况。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自治区地方金融监管局</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小额贷款公司查询、融资性担保机构查询、典当行查询等服务的整合提供情况。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自治区人防边海防办</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防空防灾知识、防空警报等服务的整合提供情况。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自治区乡村振兴局</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自治区巩固拓展脱贫攻坚成果和乡村振兴项目查询服务的整合提供情况。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自治区北部湾办</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广西北部湾经济重大发展战略规划和政策查询的提供情况。</w:t>
            </w:r>
          </w:p>
        </w:tc>
      </w:tr>
      <w:tr>
        <w:tblPrEx>
          <w:tblCellMar>
            <w:top w:w="0" w:type="dxa"/>
            <w:left w:w="108" w:type="dxa"/>
            <w:bottom w:w="0" w:type="dxa"/>
            <w:right w:w="108" w:type="dxa"/>
          </w:tblCellMar>
        </w:tblPrEx>
        <w:trPr>
          <w:trHeight w:val="191"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自治区大数据发展局</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政务数据资源开放目录查询、财政专项资金投资计划查询、全区数字经济运行分析查询等服务的整合提供情况。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自治区机关事务管理局</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自治区机关车辆定点维修点查询、自治区机关车辆定点加油站查询、自治区公共机构能耗统计数据查询等服务的整合提供情况。</w:t>
            </w:r>
          </w:p>
        </w:tc>
      </w:tr>
      <w:tr>
        <w:tblPrEx>
          <w:tblCellMar>
            <w:top w:w="0" w:type="dxa"/>
            <w:left w:w="108" w:type="dxa"/>
            <w:bottom w:w="0" w:type="dxa"/>
            <w:right w:w="108" w:type="dxa"/>
          </w:tblCellMar>
        </w:tblPrEx>
        <w:trPr>
          <w:trHeight w:val="244"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自治区医保局</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医保定点机构查询、医疗服务项目价格查询、医疗服务设施收费查询、定点医药机构服务评价考核信息查询、城乡医疗保障待遇查询等服务的整合提供情况。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自治区粮食和储备局</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粮油市场行情查询、粮食收购资格查询等服务的整合提供情况。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自治区监狱管理局</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监狱查询等服务的整合提供情况。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自治区海洋局</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hint="eastAsia" w:ascii="Times New Roman Regular" w:hAnsi="Times New Roman Regular" w:eastAsia="仿宋_GB2312" w:cs="Times New Roman Regular"/>
                <w:kern w:val="0"/>
                <w:sz w:val="24"/>
              </w:rPr>
              <w:t>海洋预报和海洋预警查询</w:t>
            </w:r>
            <w:r>
              <w:rPr>
                <w:rFonts w:ascii="Times New Roman Regular" w:hAnsi="Times New Roman Regular" w:eastAsia="仿宋_GB2312" w:cs="Times New Roman Regular"/>
                <w:kern w:val="0"/>
                <w:sz w:val="24"/>
              </w:rPr>
              <w:t>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自治区中医药局</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区域中医诊疗中心查询、三级中医医院查询、中医医师信息查询等服务的整合提供情况。</w:t>
            </w:r>
          </w:p>
        </w:tc>
      </w:tr>
      <w:tr>
        <w:tblPrEx>
          <w:tblCellMar>
            <w:top w:w="0" w:type="dxa"/>
            <w:left w:w="108" w:type="dxa"/>
            <w:bottom w:w="0" w:type="dxa"/>
            <w:right w:w="108" w:type="dxa"/>
          </w:tblCellMar>
        </w:tblPrEx>
        <w:trPr>
          <w:trHeight w:val="430"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自治区药监局</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药品生产企业查询、药品经营企业查询、互联网药品交易服务企业查询、执业药师注册查询、药品医疗器械保健食品广告企业查询、化妆品生产企业查询等服务的整合提供情况。</w:t>
            </w:r>
          </w:p>
        </w:tc>
      </w:tr>
      <w:tr>
        <w:tblPrEx>
          <w:tblCellMar>
            <w:top w:w="0" w:type="dxa"/>
            <w:left w:w="108" w:type="dxa"/>
            <w:bottom w:w="0" w:type="dxa"/>
            <w:right w:w="108" w:type="dxa"/>
          </w:tblCellMar>
        </w:tblPrEx>
        <w:trPr>
          <w:trHeight w:val="63"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自治区投资促进局</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招商环境、招商项目库、招商活动等服务的整合提供情况。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自治区地矿局</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地质科普、局属地勘单位资质查询等服务的整合提供情况。</w:t>
            </w:r>
          </w:p>
        </w:tc>
      </w:tr>
      <w:tr>
        <w:tblPrEx>
          <w:tblCellMar>
            <w:top w:w="0" w:type="dxa"/>
            <w:left w:w="108" w:type="dxa"/>
            <w:bottom w:w="0" w:type="dxa"/>
            <w:right w:w="108" w:type="dxa"/>
          </w:tblCellMar>
        </w:tblPrEx>
        <w:trPr>
          <w:trHeight w:val="233"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自治区公共资源交易中心</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交易信息实时播报、交易主体信息查询、信用信息查询、开标计划安排查询、供应商企业登记指南、供应商投标指南等服务的整合提供情况。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自治区农机中心</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农业机械驾驶培训学校（培训班）查询、补贴机具查询、补贴机具补贴额查询等服务的整合提供情况。</w:t>
            </w:r>
          </w:p>
        </w:tc>
      </w:tr>
      <w:tr>
        <w:tblPrEx>
          <w:tblCellMar>
            <w:top w:w="0" w:type="dxa"/>
            <w:left w:w="108" w:type="dxa"/>
            <w:bottom w:w="0" w:type="dxa"/>
            <w:right w:w="108" w:type="dxa"/>
          </w:tblCellMar>
        </w:tblPrEx>
        <w:trPr>
          <w:trHeight w:val="302"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240" w:lineRule="auto"/>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中国（广西）自由贸易试验区钦州港片区管委会</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入区企业查询、投资环境、招商项目等服务的整合提供情况。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凭祥综合保税区管委会</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入区企业查询、投资环境、招商项目等服务的整合提供情况。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东兴试验区管委会</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入区企业查询、投资环境、招商项目等服务的整合提供情况。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南宁五象新区管委会</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hint="eastAsia" w:ascii="Times New Roman Regular" w:hAnsi="Times New Roman Regular" w:eastAsia="仿宋_GB2312" w:cs="Times New Roman Regular"/>
                <w:kern w:val="0"/>
                <w:sz w:val="24"/>
              </w:rPr>
              <w:t>投资环境等服务的整合提供情况。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自治区供销社</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社有企业信息查询、重要农产品购销查询等服务的整合提供情况。</w:t>
            </w:r>
          </w:p>
        </w:tc>
      </w:tr>
      <w:tr>
        <w:tblPrEx>
          <w:tblCellMar>
            <w:top w:w="0" w:type="dxa"/>
            <w:left w:w="108" w:type="dxa"/>
            <w:bottom w:w="0" w:type="dxa"/>
            <w:right w:w="108" w:type="dxa"/>
          </w:tblCellMar>
        </w:tblPrEx>
        <w:trPr>
          <w:trHeight w:val="46" w:hRule="atLeast"/>
          <w:jc w:val="center"/>
        </w:trPr>
        <w:tc>
          <w:tcPr>
            <w:tcW w:w="3180" w:type="dxa"/>
            <w:tcBorders>
              <w:top w:val="nil"/>
              <w:left w:val="single" w:color="000000" w:sz="8" w:space="0"/>
              <w:bottom w:val="single" w:color="000000" w:sz="8" w:space="0"/>
              <w:right w:val="single" w:color="000000" w:sz="8" w:space="0"/>
            </w:tcBorders>
            <w:noWrap w:val="0"/>
            <w:vAlign w:val="center"/>
          </w:tcPr>
          <w:p>
            <w:pPr>
              <w:widowControl/>
              <w:spacing w:line="320" w:lineRule="exact"/>
              <w:jc w:val="center"/>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自治区糖业发展办</w:t>
            </w:r>
          </w:p>
        </w:tc>
        <w:tc>
          <w:tcPr>
            <w:tcW w:w="10127" w:type="dxa"/>
            <w:tcBorders>
              <w:top w:val="nil"/>
              <w:left w:val="nil"/>
              <w:bottom w:val="single" w:color="000000" w:sz="8" w:space="0"/>
              <w:right w:val="single" w:color="000000" w:sz="8" w:space="0"/>
            </w:tcBorders>
            <w:noWrap w:val="0"/>
            <w:vAlign w:val="center"/>
          </w:tcPr>
          <w:p>
            <w:pPr>
              <w:widowControl/>
              <w:spacing w:line="320" w:lineRule="exact"/>
              <w:jc w:val="both"/>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糖业损害预警预测信息、糖料蔗相关补贴政策查询、糖业项目查询等服务的整合提供情况。</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小标宋_GBK">
    <w:altName w:val="微软雅黑"/>
    <w:panose1 w:val="03000509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path/>
              <v:fill on="f" focussize="0,0"/>
              <v:stroke on="f"/>
              <v:imagedata o:title=""/>
              <o:lock v:ext="edit" aspectratio="f"/>
              <v:textbox inset="0mm,0mm,0mm,0mm" style="mso-fit-shape-to-text:t;">
                <w:txbxContent>
                  <w:p>
                    <w:pPr>
                      <w:pStyle w:val="4"/>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v:imagedata o:title=""/>
              <o:lock v:ext="edit" aspectratio="f"/>
              <v:textbox inset="0mm,0mm,0mm,0mm" style="mso-fit-shape-to-text:t;">
                <w:txbxContent>
                  <w:p>
                    <w:pPr>
                      <w:pStyle w:val="4"/>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yYjhhNjYzMGMxNDZmMmU0NWQ3ZjVmNGU3NzNmZjIifQ=="/>
  </w:docVars>
  <w:rsids>
    <w:rsidRoot w:val="22341D25"/>
    <w:rsid w:val="22341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90" w:lineRule="exact"/>
      <w:jc w:val="both"/>
    </w:pPr>
    <w:rPr>
      <w:rFonts w:ascii="Times New Roman" w:hAnsi="Times New Roman" w:eastAsia="仿宋_GB2312" w:cs="Times New Roman"/>
      <w:kern w:val="2"/>
      <w:sz w:val="32"/>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line="240" w:lineRule="auto"/>
    </w:pPr>
    <w:rPr>
      <w:rFonts w:ascii="Calibri" w:hAnsi="Calibri" w:eastAsia="宋体" w:cs="Times New Roman"/>
      <w:sz w:val="21"/>
      <w:szCs w:val="24"/>
    </w:rPr>
  </w:style>
  <w:style w:type="paragraph" w:styleId="3">
    <w:name w:val="Title"/>
    <w:basedOn w:val="1"/>
    <w:next w:val="1"/>
    <w:qFormat/>
    <w:uiPriority w:val="0"/>
    <w:pPr>
      <w:spacing w:line="590" w:lineRule="exact"/>
      <w:jc w:val="center"/>
      <w:outlineLvl w:val="0"/>
    </w:pPr>
    <w:rPr>
      <w:rFonts w:ascii="Cambria" w:hAnsi="Cambria" w:eastAsia="方正黑体_GBK"/>
      <w:sz w:val="32"/>
      <w:szCs w:val="32"/>
    </w:rPr>
  </w:style>
  <w:style w:type="paragraph" w:styleId="4">
    <w:name w:val="footer"/>
    <w:basedOn w:val="1"/>
    <w:qFormat/>
    <w:uiPriority w:val="0"/>
    <w:pPr>
      <w:tabs>
        <w:tab w:val="center" w:pos="4153"/>
        <w:tab w:val="right" w:pos="8306"/>
      </w:tabs>
      <w:snapToGrid w:val="0"/>
      <w:jc w:val="left"/>
    </w:pPr>
    <w:rPr>
      <w:rFonts w:eastAsia="宋体"/>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2023-05-12T01:45:00Z</dcterms:created>
  <dc:creator>≡ω≡</dc:creator>
  <cp:lastModifiedBy>≡ω≡</cp:lastModifiedBy>
  <dcterms:modified xsi:type="dcterms:W3CDTF">2023-05-12T01:46:52Z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0D0863103DCD4158877799F63882D924_11</vt:lpwstr>
  </property>
</Properties>
</file>