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6" w:lineRule="exact"/>
        <w:jc w:val="left"/>
        <w:rPr>
          <w:rFonts w:hint="eastAsia" w:eastAsia="黑体"/>
          <w:szCs w:val="32"/>
        </w:rPr>
      </w:pPr>
      <w:bookmarkStart w:id="0" w:name="_GoBack"/>
      <w:r>
        <w:rPr>
          <w:rFonts w:hint="eastAsia" w:eastAsia="黑体"/>
          <w:szCs w:val="32"/>
        </w:rPr>
        <w:t>附件1</w:t>
      </w:r>
    </w:p>
    <w:p>
      <w:pPr>
        <w:widowControl/>
        <w:adjustRightInd w:val="0"/>
        <w:snapToGrid w:val="0"/>
        <w:rPr>
          <w:rFonts w:eastAsia="黑体"/>
          <w:szCs w:val="32"/>
        </w:rPr>
      </w:pPr>
    </w:p>
    <w:p>
      <w:pPr>
        <w:adjustRightInd w:val="0"/>
        <w:snapToGrid w:val="0"/>
        <w:jc w:val="center"/>
        <w:rPr>
          <w:rFonts w:eastAsia="方正小标宋_GBK"/>
          <w:snapToGrid w:val="0"/>
          <w:spacing w:val="-2"/>
          <w:kern w:val="21"/>
          <w:sz w:val="44"/>
          <w:szCs w:val="44"/>
        </w:rPr>
      </w:pPr>
      <w:r>
        <w:rPr>
          <w:rFonts w:eastAsia="方正小标宋_GBK"/>
          <w:snapToGrid w:val="0"/>
          <w:spacing w:val="-2"/>
          <w:kern w:val="21"/>
          <w:sz w:val="44"/>
          <w:szCs w:val="44"/>
        </w:rPr>
        <w:t>2022年广西政务数据资源管理与应用改革</w:t>
      </w:r>
    </w:p>
    <w:p>
      <w:pPr>
        <w:adjustRightInd w:val="0"/>
        <w:snapToGrid w:val="0"/>
        <w:jc w:val="center"/>
        <w:rPr>
          <w:rFonts w:eastAsia="方正小标宋_GBK"/>
          <w:sz w:val="44"/>
          <w:szCs w:val="44"/>
        </w:rPr>
      </w:pPr>
      <w:r>
        <w:rPr>
          <w:rFonts w:eastAsia="方正小标宋_GBK"/>
          <w:snapToGrid w:val="0"/>
          <w:spacing w:val="-2"/>
          <w:kern w:val="21"/>
          <w:sz w:val="44"/>
          <w:szCs w:val="44"/>
        </w:rPr>
        <w:t>评估对象</w:t>
      </w:r>
      <w:r>
        <w:rPr>
          <w:rFonts w:eastAsia="方正小标宋_GBK"/>
          <w:sz w:val="44"/>
          <w:szCs w:val="44"/>
        </w:rPr>
        <w:t>（自治区）</w:t>
      </w:r>
    </w:p>
    <w:bookmarkEnd w:id="0"/>
    <w:p>
      <w:pPr>
        <w:widowControl/>
        <w:adjustRightInd w:val="0"/>
        <w:snapToGrid w:val="0"/>
        <w:spacing w:line="300" w:lineRule="exact"/>
        <w:ind w:left="684" w:hanging="684" w:hangingChars="380"/>
        <w:jc w:val="left"/>
        <w:rPr>
          <w:rFonts w:eastAsia="黑体"/>
          <w:snapToGrid w:val="0"/>
          <w:sz w:val="18"/>
          <w:szCs w:val="18"/>
        </w:rPr>
      </w:pPr>
    </w:p>
    <w:p>
      <w:pPr>
        <w:widowControl/>
        <w:adjustRightInd w:val="0"/>
        <w:snapToGrid w:val="0"/>
        <w:spacing w:line="280" w:lineRule="exact"/>
        <w:rPr>
          <w:sz w:val="18"/>
          <w:szCs w:val="18"/>
        </w:rPr>
      </w:pPr>
      <w:r>
        <w:rPr>
          <w:rFonts w:eastAsia="黑体"/>
          <w:snapToGrid w:val="0"/>
          <w:sz w:val="18"/>
          <w:szCs w:val="18"/>
        </w:rPr>
        <w:t>说明：</w:t>
      </w:r>
      <w:r>
        <w:rPr>
          <w:sz w:val="18"/>
          <w:szCs w:val="18"/>
        </w:rPr>
        <w:t>政务服务事项和政务服务专业业务办理系统数据来源于广西数字政务一体化平台事项管理系统、桂数广办发〔2021〕3号文件和相关函复。</w:t>
      </w:r>
      <w:r>
        <w:rPr>
          <w:rFonts w:hint="eastAsia"/>
          <w:sz w:val="18"/>
          <w:szCs w:val="18"/>
        </w:rPr>
        <w:t xml:space="preserve">                                                           </w:t>
      </w:r>
    </w:p>
    <w:tbl>
      <w:tblPr>
        <w:tblStyle w:val="3"/>
        <w:tblpPr w:leftFromText="180" w:rightFromText="180" w:vertAnchor="text" w:horzAnchor="page" w:tblpX="1523" w:tblpY="277"/>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40"/>
        <w:gridCol w:w="2620"/>
        <w:gridCol w:w="1040"/>
        <w:gridCol w:w="1040"/>
        <w:gridCol w:w="117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1040" w:type="dxa"/>
            <w:noWrap w:val="0"/>
            <w:vAlign w:val="center"/>
          </w:tcPr>
          <w:p>
            <w:pPr>
              <w:widowControl/>
              <w:spacing w:line="280" w:lineRule="exact"/>
              <w:jc w:val="center"/>
              <w:textAlignment w:val="center"/>
              <w:rPr>
                <w:rFonts w:eastAsia="仿宋"/>
                <w:b/>
                <w:bCs/>
                <w:kern w:val="0"/>
                <w:sz w:val="18"/>
                <w:szCs w:val="18"/>
              </w:rPr>
            </w:pPr>
            <w:r>
              <w:rPr>
                <w:rFonts w:eastAsia="仿宋"/>
                <w:b/>
                <w:bCs/>
                <w:kern w:val="0"/>
                <w:sz w:val="18"/>
                <w:szCs w:val="18"/>
                <w:lang w:bidi="ar"/>
              </w:rPr>
              <w:t>序号</w:t>
            </w:r>
          </w:p>
        </w:tc>
        <w:tc>
          <w:tcPr>
            <w:tcW w:w="1040" w:type="dxa"/>
            <w:noWrap w:val="0"/>
            <w:vAlign w:val="center"/>
          </w:tcPr>
          <w:p>
            <w:pPr>
              <w:widowControl/>
              <w:spacing w:line="280" w:lineRule="exact"/>
              <w:jc w:val="center"/>
              <w:textAlignment w:val="center"/>
              <w:rPr>
                <w:rFonts w:eastAsia="仿宋"/>
                <w:b/>
                <w:bCs/>
                <w:kern w:val="0"/>
                <w:sz w:val="18"/>
                <w:szCs w:val="18"/>
              </w:rPr>
            </w:pPr>
            <w:r>
              <w:rPr>
                <w:rFonts w:eastAsia="仿宋"/>
                <w:b/>
                <w:bCs/>
                <w:kern w:val="0"/>
                <w:sz w:val="18"/>
                <w:szCs w:val="18"/>
                <w:lang w:bidi="ar"/>
              </w:rPr>
              <w:t>类别</w:t>
            </w:r>
          </w:p>
        </w:tc>
        <w:tc>
          <w:tcPr>
            <w:tcW w:w="2620" w:type="dxa"/>
            <w:noWrap w:val="0"/>
            <w:vAlign w:val="center"/>
          </w:tcPr>
          <w:p>
            <w:pPr>
              <w:widowControl/>
              <w:spacing w:line="280" w:lineRule="exact"/>
              <w:jc w:val="center"/>
              <w:textAlignment w:val="center"/>
              <w:rPr>
                <w:rFonts w:eastAsia="仿宋"/>
                <w:b/>
                <w:bCs/>
                <w:kern w:val="0"/>
                <w:sz w:val="18"/>
                <w:szCs w:val="18"/>
              </w:rPr>
            </w:pPr>
            <w:r>
              <w:rPr>
                <w:rFonts w:eastAsia="仿宋"/>
                <w:b/>
                <w:bCs/>
                <w:kern w:val="0"/>
                <w:sz w:val="18"/>
                <w:szCs w:val="18"/>
                <w:lang w:bidi="ar"/>
              </w:rPr>
              <w:t>自治区单位</w:t>
            </w:r>
          </w:p>
        </w:tc>
        <w:tc>
          <w:tcPr>
            <w:tcW w:w="1040" w:type="dxa"/>
            <w:noWrap w:val="0"/>
            <w:vAlign w:val="center"/>
          </w:tcPr>
          <w:p>
            <w:pPr>
              <w:widowControl/>
              <w:spacing w:line="280" w:lineRule="exact"/>
              <w:jc w:val="center"/>
              <w:textAlignment w:val="center"/>
              <w:rPr>
                <w:rFonts w:eastAsia="仿宋"/>
                <w:b/>
                <w:bCs/>
                <w:kern w:val="0"/>
                <w:sz w:val="18"/>
                <w:szCs w:val="18"/>
              </w:rPr>
            </w:pPr>
            <w:r>
              <w:rPr>
                <w:rFonts w:eastAsia="仿宋"/>
                <w:b/>
                <w:bCs/>
                <w:kern w:val="0"/>
                <w:sz w:val="18"/>
                <w:szCs w:val="18"/>
                <w:lang w:bidi="ar"/>
              </w:rPr>
              <w:t>类别</w:t>
            </w:r>
          </w:p>
        </w:tc>
        <w:tc>
          <w:tcPr>
            <w:tcW w:w="1040" w:type="dxa"/>
            <w:noWrap w:val="0"/>
            <w:vAlign w:val="center"/>
          </w:tcPr>
          <w:p>
            <w:pPr>
              <w:widowControl/>
              <w:spacing w:line="280" w:lineRule="exact"/>
              <w:jc w:val="center"/>
              <w:textAlignment w:val="center"/>
              <w:rPr>
                <w:rFonts w:eastAsia="仿宋"/>
                <w:b/>
                <w:bCs/>
                <w:kern w:val="0"/>
                <w:sz w:val="18"/>
                <w:szCs w:val="18"/>
                <w:lang w:bidi="ar"/>
              </w:rPr>
            </w:pPr>
            <w:r>
              <w:rPr>
                <w:rFonts w:eastAsia="仿宋"/>
                <w:b/>
                <w:bCs/>
                <w:kern w:val="0"/>
                <w:sz w:val="18"/>
                <w:szCs w:val="18"/>
                <w:lang w:bidi="ar"/>
              </w:rPr>
              <w:t>政务服务</w:t>
            </w:r>
          </w:p>
          <w:p>
            <w:pPr>
              <w:widowControl/>
              <w:spacing w:line="280" w:lineRule="exact"/>
              <w:jc w:val="center"/>
              <w:textAlignment w:val="center"/>
              <w:rPr>
                <w:rFonts w:hint="eastAsia" w:eastAsia="仿宋"/>
                <w:b/>
                <w:bCs/>
                <w:kern w:val="0"/>
                <w:sz w:val="18"/>
                <w:szCs w:val="18"/>
              </w:rPr>
            </w:pPr>
            <w:r>
              <w:rPr>
                <w:rFonts w:eastAsia="仿宋"/>
                <w:b/>
                <w:bCs/>
                <w:kern w:val="0"/>
                <w:sz w:val="18"/>
                <w:szCs w:val="18"/>
                <w:lang w:bidi="ar"/>
              </w:rPr>
              <w:t>事项数</w:t>
            </w:r>
            <w:r>
              <w:rPr>
                <w:rFonts w:hint="eastAsia" w:eastAsia="仿宋"/>
                <w:b/>
                <w:bCs/>
                <w:kern w:val="0"/>
                <w:sz w:val="18"/>
                <w:szCs w:val="18"/>
                <w:lang w:bidi="ar"/>
              </w:rPr>
              <w:t>（个）</w:t>
            </w:r>
          </w:p>
        </w:tc>
        <w:tc>
          <w:tcPr>
            <w:tcW w:w="1170" w:type="dxa"/>
            <w:noWrap w:val="0"/>
            <w:vAlign w:val="center"/>
          </w:tcPr>
          <w:p>
            <w:pPr>
              <w:widowControl/>
              <w:spacing w:line="280" w:lineRule="exact"/>
              <w:jc w:val="center"/>
              <w:textAlignment w:val="center"/>
              <w:rPr>
                <w:rFonts w:hint="eastAsia" w:eastAsia="仿宋"/>
                <w:b/>
                <w:bCs/>
                <w:kern w:val="0"/>
                <w:sz w:val="18"/>
                <w:szCs w:val="18"/>
              </w:rPr>
            </w:pPr>
            <w:r>
              <w:rPr>
                <w:rFonts w:eastAsia="仿宋"/>
                <w:b/>
                <w:bCs/>
                <w:kern w:val="0"/>
                <w:sz w:val="18"/>
                <w:szCs w:val="18"/>
                <w:lang w:bidi="ar"/>
              </w:rPr>
              <w:t>政务服务专业业务办理系统数</w:t>
            </w:r>
            <w:r>
              <w:rPr>
                <w:rFonts w:hint="eastAsia" w:eastAsia="仿宋"/>
                <w:b/>
                <w:bCs/>
                <w:kern w:val="0"/>
                <w:sz w:val="18"/>
                <w:szCs w:val="18"/>
                <w:lang w:bidi="ar"/>
              </w:rPr>
              <w:t>（个）</w:t>
            </w:r>
          </w:p>
        </w:tc>
        <w:tc>
          <w:tcPr>
            <w:tcW w:w="910" w:type="dxa"/>
            <w:noWrap w:val="0"/>
            <w:vAlign w:val="center"/>
          </w:tcPr>
          <w:p>
            <w:pPr>
              <w:widowControl/>
              <w:spacing w:line="280" w:lineRule="exact"/>
              <w:jc w:val="center"/>
              <w:textAlignment w:val="center"/>
              <w:rPr>
                <w:rFonts w:eastAsia="仿宋"/>
                <w:b/>
                <w:bCs/>
                <w:kern w:val="0"/>
                <w:sz w:val="18"/>
                <w:szCs w:val="18"/>
                <w:lang w:bidi="ar"/>
              </w:rPr>
            </w:pPr>
            <w:r>
              <w:rPr>
                <w:rFonts w:eastAsia="仿宋"/>
                <w:b/>
                <w:bCs/>
                <w:kern w:val="0"/>
                <w:sz w:val="18"/>
                <w:szCs w:val="18"/>
                <w:lang w:bidi="ar"/>
              </w:rPr>
              <w:t>考核</w:t>
            </w:r>
          </w:p>
          <w:p>
            <w:pPr>
              <w:widowControl/>
              <w:spacing w:line="280" w:lineRule="exact"/>
              <w:jc w:val="center"/>
              <w:textAlignment w:val="center"/>
              <w:rPr>
                <w:rFonts w:eastAsia="仿宋"/>
                <w:b/>
                <w:bCs/>
                <w:kern w:val="0"/>
                <w:sz w:val="18"/>
                <w:szCs w:val="18"/>
              </w:rPr>
            </w:pPr>
            <w:r>
              <w:rPr>
                <w:rFonts w:eastAsia="仿宋"/>
                <w:b/>
                <w:bCs/>
                <w:kern w:val="0"/>
                <w:sz w:val="18"/>
                <w:szCs w:val="18"/>
                <w:lang w:bidi="ar"/>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1040" w:type="dxa"/>
            <w:vMerge w:val="restart"/>
            <w:noWrap w:val="0"/>
            <w:vAlign w:val="center"/>
          </w:tcPr>
          <w:p>
            <w:pPr>
              <w:widowControl/>
              <w:spacing w:line="280" w:lineRule="exact"/>
              <w:jc w:val="center"/>
              <w:textAlignment w:val="center"/>
              <w:rPr>
                <w:rFonts w:eastAsia="仿宋"/>
                <w:kern w:val="0"/>
                <w:sz w:val="18"/>
                <w:szCs w:val="18"/>
                <w:lang w:bidi="ar"/>
              </w:rPr>
            </w:pPr>
            <w:r>
              <w:rPr>
                <w:rFonts w:eastAsia="仿宋"/>
                <w:kern w:val="0"/>
                <w:sz w:val="18"/>
                <w:szCs w:val="18"/>
                <w:lang w:bidi="ar"/>
              </w:rPr>
              <w:t>Ⅰ类</w:t>
            </w:r>
          </w:p>
          <w:p>
            <w:pPr>
              <w:widowControl/>
              <w:spacing w:line="280" w:lineRule="exact"/>
              <w:jc w:val="center"/>
              <w:textAlignment w:val="center"/>
              <w:rPr>
                <w:rFonts w:eastAsia="仿宋"/>
                <w:kern w:val="0"/>
                <w:sz w:val="18"/>
                <w:szCs w:val="18"/>
              </w:rPr>
            </w:pPr>
            <w:r>
              <w:rPr>
                <w:rFonts w:eastAsia="仿宋"/>
                <w:kern w:val="0"/>
                <w:sz w:val="18"/>
                <w:szCs w:val="18"/>
                <w:lang w:bidi="ar"/>
              </w:rPr>
              <w:t>（2</w:t>
            </w:r>
            <w:r>
              <w:rPr>
                <w:rFonts w:hint="default" w:eastAsia="仿宋"/>
                <w:kern w:val="0"/>
                <w:sz w:val="18"/>
                <w:szCs w:val="18"/>
                <w:lang w:val="en-US" w:bidi="ar"/>
              </w:rPr>
              <w:t>2</w:t>
            </w:r>
            <w:r>
              <w:rPr>
                <w:rFonts w:eastAsia="仿宋"/>
                <w:kern w:val="0"/>
                <w:sz w:val="18"/>
                <w:szCs w:val="18"/>
                <w:lang w:bidi="ar"/>
              </w:rPr>
              <w:t>个）</w:t>
            </w: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自治区发展改革委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49</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restart"/>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按二、三、四季度考核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自治区教育厅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79</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自治区科技厅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36</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自治区工业和信息化厅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64</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自治区公安厅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自治区民政厅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102</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hint="default" w:eastAsia="仿宋"/>
                <w:kern w:val="0"/>
                <w:sz w:val="18"/>
                <w:szCs w:val="18"/>
                <w:lang w:val="en-US" w:bidi="ar"/>
              </w:rPr>
              <w:t>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自治区财政厅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67</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自治区人力资源社会保障厅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193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自治区自然资源厅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95</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自治区生态环境厅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68</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自治区住房城乡建设厅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437</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自治区交通运输厅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542</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自治区水利厅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161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自治区农业农村厅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274</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自治区商务厅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68</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自治区文化和旅游厅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自治区卫生健康委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152</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自治区应急厅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98</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19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自治区市场监管局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544</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20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自治区林业局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21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自治区医保局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22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自治区药监局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280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23</w:t>
            </w:r>
          </w:p>
        </w:tc>
        <w:tc>
          <w:tcPr>
            <w:tcW w:w="1040" w:type="dxa"/>
            <w:vMerge w:val="restart"/>
            <w:noWrap w:val="0"/>
            <w:vAlign w:val="center"/>
          </w:tcPr>
          <w:p>
            <w:pPr>
              <w:widowControl/>
              <w:spacing w:line="280" w:lineRule="exact"/>
              <w:jc w:val="center"/>
              <w:textAlignment w:val="center"/>
              <w:rPr>
                <w:rFonts w:eastAsia="仿宋"/>
                <w:kern w:val="0"/>
                <w:sz w:val="18"/>
                <w:szCs w:val="18"/>
                <w:lang w:bidi="ar"/>
              </w:rPr>
            </w:pPr>
            <w:r>
              <w:rPr>
                <w:rFonts w:eastAsia="仿宋"/>
                <w:kern w:val="0"/>
                <w:sz w:val="18"/>
                <w:szCs w:val="18"/>
                <w:lang w:bidi="ar"/>
              </w:rPr>
              <w:t>Ⅱ类</w:t>
            </w:r>
          </w:p>
          <w:p>
            <w:pPr>
              <w:widowControl/>
              <w:spacing w:line="280" w:lineRule="exact"/>
              <w:jc w:val="center"/>
              <w:textAlignment w:val="center"/>
              <w:rPr>
                <w:rFonts w:eastAsia="仿宋"/>
                <w:kern w:val="0"/>
                <w:sz w:val="18"/>
                <w:szCs w:val="18"/>
              </w:rPr>
            </w:pPr>
            <w:r>
              <w:rPr>
                <w:rFonts w:eastAsia="仿宋"/>
                <w:kern w:val="0"/>
                <w:sz w:val="18"/>
                <w:szCs w:val="18"/>
                <w:lang w:bidi="ar"/>
              </w:rPr>
              <w:t>（1</w:t>
            </w:r>
            <w:r>
              <w:rPr>
                <w:rFonts w:hint="default" w:eastAsia="仿宋"/>
                <w:kern w:val="0"/>
                <w:sz w:val="18"/>
                <w:szCs w:val="18"/>
                <w:lang w:val="en-US" w:bidi="ar"/>
              </w:rPr>
              <w:t>5</w:t>
            </w:r>
            <w:r>
              <w:rPr>
                <w:rFonts w:eastAsia="仿宋"/>
                <w:kern w:val="0"/>
                <w:sz w:val="18"/>
                <w:szCs w:val="18"/>
                <w:lang w:bidi="ar"/>
              </w:rPr>
              <w:t>个）</w:t>
            </w:r>
          </w:p>
        </w:tc>
        <w:tc>
          <w:tcPr>
            <w:tcW w:w="2620" w:type="dxa"/>
            <w:noWrap w:val="0"/>
            <w:vAlign w:val="center"/>
          </w:tcPr>
          <w:p>
            <w:pPr>
              <w:widowControl/>
              <w:spacing w:line="280" w:lineRule="exact"/>
              <w:jc w:val="left"/>
              <w:textAlignment w:val="center"/>
              <w:rPr>
                <w:rFonts w:eastAsia="仿宋"/>
                <w:kern w:val="0"/>
                <w:sz w:val="18"/>
                <w:szCs w:val="18"/>
                <w:lang w:val="en-US" w:eastAsia="zh-CN" w:bidi="ar-SA"/>
              </w:rPr>
            </w:pPr>
            <w:r>
              <w:rPr>
                <w:rFonts w:eastAsia="仿宋"/>
                <w:kern w:val="0"/>
                <w:sz w:val="18"/>
                <w:szCs w:val="18"/>
                <w:lang w:bidi="ar"/>
              </w:rPr>
              <w:t>自治区司法厅</w:t>
            </w:r>
          </w:p>
        </w:tc>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Ⅰ</w:t>
            </w:r>
          </w:p>
        </w:tc>
        <w:tc>
          <w:tcPr>
            <w:tcW w:w="104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87</w:t>
            </w:r>
          </w:p>
        </w:tc>
        <w:tc>
          <w:tcPr>
            <w:tcW w:w="1170" w:type="dxa"/>
            <w:noWrap w:val="0"/>
            <w:vAlign w:val="center"/>
          </w:tcPr>
          <w:p>
            <w:pPr>
              <w:widowControl/>
              <w:spacing w:line="280" w:lineRule="exact"/>
              <w:jc w:val="center"/>
              <w:textAlignment w:val="center"/>
              <w:rPr>
                <w:rFonts w:eastAsia="仿宋"/>
                <w:kern w:val="0"/>
                <w:sz w:val="18"/>
                <w:szCs w:val="18"/>
                <w:lang w:val="en-US" w:eastAsia="zh-CN" w:bidi="ar-SA"/>
              </w:rPr>
            </w:pPr>
            <w:r>
              <w:rPr>
                <w:rFonts w:eastAsia="仿宋"/>
                <w:kern w:val="0"/>
                <w:sz w:val="18"/>
                <w:szCs w:val="18"/>
                <w:lang w:bidi="ar"/>
              </w:rPr>
              <w:t>0</w:t>
            </w:r>
          </w:p>
        </w:tc>
        <w:tc>
          <w:tcPr>
            <w:tcW w:w="910" w:type="dxa"/>
            <w:vMerge w:val="restart"/>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按二、三、四季度考核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24</w:t>
            </w:r>
          </w:p>
        </w:tc>
        <w:tc>
          <w:tcPr>
            <w:tcW w:w="1040" w:type="dxa"/>
            <w:vMerge w:val="continue"/>
            <w:noWrap w:val="0"/>
            <w:vAlign w:val="center"/>
          </w:tcPr>
          <w:p>
            <w:pPr>
              <w:widowControl/>
              <w:spacing w:line="280" w:lineRule="exact"/>
              <w:jc w:val="center"/>
              <w:textAlignment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自治区广电局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44</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textAlignment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自治区党委宣传部</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68</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自治区党委网信办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自治区党委编办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自治区民宗委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49</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自治区退役军人厅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自治区体育局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自治区统计局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26</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自治区地方金融监管局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自治区人防边海防办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24</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自治区外事办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自治区粮食和储备局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自治区海洋局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25</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自治区糖业发展办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Ⅱ</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38</w:t>
            </w:r>
          </w:p>
        </w:tc>
        <w:tc>
          <w:tcPr>
            <w:tcW w:w="1040" w:type="dxa"/>
            <w:vMerge w:val="restart"/>
            <w:noWrap w:val="0"/>
            <w:vAlign w:val="center"/>
          </w:tcPr>
          <w:p>
            <w:pPr>
              <w:widowControl/>
              <w:spacing w:line="280" w:lineRule="exact"/>
              <w:jc w:val="center"/>
              <w:textAlignment w:val="center"/>
              <w:rPr>
                <w:rFonts w:eastAsia="仿宋"/>
                <w:kern w:val="0"/>
                <w:sz w:val="18"/>
                <w:szCs w:val="18"/>
                <w:lang w:bidi="ar"/>
              </w:rPr>
            </w:pPr>
            <w:r>
              <w:rPr>
                <w:rFonts w:eastAsia="仿宋"/>
                <w:kern w:val="0"/>
                <w:sz w:val="18"/>
                <w:szCs w:val="18"/>
                <w:lang w:bidi="ar"/>
              </w:rPr>
              <w:t>Ⅲ类</w:t>
            </w:r>
          </w:p>
          <w:p>
            <w:pPr>
              <w:widowControl/>
              <w:spacing w:line="280" w:lineRule="exact"/>
              <w:jc w:val="center"/>
              <w:textAlignment w:val="center"/>
              <w:rPr>
                <w:rFonts w:eastAsia="仿宋"/>
                <w:kern w:val="0"/>
                <w:sz w:val="18"/>
                <w:szCs w:val="18"/>
              </w:rPr>
            </w:pPr>
            <w:r>
              <w:rPr>
                <w:rFonts w:eastAsia="仿宋"/>
                <w:kern w:val="0"/>
                <w:sz w:val="18"/>
                <w:szCs w:val="18"/>
                <w:lang w:bidi="ar"/>
              </w:rPr>
              <w:t>（24个）</w:t>
            </w: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自治区残联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restart"/>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按二、三、四季度考核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自治区机关事务管理局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自治区戒毒管理局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自治区科协</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自治区侨联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hint="eastAsia" w:eastAsia="仿宋"/>
                <w:kern w:val="0"/>
                <w:sz w:val="18"/>
                <w:szCs w:val="18"/>
                <w:lang w:bidi="ar"/>
              </w:rPr>
              <w:t>广西壮族自治区生态移民发展中心</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自治区投资促进局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自治区地方志办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自治区监狱管理局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自治区国资委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自治区总工会</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49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自治区妇联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自治区文联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自治区社科联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自治区红十字会</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自治区北部湾办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自治区农科院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自治区地矿局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自治区供销社</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自治区乡村振兴局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自治区审计厅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东兴试验区管委会</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凭祥综合保税区管委会</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自治区招生考试院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Ⅲ</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62</w:t>
            </w:r>
          </w:p>
        </w:tc>
        <w:tc>
          <w:tcPr>
            <w:tcW w:w="1040" w:type="dxa"/>
            <w:vMerge w:val="restart"/>
            <w:noWrap w:val="0"/>
            <w:vAlign w:val="center"/>
          </w:tcPr>
          <w:p>
            <w:pPr>
              <w:widowControl/>
              <w:spacing w:line="280" w:lineRule="exact"/>
              <w:jc w:val="center"/>
              <w:textAlignment w:val="center"/>
              <w:rPr>
                <w:rFonts w:eastAsia="仿宋"/>
                <w:kern w:val="0"/>
                <w:sz w:val="18"/>
                <w:szCs w:val="18"/>
                <w:lang w:bidi="ar"/>
              </w:rPr>
            </w:pPr>
            <w:r>
              <w:rPr>
                <w:rFonts w:eastAsia="仿宋"/>
                <w:kern w:val="0"/>
                <w:sz w:val="18"/>
                <w:szCs w:val="18"/>
                <w:lang w:bidi="ar"/>
              </w:rPr>
              <w:t>Ⅳ类</w:t>
            </w:r>
          </w:p>
          <w:p>
            <w:pPr>
              <w:widowControl/>
              <w:spacing w:line="280" w:lineRule="exact"/>
              <w:jc w:val="center"/>
              <w:textAlignment w:val="center"/>
              <w:rPr>
                <w:rFonts w:eastAsia="仿宋"/>
                <w:kern w:val="0"/>
                <w:sz w:val="18"/>
                <w:szCs w:val="18"/>
              </w:rPr>
            </w:pPr>
            <w:r>
              <w:rPr>
                <w:rFonts w:eastAsia="仿宋"/>
                <w:kern w:val="0"/>
                <w:sz w:val="18"/>
                <w:szCs w:val="18"/>
                <w:lang w:bidi="ar"/>
              </w:rPr>
              <w:t>（17个）</w:t>
            </w: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广西税务局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restart"/>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按二、三、四季度考核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自治区地震局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自治区气象局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广西贸促会</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人民银行南宁中心支行</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56</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广西证监局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自治区通信管理局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69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广西邮政管理局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2</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自治区烟草局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国家矿山安全监察局广西局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广西海事局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广西调查总队</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广西博览局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广西科学院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广西社科院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广西银保监局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南宁海关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Ⅳ</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79</w:t>
            </w:r>
          </w:p>
        </w:tc>
        <w:tc>
          <w:tcPr>
            <w:tcW w:w="1040" w:type="dxa"/>
            <w:vMerge w:val="restart"/>
            <w:noWrap w:val="0"/>
            <w:vAlign w:val="center"/>
          </w:tcPr>
          <w:p>
            <w:pPr>
              <w:widowControl/>
              <w:spacing w:line="280" w:lineRule="exact"/>
              <w:jc w:val="center"/>
              <w:textAlignment w:val="center"/>
              <w:rPr>
                <w:rFonts w:eastAsia="仿宋"/>
                <w:kern w:val="0"/>
                <w:sz w:val="18"/>
                <w:szCs w:val="18"/>
                <w:lang w:bidi="ar"/>
              </w:rPr>
            </w:pPr>
            <w:r>
              <w:rPr>
                <w:rFonts w:eastAsia="仿宋"/>
                <w:kern w:val="0"/>
                <w:sz w:val="18"/>
                <w:szCs w:val="18"/>
                <w:lang w:bidi="ar"/>
              </w:rPr>
              <w:t>Ⅴ类</w:t>
            </w:r>
          </w:p>
          <w:p>
            <w:pPr>
              <w:widowControl/>
              <w:spacing w:line="280" w:lineRule="exact"/>
              <w:jc w:val="center"/>
              <w:textAlignment w:val="center"/>
              <w:rPr>
                <w:rFonts w:eastAsia="仿宋"/>
                <w:kern w:val="0"/>
                <w:sz w:val="18"/>
                <w:szCs w:val="18"/>
              </w:rPr>
            </w:pPr>
            <w:r>
              <w:rPr>
                <w:rFonts w:eastAsia="仿宋"/>
                <w:kern w:val="0"/>
                <w:sz w:val="18"/>
                <w:szCs w:val="18"/>
                <w:lang w:bidi="ar"/>
              </w:rPr>
              <w:t>（34个）</w:t>
            </w: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自治区党委办公厅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restart"/>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按年度考核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自治区人大常委会办公厅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自治区政府办公厅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自治区政协办公厅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自治区纪委监委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自治区党委组织部</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自治区党委统战部</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自治区党委政法委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自治区党委政研室</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自治区党委直属机关工委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89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自治区党校</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自治区老</w:t>
            </w:r>
            <w:r>
              <w:rPr>
                <w:rFonts w:hint="eastAsia" w:eastAsia="仿宋"/>
                <w:kern w:val="0"/>
                <w:sz w:val="18"/>
                <w:szCs w:val="18"/>
                <w:lang w:val="en-US" w:eastAsia="zh-CN" w:bidi="ar"/>
              </w:rPr>
              <w:t>干部</w:t>
            </w:r>
            <w:r>
              <w:rPr>
                <w:rFonts w:eastAsia="仿宋"/>
                <w:kern w:val="0"/>
                <w:sz w:val="18"/>
                <w:szCs w:val="18"/>
                <w:lang w:bidi="ar"/>
              </w:rPr>
              <w:t>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自治区接待办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自治区档案馆</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13</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自治区高级法院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自治区检察院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自治区党史研究室</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广西社会主义学院</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自治区农机中心</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自治区中医药局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99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自治区发展研究中心</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民进广西区委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民建广西区委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民革广西区委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103</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民盟广西区委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104</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农工党广西区委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105</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致公党广西区委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106</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九三学社广西区委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107</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共青团广西区委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108</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自治区工商联</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109</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自治区安全厅</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110</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0"/>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自治区信访局</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111</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ign w:val="center"/>
          </w:tcPr>
          <w:p>
            <w:pPr>
              <w:widowControl/>
              <w:spacing w:line="280" w:lineRule="exact"/>
              <w:jc w:val="left"/>
              <w:textAlignment w:val="center"/>
              <w:rPr>
                <w:rFonts w:eastAsia="仿宋"/>
                <w:kern w:val="0"/>
                <w:sz w:val="18"/>
                <w:szCs w:val="18"/>
              </w:rPr>
            </w:pPr>
            <w:r>
              <w:rPr>
                <w:rFonts w:eastAsia="仿宋"/>
                <w:kern w:val="0"/>
                <w:sz w:val="18"/>
                <w:szCs w:val="18"/>
                <w:lang w:bidi="ar"/>
              </w:rPr>
              <w:t>自治区台办</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112</w:t>
            </w:r>
          </w:p>
        </w:tc>
        <w:tc>
          <w:tcPr>
            <w:tcW w:w="1040" w:type="dxa"/>
            <w:vMerge w:val="continue"/>
            <w:noWrap w:val="0"/>
            <w:vAlign w:val="center"/>
          </w:tcPr>
          <w:p>
            <w:pPr>
              <w:widowControl/>
              <w:spacing w:line="280" w:lineRule="exact"/>
              <w:jc w:val="center"/>
              <w:rPr>
                <w:rFonts w:eastAsia="仿宋"/>
                <w:kern w:val="0"/>
                <w:sz w:val="18"/>
                <w:szCs w:val="18"/>
              </w:rPr>
            </w:pPr>
          </w:p>
        </w:tc>
        <w:tc>
          <w:tcPr>
            <w:tcW w:w="2620" w:type="dxa"/>
            <w:noWrap/>
            <w:vAlign w:val="bottom"/>
          </w:tcPr>
          <w:p>
            <w:pPr>
              <w:widowControl/>
              <w:spacing w:line="280" w:lineRule="exact"/>
              <w:jc w:val="left"/>
              <w:textAlignment w:val="bottom"/>
              <w:rPr>
                <w:rFonts w:eastAsia="仿宋"/>
                <w:kern w:val="0"/>
                <w:sz w:val="18"/>
                <w:szCs w:val="18"/>
              </w:rPr>
            </w:pPr>
            <w:r>
              <w:rPr>
                <w:rFonts w:eastAsia="仿宋"/>
                <w:kern w:val="0"/>
                <w:sz w:val="18"/>
                <w:szCs w:val="18"/>
                <w:lang w:bidi="ar"/>
              </w:rPr>
              <w:t>广西消防救援总队</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Ⅴ</w:t>
            </w:r>
          </w:p>
        </w:tc>
        <w:tc>
          <w:tcPr>
            <w:tcW w:w="104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1170" w:type="dxa"/>
            <w:noWrap w:val="0"/>
            <w:vAlign w:val="center"/>
          </w:tcPr>
          <w:p>
            <w:pPr>
              <w:widowControl/>
              <w:spacing w:line="280" w:lineRule="exact"/>
              <w:jc w:val="center"/>
              <w:textAlignment w:val="center"/>
              <w:rPr>
                <w:rFonts w:eastAsia="仿宋"/>
                <w:kern w:val="0"/>
                <w:sz w:val="18"/>
                <w:szCs w:val="18"/>
              </w:rPr>
            </w:pPr>
            <w:r>
              <w:rPr>
                <w:rFonts w:eastAsia="仿宋"/>
                <w:kern w:val="0"/>
                <w:sz w:val="18"/>
                <w:szCs w:val="18"/>
                <w:lang w:bidi="ar"/>
              </w:rPr>
              <w:t>0</w:t>
            </w:r>
          </w:p>
        </w:tc>
        <w:tc>
          <w:tcPr>
            <w:tcW w:w="910" w:type="dxa"/>
            <w:vMerge w:val="continue"/>
            <w:noWrap w:val="0"/>
            <w:vAlign w:val="center"/>
          </w:tcPr>
          <w:p>
            <w:pPr>
              <w:widowControl/>
              <w:spacing w:line="280" w:lineRule="exact"/>
              <w:jc w:val="center"/>
              <w:rPr>
                <w:rFonts w:eastAsia="仿宋"/>
                <w:kern w:val="0"/>
                <w:sz w:val="18"/>
                <w:szCs w:val="18"/>
              </w:rPr>
            </w:pPr>
          </w:p>
        </w:tc>
      </w:tr>
    </w:tbl>
    <w:p>
      <w:pPr>
        <w:widowControl/>
        <w:adjustRightInd w:val="0"/>
        <w:snapToGrid w:val="0"/>
        <w:spacing w:line="300" w:lineRule="exact"/>
        <w:jc w:val="center"/>
        <w:rPr>
          <w:snapToGrid w:val="0"/>
          <w:sz w:val="18"/>
          <w:szCs w:val="18"/>
        </w:rPr>
      </w:pPr>
      <w:r>
        <w:rPr>
          <w:snapToGrid w:val="0"/>
          <w:sz w:val="18"/>
          <w:szCs w:val="18"/>
        </w:rPr>
        <w:t xml:space="preserve">                                                                         </w:t>
      </w:r>
    </w:p>
    <w:p>
      <w:pPr>
        <w:widowControl/>
        <w:adjustRightInd w:val="0"/>
        <w:snapToGrid w:val="0"/>
        <w:spacing w:line="240" w:lineRule="exact"/>
        <w:jc w:val="left"/>
        <w:rPr>
          <w:rFonts w:eastAsia="宋体"/>
          <w:snapToGrid w:val="0"/>
          <w:sz w:val="18"/>
          <w:szCs w:val="1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BkNmI5M2VkMzVlYzVlOGY5YjljOTYyMWRmZDUifQ=="/>
  </w:docVars>
  <w:rsids>
    <w:rsidRoot w:val="78B835AB"/>
    <w:rsid w:val="13AE2107"/>
    <w:rsid w:val="78B8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2022-06-01T02:12:00Z</dcterms:created>
  <dc:creator>DELL</dc:creator>
  <cp:lastModifiedBy>廖彦仪</cp:lastModifiedBy>
  <dcterms:modified xsi:type="dcterms:W3CDTF">2023-10-08T07:16:36Z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A6119C26946D426F8D703578FE3D92E4_13</vt:lpwstr>
  </property>
</Properties>
</file>