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3224">
      <w:pPr>
        <w:pStyle w:val="3"/>
        <w:spacing w:before="97"/>
        <w:ind w:left="285"/>
      </w:pPr>
      <w:r>
        <w:rPr>
          <w:spacing w:val="-29"/>
        </w:rPr>
        <w:t xml:space="preserve">附件 </w:t>
      </w:r>
      <w:bookmarkStart w:id="0" w:name="审查要点"/>
      <w:bookmarkEnd w:id="0"/>
      <w:r>
        <w:rPr>
          <w:spacing w:val="-10"/>
        </w:rPr>
        <w:t>2</w:t>
      </w:r>
    </w:p>
    <w:p w14:paraId="76FD8776">
      <w:pPr>
        <w:pStyle w:val="2"/>
        <w:spacing w:before="163"/>
        <w:ind w:right="318"/>
      </w:pPr>
      <w:bookmarkStart w:id="1" w:name="自治区各级各部门原则上上再新建和改扩建业务专网，上再单独建设或租用互联网出口，应"/>
      <w:bookmarkEnd w:id="1"/>
      <w:bookmarkStart w:id="2" w:name="（一）自治区各级各部门应当充分利用壮美广西·政务云平台，原则上上再自行新建政务云"/>
      <w:bookmarkEnd w:id="2"/>
      <w:bookmarkStart w:id="3" w:name="政务外网网络"/>
      <w:bookmarkEnd w:id="3"/>
      <w:bookmarkStart w:id="4" w:name="2"/>
      <w:bookmarkEnd w:id="4"/>
      <w:bookmarkStart w:id="34" w:name="_GoBack"/>
      <w:r>
        <w:rPr>
          <w:spacing w:val="-5"/>
        </w:rPr>
        <w:t>自治区政务信息化项目建设内容审查要点</w:t>
      </w:r>
    </w:p>
    <w:bookmarkEnd w:id="34"/>
    <w:p w14:paraId="7C4BDE77">
      <w:pPr>
        <w:spacing w:before="15"/>
        <w:ind w:left="176" w:right="317" w:firstLine="0"/>
        <w:jc w:val="center"/>
        <w:rPr>
          <w:sz w:val="44"/>
        </w:rPr>
      </w:pPr>
      <w:r>
        <w:rPr>
          <w:sz w:val="44"/>
        </w:rPr>
        <mc:AlternateContent>
          <mc:Choice Requires="wps">
            <w:drawing>
              <wp:anchor distT="0" distB="0" distL="0" distR="0" simplePos="0" relativeHeight="251659264" behindDoc="0" locked="0" layoutInCell="1" allowOverlap="1">
                <wp:simplePos x="0" y="0"/>
                <wp:positionH relativeFrom="page">
                  <wp:posOffset>697230</wp:posOffset>
                </wp:positionH>
                <wp:positionV relativeFrom="paragraph">
                  <wp:posOffset>342900</wp:posOffset>
                </wp:positionV>
                <wp:extent cx="6136005" cy="7103110"/>
                <wp:effectExtent l="0" t="0" r="0" b="0"/>
                <wp:wrapNone/>
                <wp:docPr id="7" name="Textbox 7"/>
                <wp:cNvGraphicFramePr/>
                <a:graphic xmlns:a="http://schemas.openxmlformats.org/drawingml/2006/main">
                  <a:graphicData uri="http://schemas.microsoft.com/office/word/2010/wordprocessingShape">
                    <wps:wsp>
                      <wps:cNvSpPr txBox="1"/>
                      <wps:spPr>
                        <a:xfrm>
                          <a:off x="0" y="0"/>
                          <a:ext cx="6136005" cy="7103109"/>
                        </a:xfrm>
                        <a:prstGeom prst="rect">
                          <a:avLst/>
                        </a:prstGeom>
                      </wps:spPr>
                      <wps:txbx>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317"/>
                              <w:gridCol w:w="7455"/>
                            </w:tblGrid>
                            <w:tr w14:paraId="6AF3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shd w:val="clear" w:color="auto" w:fill="DDD9C4"/>
                                </w:tcPr>
                                <w:p w14:paraId="271F2739">
                                  <w:pPr>
                                    <w:pStyle w:val="6"/>
                                    <w:spacing w:before="147"/>
                                    <w:ind w:left="8"/>
                                    <w:jc w:val="center"/>
                                    <w:rPr>
                                      <w:sz w:val="24"/>
                                    </w:rPr>
                                  </w:pPr>
                                  <w:bookmarkStart w:id="30" w:name="（二）政务云平台、云灾备平台应通过网络安全等级保护测评和商用密码应用安全性评估；"/>
                                  <w:bookmarkEnd w:id="30"/>
                                  <w:r>
                                    <w:rPr>
                                      <w:spacing w:val="-5"/>
                                      <w:sz w:val="24"/>
                                    </w:rPr>
                                    <w:t>序号</w:t>
                                  </w:r>
                                </w:p>
                              </w:tc>
                              <w:tc>
                                <w:tcPr>
                                  <w:tcW w:w="1317" w:type="dxa"/>
                                  <w:shd w:val="clear" w:color="auto" w:fill="DDD9C4"/>
                                </w:tcPr>
                                <w:p w14:paraId="79E33FE8">
                                  <w:pPr>
                                    <w:pStyle w:val="6"/>
                                    <w:spacing w:before="147"/>
                                    <w:ind w:left="9"/>
                                    <w:jc w:val="center"/>
                                    <w:rPr>
                                      <w:sz w:val="24"/>
                                    </w:rPr>
                                  </w:pPr>
                                  <w:r>
                                    <w:rPr>
                                      <w:spacing w:val="-3"/>
                                      <w:sz w:val="24"/>
                                    </w:rPr>
                                    <w:t>建设内容</w:t>
                                  </w:r>
                                </w:p>
                              </w:tc>
                              <w:tc>
                                <w:tcPr>
                                  <w:tcW w:w="7455" w:type="dxa"/>
                                  <w:shd w:val="clear" w:color="auto" w:fill="DDD9C4"/>
                                </w:tcPr>
                                <w:p w14:paraId="03825106">
                                  <w:pPr>
                                    <w:pStyle w:val="6"/>
                                    <w:spacing w:before="147"/>
                                    <w:ind w:left="6"/>
                                    <w:jc w:val="center"/>
                                    <w:rPr>
                                      <w:sz w:val="24"/>
                                    </w:rPr>
                                  </w:pPr>
                                  <w:r>
                                    <w:rPr>
                                      <w:spacing w:val="-3"/>
                                      <w:sz w:val="24"/>
                                    </w:rPr>
                                    <w:t>审查要点</w:t>
                                  </w:r>
                                </w:p>
                              </w:tc>
                            </w:tr>
                            <w:tr w14:paraId="0466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761" w:type="dxa"/>
                                </w:tcPr>
                                <w:p w14:paraId="3CCE05E6">
                                  <w:pPr>
                                    <w:pStyle w:val="6"/>
                                    <w:rPr>
                                      <w:sz w:val="24"/>
                                    </w:rPr>
                                  </w:pPr>
                                </w:p>
                                <w:p w14:paraId="49D4802F">
                                  <w:pPr>
                                    <w:pStyle w:val="6"/>
                                    <w:rPr>
                                      <w:sz w:val="24"/>
                                    </w:rPr>
                                  </w:pPr>
                                </w:p>
                                <w:p w14:paraId="7AD5CD2D">
                                  <w:pPr>
                                    <w:pStyle w:val="6"/>
                                    <w:spacing w:before="200"/>
                                    <w:rPr>
                                      <w:sz w:val="24"/>
                                    </w:rPr>
                                  </w:pPr>
                                </w:p>
                                <w:p w14:paraId="22EFC79C">
                                  <w:pPr>
                                    <w:pStyle w:val="6"/>
                                    <w:ind w:left="8"/>
                                    <w:jc w:val="center"/>
                                    <w:rPr>
                                      <w:rFonts w:ascii="Times New Roman"/>
                                      <w:sz w:val="24"/>
                                    </w:rPr>
                                  </w:pPr>
                                  <w:bookmarkStart w:id="31" w:name="数据共享开放"/>
                                  <w:bookmarkEnd w:id="31"/>
                                  <w:bookmarkStart w:id="32" w:name="自治区各部门原则上上得建设独立、跨部门的共享交换平台。自治区各部门各单位非涉密信"/>
                                  <w:bookmarkEnd w:id="32"/>
                                  <w:bookmarkStart w:id="33" w:name="4"/>
                                  <w:bookmarkEnd w:id="33"/>
                                  <w:r>
                                    <w:rPr>
                                      <w:rFonts w:ascii="Times New Roman"/>
                                      <w:spacing w:val="-10"/>
                                      <w:sz w:val="24"/>
                                    </w:rPr>
                                    <w:t>1</w:t>
                                  </w:r>
                                </w:p>
                              </w:tc>
                              <w:tc>
                                <w:tcPr>
                                  <w:tcW w:w="1317" w:type="dxa"/>
                                </w:tcPr>
                                <w:p w14:paraId="4F29717A">
                                  <w:pPr>
                                    <w:pStyle w:val="6"/>
                                    <w:rPr>
                                      <w:sz w:val="24"/>
                                    </w:rPr>
                                  </w:pPr>
                                </w:p>
                                <w:p w14:paraId="1ABBBBE5">
                                  <w:pPr>
                                    <w:pStyle w:val="6"/>
                                    <w:rPr>
                                      <w:sz w:val="24"/>
                                    </w:rPr>
                                  </w:pPr>
                                </w:p>
                                <w:p w14:paraId="319FC3E0">
                                  <w:pPr>
                                    <w:pStyle w:val="6"/>
                                    <w:spacing w:before="181"/>
                                    <w:rPr>
                                      <w:sz w:val="24"/>
                                    </w:rPr>
                                  </w:pPr>
                                </w:p>
                                <w:p w14:paraId="48AB1B7F">
                                  <w:pPr>
                                    <w:pStyle w:val="6"/>
                                    <w:ind w:left="9"/>
                                    <w:jc w:val="center"/>
                                    <w:rPr>
                                      <w:sz w:val="24"/>
                                    </w:rPr>
                                  </w:pPr>
                                  <w:r>
                                    <w:rPr>
                                      <w:spacing w:val="-3"/>
                                      <w:sz w:val="24"/>
                                    </w:rPr>
                                    <w:t>数据中心</w:t>
                                  </w:r>
                                </w:p>
                              </w:tc>
                              <w:tc>
                                <w:tcPr>
                                  <w:tcW w:w="7455" w:type="dxa"/>
                                </w:tcPr>
                                <w:p w14:paraId="78FD7282">
                                  <w:pPr>
                                    <w:pStyle w:val="6"/>
                                    <w:spacing w:before="55" w:line="328" w:lineRule="auto"/>
                                    <w:ind w:left="106" w:right="95" w:firstLine="480"/>
                                    <w:jc w:val="both"/>
                                    <w:rPr>
                                      <w:sz w:val="24"/>
                                    </w:rPr>
                                  </w:pPr>
                                  <w:r>
                                    <w:rPr>
                                      <w:spacing w:val="-2"/>
                                      <w:sz w:val="24"/>
                                    </w:rPr>
                                    <w:t>由自治区大数据发展局按照统筹规划、集约建设原则，统筹存量的数据中心资源，依托壮美广西</w:t>
                                  </w:r>
                                  <w:r>
                                    <w:rPr>
                                      <w:rFonts w:ascii="Times New Roman" w:hAnsi="Times New Roman" w:eastAsia="Times New Roman"/>
                                      <w:spacing w:val="-2"/>
                                      <w:sz w:val="24"/>
                                    </w:rPr>
                                    <w:t>·</w:t>
                                  </w:r>
                                  <w:r>
                                    <w:rPr>
                                      <w:spacing w:val="-2"/>
                                      <w:sz w:val="24"/>
                                    </w:rPr>
                                    <w:t>政务云资源进行增量集约化建设，自治区本级各部门原则上不得再自行建设新的数据中心，不得再改扩建已有的数据中心，不得再租用第三方数据中心，确需新建或改扩建的</w:t>
                                  </w:r>
                                  <w:r>
                                    <w:rPr>
                                      <w:spacing w:val="-1"/>
                                      <w:sz w:val="24"/>
                                    </w:rPr>
                                    <w:t>数据中心应提供充分的政策依据、明确的文件要求以及完整的规划设</w:t>
                                  </w:r>
                                </w:p>
                                <w:p w14:paraId="40C0D463">
                                  <w:pPr>
                                    <w:pStyle w:val="6"/>
                                    <w:spacing w:line="301" w:lineRule="exact"/>
                                    <w:ind w:left="106"/>
                                    <w:rPr>
                                      <w:sz w:val="24"/>
                                    </w:rPr>
                                  </w:pPr>
                                  <w:r>
                                    <w:rPr>
                                      <w:spacing w:val="-3"/>
                                      <w:sz w:val="24"/>
                                    </w:rPr>
                                    <w:t>计方案。</w:t>
                                  </w:r>
                                </w:p>
                              </w:tc>
                            </w:tr>
                            <w:tr w14:paraId="6AAD9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761" w:type="dxa"/>
                                </w:tcPr>
                                <w:p w14:paraId="61CABA26">
                                  <w:pPr>
                                    <w:pStyle w:val="6"/>
                                    <w:rPr>
                                      <w:sz w:val="24"/>
                                    </w:rPr>
                                  </w:pPr>
                                </w:p>
                                <w:p w14:paraId="6C010D8A">
                                  <w:pPr>
                                    <w:pStyle w:val="6"/>
                                    <w:spacing w:before="298"/>
                                    <w:rPr>
                                      <w:sz w:val="24"/>
                                    </w:rPr>
                                  </w:pPr>
                                </w:p>
                                <w:p w14:paraId="4B3F8872">
                                  <w:pPr>
                                    <w:pStyle w:val="6"/>
                                    <w:ind w:left="8"/>
                                    <w:jc w:val="center"/>
                                    <w:rPr>
                                      <w:rFonts w:ascii="Times New Roman"/>
                                      <w:sz w:val="24"/>
                                    </w:rPr>
                                  </w:pPr>
                                  <w:r>
                                    <w:rPr>
                                      <w:rFonts w:ascii="Times New Roman"/>
                                      <w:spacing w:val="-10"/>
                                      <w:sz w:val="24"/>
                                    </w:rPr>
                                    <w:t>2</w:t>
                                  </w:r>
                                </w:p>
                              </w:tc>
                              <w:tc>
                                <w:tcPr>
                                  <w:tcW w:w="1317" w:type="dxa"/>
                                </w:tcPr>
                                <w:p w14:paraId="416758B8">
                                  <w:pPr>
                                    <w:pStyle w:val="6"/>
                                    <w:rPr>
                                      <w:sz w:val="24"/>
                                    </w:rPr>
                                  </w:pPr>
                                </w:p>
                                <w:p w14:paraId="13C0A6E7">
                                  <w:pPr>
                                    <w:pStyle w:val="6"/>
                                    <w:spacing w:before="71"/>
                                    <w:rPr>
                                      <w:sz w:val="24"/>
                                    </w:rPr>
                                  </w:pPr>
                                </w:p>
                                <w:p w14:paraId="779FF879">
                                  <w:pPr>
                                    <w:pStyle w:val="6"/>
                                    <w:spacing w:line="328" w:lineRule="auto"/>
                                    <w:ind w:left="418" w:right="166" w:hanging="240"/>
                                    <w:rPr>
                                      <w:sz w:val="24"/>
                                    </w:rPr>
                                  </w:pPr>
                                  <w:r>
                                    <w:rPr>
                                      <w:spacing w:val="-4"/>
                                      <w:sz w:val="24"/>
                                    </w:rPr>
                                    <w:t>政务外网</w:t>
                                  </w:r>
                                  <w:r>
                                    <w:rPr>
                                      <w:spacing w:val="-6"/>
                                      <w:sz w:val="24"/>
                                    </w:rPr>
                                    <w:t>网络</w:t>
                                  </w:r>
                                </w:p>
                              </w:tc>
                              <w:tc>
                                <w:tcPr>
                                  <w:tcW w:w="7455" w:type="dxa"/>
                                </w:tcPr>
                                <w:p w14:paraId="467A0B90">
                                  <w:pPr>
                                    <w:pStyle w:val="6"/>
                                    <w:spacing w:before="55" w:line="328" w:lineRule="auto"/>
                                    <w:ind w:left="106" w:right="136" w:firstLine="480"/>
                                    <w:jc w:val="both"/>
                                    <w:rPr>
                                      <w:sz w:val="24"/>
                                    </w:rPr>
                                  </w:pPr>
                                  <w:r>
                                    <w:rPr>
                                      <w:spacing w:val="-2"/>
                                      <w:sz w:val="24"/>
                                    </w:rPr>
                                    <w:t>自治区各级各部门原则上不再新建和改扩建业务专网，不再单独建设或租用互联网出口，应充分利用已建的政务外网基础设施和使用本级政务外网统一互联网出口。各级财政部门原则上不再安排新建和</w:t>
                                  </w:r>
                                  <w:r>
                                    <w:rPr>
                                      <w:spacing w:val="-1"/>
                                      <w:sz w:val="24"/>
                                    </w:rPr>
                                    <w:t>改扩建业务专网建设和运行维护经费，不再单独安排互联网出口建设</w:t>
                                  </w:r>
                                </w:p>
                                <w:p w14:paraId="51A810F6">
                                  <w:pPr>
                                    <w:pStyle w:val="6"/>
                                    <w:spacing w:line="302" w:lineRule="exact"/>
                                    <w:ind w:left="106"/>
                                    <w:rPr>
                                      <w:sz w:val="24"/>
                                    </w:rPr>
                                  </w:pPr>
                                  <w:r>
                                    <w:rPr>
                                      <w:spacing w:val="-2"/>
                                      <w:sz w:val="24"/>
                                    </w:rPr>
                                    <w:t>和运行维护经费。</w:t>
                                  </w:r>
                                </w:p>
                              </w:tc>
                            </w:tr>
                            <w:tr w14:paraId="15FC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761" w:type="dxa"/>
                                  <w:vMerge w:val="restart"/>
                                </w:tcPr>
                                <w:p w14:paraId="24D8CAD8">
                                  <w:pPr>
                                    <w:pStyle w:val="6"/>
                                    <w:rPr>
                                      <w:sz w:val="24"/>
                                    </w:rPr>
                                  </w:pPr>
                                </w:p>
                                <w:p w14:paraId="7E780CFD">
                                  <w:pPr>
                                    <w:pStyle w:val="6"/>
                                    <w:rPr>
                                      <w:sz w:val="24"/>
                                    </w:rPr>
                                  </w:pPr>
                                </w:p>
                                <w:p w14:paraId="79D9730B">
                                  <w:pPr>
                                    <w:pStyle w:val="6"/>
                                    <w:rPr>
                                      <w:sz w:val="24"/>
                                    </w:rPr>
                                  </w:pPr>
                                </w:p>
                                <w:p w14:paraId="42D497CE">
                                  <w:pPr>
                                    <w:pStyle w:val="6"/>
                                    <w:rPr>
                                      <w:sz w:val="24"/>
                                    </w:rPr>
                                  </w:pPr>
                                </w:p>
                                <w:p w14:paraId="474D1A4D">
                                  <w:pPr>
                                    <w:pStyle w:val="6"/>
                                    <w:spacing w:before="11"/>
                                    <w:rPr>
                                      <w:sz w:val="24"/>
                                    </w:rPr>
                                  </w:pPr>
                                </w:p>
                                <w:p w14:paraId="251C323F">
                                  <w:pPr>
                                    <w:pStyle w:val="6"/>
                                    <w:ind w:left="8"/>
                                    <w:jc w:val="center"/>
                                    <w:rPr>
                                      <w:rFonts w:ascii="Times New Roman"/>
                                      <w:sz w:val="24"/>
                                    </w:rPr>
                                  </w:pPr>
                                  <w:r>
                                    <w:rPr>
                                      <w:rFonts w:ascii="Times New Roman"/>
                                      <w:spacing w:val="-10"/>
                                      <w:sz w:val="24"/>
                                    </w:rPr>
                                    <w:t>3</w:t>
                                  </w:r>
                                </w:p>
                              </w:tc>
                              <w:tc>
                                <w:tcPr>
                                  <w:tcW w:w="1317" w:type="dxa"/>
                                  <w:vMerge w:val="restart"/>
                                </w:tcPr>
                                <w:p w14:paraId="5AF7B389">
                                  <w:pPr>
                                    <w:pStyle w:val="6"/>
                                    <w:rPr>
                                      <w:sz w:val="24"/>
                                    </w:rPr>
                                  </w:pPr>
                                </w:p>
                                <w:p w14:paraId="651D5D5E">
                                  <w:pPr>
                                    <w:pStyle w:val="6"/>
                                    <w:rPr>
                                      <w:sz w:val="24"/>
                                    </w:rPr>
                                  </w:pPr>
                                </w:p>
                                <w:p w14:paraId="5B3F158C">
                                  <w:pPr>
                                    <w:pStyle w:val="6"/>
                                    <w:rPr>
                                      <w:sz w:val="24"/>
                                    </w:rPr>
                                  </w:pPr>
                                </w:p>
                                <w:p w14:paraId="4B0B0499">
                                  <w:pPr>
                                    <w:pStyle w:val="6"/>
                                    <w:spacing w:before="300"/>
                                    <w:rPr>
                                      <w:sz w:val="24"/>
                                    </w:rPr>
                                  </w:pPr>
                                </w:p>
                                <w:p w14:paraId="525D76F7">
                                  <w:pPr>
                                    <w:pStyle w:val="6"/>
                                    <w:ind w:left="298"/>
                                    <w:rPr>
                                      <w:sz w:val="24"/>
                                    </w:rPr>
                                  </w:pPr>
                                  <w:r>
                                    <w:rPr>
                                      <w:spacing w:val="-4"/>
                                      <w:sz w:val="24"/>
                                    </w:rPr>
                                    <w:t>政务云</w:t>
                                  </w:r>
                                </w:p>
                              </w:tc>
                              <w:tc>
                                <w:tcPr>
                                  <w:tcW w:w="7455" w:type="dxa"/>
                                </w:tcPr>
                                <w:p w14:paraId="43101CD6">
                                  <w:pPr>
                                    <w:pStyle w:val="6"/>
                                    <w:spacing w:before="57" w:line="326" w:lineRule="auto"/>
                                    <w:ind w:left="106" w:right="95" w:firstLine="480"/>
                                    <w:jc w:val="both"/>
                                    <w:rPr>
                                      <w:sz w:val="24"/>
                                    </w:rPr>
                                  </w:pPr>
                                  <w:r>
                                    <w:rPr>
                                      <w:spacing w:val="-2"/>
                                      <w:sz w:val="24"/>
                                    </w:rPr>
                                    <w:t>（一）自治区各级各部门应当充分利用壮美广西</w:t>
                                  </w:r>
                                  <w:r>
                                    <w:rPr>
                                      <w:rFonts w:ascii="Times New Roman" w:hAnsi="Times New Roman" w:eastAsia="Times New Roman"/>
                                      <w:spacing w:val="-2"/>
                                      <w:sz w:val="24"/>
                                    </w:rPr>
                                    <w:t>·</w:t>
                                  </w:r>
                                  <w:r>
                                    <w:rPr>
                                      <w:spacing w:val="-2"/>
                                      <w:sz w:val="24"/>
                                    </w:rPr>
                                    <w:t>政务云平台，原则上不再自行新建政务云平台，已建信息系统应逐步向政务云迁移；全额使用财政资金新建和改扩建信息系统，均应依托壮美广西</w:t>
                                  </w:r>
                                  <w:r>
                                    <w:rPr>
                                      <w:rFonts w:ascii="Times New Roman" w:hAnsi="Times New Roman" w:eastAsia="Times New Roman"/>
                                      <w:spacing w:val="-2"/>
                                      <w:sz w:val="24"/>
                                    </w:rPr>
                                    <w:t>·</w:t>
                                  </w:r>
                                  <w:r>
                                    <w:rPr>
                                      <w:spacing w:val="-2"/>
                                      <w:sz w:val="24"/>
                                    </w:rPr>
                                    <w:t>政务云</w:t>
                                  </w:r>
                                  <w:r>
                                    <w:rPr>
                                      <w:spacing w:val="-1"/>
                                      <w:sz w:val="24"/>
                                    </w:rPr>
                                    <w:t>建设，新建政务信息系统，原则上应申请使用国产环境相关云资源服</w:t>
                                  </w:r>
                                </w:p>
                                <w:p w14:paraId="22997902">
                                  <w:pPr>
                                    <w:pStyle w:val="6"/>
                                    <w:spacing w:before="4"/>
                                    <w:ind w:left="106"/>
                                    <w:rPr>
                                      <w:sz w:val="24"/>
                                    </w:rPr>
                                  </w:pPr>
                                  <w:r>
                                    <w:rPr>
                                      <w:spacing w:val="-1"/>
                                      <w:sz w:val="24"/>
                                    </w:rPr>
                                    <w:t>务，国家相关政策法规明确规定不宜上云的除外。</w:t>
                                  </w:r>
                                </w:p>
                              </w:tc>
                            </w:tr>
                            <w:tr w14:paraId="5D4CD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61" w:type="dxa"/>
                                  <w:vMerge w:val="continue"/>
                                  <w:tcBorders>
                                    <w:top w:val="nil"/>
                                  </w:tcBorders>
                                </w:tcPr>
                                <w:p w14:paraId="51A33F8E">
                                  <w:pPr>
                                    <w:rPr>
                                      <w:sz w:val="2"/>
                                      <w:szCs w:val="2"/>
                                    </w:rPr>
                                  </w:pPr>
                                </w:p>
                              </w:tc>
                              <w:tc>
                                <w:tcPr>
                                  <w:tcW w:w="1317" w:type="dxa"/>
                                  <w:vMerge w:val="continue"/>
                                  <w:tcBorders>
                                    <w:top w:val="nil"/>
                                  </w:tcBorders>
                                </w:tcPr>
                                <w:p w14:paraId="1DCACBFF">
                                  <w:pPr>
                                    <w:rPr>
                                      <w:sz w:val="2"/>
                                      <w:szCs w:val="2"/>
                                    </w:rPr>
                                  </w:pPr>
                                </w:p>
                              </w:tc>
                              <w:tc>
                                <w:tcPr>
                                  <w:tcW w:w="7455" w:type="dxa"/>
                                </w:tcPr>
                                <w:p w14:paraId="28879D02">
                                  <w:pPr>
                                    <w:pStyle w:val="6"/>
                                    <w:spacing w:before="54" w:line="328" w:lineRule="auto"/>
                                    <w:ind w:left="106" w:right="136" w:firstLine="480"/>
                                    <w:rPr>
                                      <w:sz w:val="24"/>
                                    </w:rPr>
                                  </w:pPr>
                                  <w:r>
                                    <w:rPr>
                                      <w:spacing w:val="-2"/>
                                      <w:sz w:val="24"/>
                                    </w:rPr>
                                    <w:t>（二）政务云平台、云灾备平台应通过网络安全等级保护测评和</w:t>
                                  </w:r>
                                  <w:r>
                                    <w:rPr>
                                      <w:spacing w:val="-1"/>
                                      <w:sz w:val="24"/>
                                    </w:rPr>
                                    <w:t>商用密码应用安全性评估；采购使用云计算服务应通过中央网信办云</w:t>
                                  </w:r>
                                </w:p>
                                <w:p w14:paraId="4B271F18">
                                  <w:pPr>
                                    <w:pStyle w:val="6"/>
                                    <w:spacing w:line="305" w:lineRule="exact"/>
                                    <w:ind w:left="106"/>
                                    <w:rPr>
                                      <w:sz w:val="24"/>
                                    </w:rPr>
                                  </w:pPr>
                                  <w:r>
                                    <w:rPr>
                                      <w:spacing w:val="-2"/>
                                      <w:sz w:val="24"/>
                                    </w:rPr>
                                    <w:t>计算服务安全评估。</w:t>
                                  </w:r>
                                </w:p>
                              </w:tc>
                            </w:tr>
                            <w:tr w14:paraId="25A0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761" w:type="dxa"/>
                                </w:tcPr>
                                <w:p w14:paraId="29A957FD">
                                  <w:pPr>
                                    <w:pStyle w:val="6"/>
                                    <w:rPr>
                                      <w:sz w:val="24"/>
                                    </w:rPr>
                                  </w:pPr>
                                </w:p>
                                <w:p w14:paraId="724D81B8">
                                  <w:pPr>
                                    <w:pStyle w:val="6"/>
                                    <w:rPr>
                                      <w:sz w:val="24"/>
                                    </w:rPr>
                                  </w:pPr>
                                </w:p>
                                <w:p w14:paraId="52F72F5F">
                                  <w:pPr>
                                    <w:pStyle w:val="6"/>
                                    <w:spacing w:before="200"/>
                                    <w:rPr>
                                      <w:sz w:val="24"/>
                                    </w:rPr>
                                  </w:pPr>
                                </w:p>
                                <w:p w14:paraId="0253EF8D">
                                  <w:pPr>
                                    <w:pStyle w:val="6"/>
                                    <w:spacing w:before="1"/>
                                    <w:ind w:left="8"/>
                                    <w:jc w:val="center"/>
                                    <w:rPr>
                                      <w:rFonts w:ascii="Times New Roman"/>
                                      <w:sz w:val="24"/>
                                    </w:rPr>
                                  </w:pPr>
                                  <w:r>
                                    <w:rPr>
                                      <w:rFonts w:ascii="Times New Roman"/>
                                      <w:spacing w:val="-10"/>
                                      <w:sz w:val="24"/>
                                    </w:rPr>
                                    <w:t>4</w:t>
                                  </w:r>
                                </w:p>
                              </w:tc>
                              <w:tc>
                                <w:tcPr>
                                  <w:tcW w:w="1317" w:type="dxa"/>
                                </w:tcPr>
                                <w:p w14:paraId="7BC567C7">
                                  <w:pPr>
                                    <w:pStyle w:val="6"/>
                                    <w:rPr>
                                      <w:sz w:val="24"/>
                                    </w:rPr>
                                  </w:pPr>
                                </w:p>
                                <w:p w14:paraId="169F8C3B">
                                  <w:pPr>
                                    <w:pStyle w:val="6"/>
                                    <w:spacing w:before="281"/>
                                    <w:rPr>
                                      <w:sz w:val="24"/>
                                    </w:rPr>
                                  </w:pPr>
                                </w:p>
                                <w:p w14:paraId="4D3154A2">
                                  <w:pPr>
                                    <w:pStyle w:val="6"/>
                                    <w:spacing w:line="328" w:lineRule="auto"/>
                                    <w:ind w:left="418" w:right="166" w:hanging="240"/>
                                    <w:rPr>
                                      <w:sz w:val="24"/>
                                    </w:rPr>
                                  </w:pPr>
                                  <w:r>
                                    <w:rPr>
                                      <w:spacing w:val="-4"/>
                                      <w:sz w:val="24"/>
                                    </w:rPr>
                                    <w:t>数据共享</w:t>
                                  </w:r>
                                  <w:r>
                                    <w:rPr>
                                      <w:spacing w:val="-6"/>
                                      <w:sz w:val="24"/>
                                    </w:rPr>
                                    <w:t>开放</w:t>
                                  </w:r>
                                </w:p>
                              </w:tc>
                              <w:tc>
                                <w:tcPr>
                                  <w:tcW w:w="7455" w:type="dxa"/>
                                </w:tcPr>
                                <w:p w14:paraId="08F8B99F">
                                  <w:pPr>
                                    <w:pStyle w:val="6"/>
                                    <w:spacing w:before="56" w:line="328" w:lineRule="auto"/>
                                    <w:ind w:left="106" w:right="136" w:firstLine="480"/>
                                    <w:jc w:val="both"/>
                                    <w:rPr>
                                      <w:sz w:val="24"/>
                                    </w:rPr>
                                  </w:pPr>
                                  <w:r>
                                    <w:rPr>
                                      <w:spacing w:val="-2"/>
                                      <w:sz w:val="24"/>
                                    </w:rPr>
                                    <w:t>自治区各部门原则上不得建设独立、跨部门的共享交换平台。自治区各部门各单位非涉密信息系统原则上通过自治区共享交换平台与其他部门共享交换政务数据。原有跨部门数据共享交换系统应当接入至统一的自治区共享交换平台，并逐步取消部门间直联方式。对新建</w:t>
                                  </w:r>
                                  <w:r>
                                    <w:rPr>
                                      <w:spacing w:val="-1"/>
                                      <w:sz w:val="24"/>
                                    </w:rPr>
                                    <w:t>的非涉密政务信息化应用系统开发项目，必须同步规划并提供数据资</w:t>
                                  </w:r>
                                </w:p>
                                <w:p w14:paraId="22BEEA0B">
                                  <w:pPr>
                                    <w:pStyle w:val="6"/>
                                    <w:spacing w:line="301" w:lineRule="exact"/>
                                    <w:ind w:left="106"/>
                                    <w:rPr>
                                      <w:sz w:val="24"/>
                                    </w:rPr>
                                  </w:pPr>
                                  <w:r>
                                    <w:rPr>
                                      <w:spacing w:val="-1"/>
                                      <w:sz w:val="24"/>
                                    </w:rPr>
                                    <w:t>源需求清单、数据资源目录及数据资源共享、开放目录。</w:t>
                                  </w:r>
                                </w:p>
                              </w:tc>
                            </w:tr>
                          </w:tbl>
                          <w:p w14:paraId="49ADD38E">
                            <w:pPr>
                              <w:pStyle w:val="3"/>
                            </w:pPr>
                          </w:p>
                        </w:txbxContent>
                      </wps:txbx>
                      <wps:bodyPr wrap="square" lIns="0" tIns="0" rIns="0" bIns="0" rtlCol="0">
                        <a:noAutofit/>
                      </wps:bodyPr>
                    </wps:wsp>
                  </a:graphicData>
                </a:graphic>
              </wp:anchor>
            </w:drawing>
          </mc:Choice>
          <mc:Fallback>
            <w:pict>
              <v:shape id="Textbox 7" o:spid="_x0000_s1026" o:spt="202" type="#_x0000_t202" style="position:absolute;left:0pt;margin-left:54.9pt;margin-top:27pt;height:559.3pt;width:483.15pt;mso-position-horizontal-relative:page;z-index:251659264;mso-width-relative:page;mso-height-relative:page;" filled="f" stroked="f" coordsize="21600,21600" o:gfxdata="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xi/V9oAAAAMAQAADwAAAAAAAAABACAAAAAiAAAAZHJzL2Rvd25yZXYueG1sUEsBAhQAFAAA&#10;AAgAh07iQJYKRZG0AQAAdQMAAA4AAAAAAAAAAQAgAAAAKQEAAGRycy9lMm9Eb2MueG1sUEsFBgAA&#10;AAAGAAYAWQEAAE8FAAAAAA==&#10;">
                <v:fill on="f" focussize="0,0"/>
                <v:stroke on="f"/>
                <v:imagedata o:title=""/>
                <o:lock v:ext="edit" aspectratio="f"/>
                <v:textbox inset="0mm,0mm,0mm,0mm">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317"/>
                        <w:gridCol w:w="7455"/>
                      </w:tblGrid>
                      <w:tr w14:paraId="6AF3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shd w:val="clear" w:color="auto" w:fill="DDD9C4"/>
                          </w:tcPr>
                          <w:p w14:paraId="271F2739">
                            <w:pPr>
                              <w:pStyle w:val="6"/>
                              <w:spacing w:before="147"/>
                              <w:ind w:left="8"/>
                              <w:jc w:val="center"/>
                              <w:rPr>
                                <w:sz w:val="24"/>
                              </w:rPr>
                            </w:pPr>
                            <w:bookmarkStart w:id="30" w:name="（二）政务云平台、云灾备平台应通过网络安全等级保护测评和商用密码应用安全性评估；"/>
                            <w:bookmarkEnd w:id="30"/>
                            <w:r>
                              <w:rPr>
                                <w:spacing w:val="-5"/>
                                <w:sz w:val="24"/>
                              </w:rPr>
                              <w:t>序号</w:t>
                            </w:r>
                          </w:p>
                        </w:tc>
                        <w:tc>
                          <w:tcPr>
                            <w:tcW w:w="1317" w:type="dxa"/>
                            <w:shd w:val="clear" w:color="auto" w:fill="DDD9C4"/>
                          </w:tcPr>
                          <w:p w14:paraId="79E33FE8">
                            <w:pPr>
                              <w:pStyle w:val="6"/>
                              <w:spacing w:before="147"/>
                              <w:ind w:left="9"/>
                              <w:jc w:val="center"/>
                              <w:rPr>
                                <w:sz w:val="24"/>
                              </w:rPr>
                            </w:pPr>
                            <w:r>
                              <w:rPr>
                                <w:spacing w:val="-3"/>
                                <w:sz w:val="24"/>
                              </w:rPr>
                              <w:t>建设内容</w:t>
                            </w:r>
                          </w:p>
                        </w:tc>
                        <w:tc>
                          <w:tcPr>
                            <w:tcW w:w="7455" w:type="dxa"/>
                            <w:shd w:val="clear" w:color="auto" w:fill="DDD9C4"/>
                          </w:tcPr>
                          <w:p w14:paraId="03825106">
                            <w:pPr>
                              <w:pStyle w:val="6"/>
                              <w:spacing w:before="147"/>
                              <w:ind w:left="6"/>
                              <w:jc w:val="center"/>
                              <w:rPr>
                                <w:sz w:val="24"/>
                              </w:rPr>
                            </w:pPr>
                            <w:r>
                              <w:rPr>
                                <w:spacing w:val="-3"/>
                                <w:sz w:val="24"/>
                              </w:rPr>
                              <w:t>审查要点</w:t>
                            </w:r>
                          </w:p>
                        </w:tc>
                      </w:tr>
                      <w:tr w14:paraId="0466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761" w:type="dxa"/>
                          </w:tcPr>
                          <w:p w14:paraId="3CCE05E6">
                            <w:pPr>
                              <w:pStyle w:val="6"/>
                              <w:rPr>
                                <w:sz w:val="24"/>
                              </w:rPr>
                            </w:pPr>
                          </w:p>
                          <w:p w14:paraId="49D4802F">
                            <w:pPr>
                              <w:pStyle w:val="6"/>
                              <w:rPr>
                                <w:sz w:val="24"/>
                              </w:rPr>
                            </w:pPr>
                          </w:p>
                          <w:p w14:paraId="7AD5CD2D">
                            <w:pPr>
                              <w:pStyle w:val="6"/>
                              <w:spacing w:before="200"/>
                              <w:rPr>
                                <w:sz w:val="24"/>
                              </w:rPr>
                            </w:pPr>
                          </w:p>
                          <w:p w14:paraId="22EFC79C">
                            <w:pPr>
                              <w:pStyle w:val="6"/>
                              <w:ind w:left="8"/>
                              <w:jc w:val="center"/>
                              <w:rPr>
                                <w:rFonts w:ascii="Times New Roman"/>
                                <w:sz w:val="24"/>
                              </w:rPr>
                            </w:pPr>
                            <w:bookmarkStart w:id="31" w:name="数据共享开放"/>
                            <w:bookmarkEnd w:id="31"/>
                            <w:bookmarkStart w:id="32" w:name="自治区各部门原则上上得建设独立、跨部门的共享交换平台。自治区各部门各单位非涉密信"/>
                            <w:bookmarkEnd w:id="32"/>
                            <w:bookmarkStart w:id="33" w:name="4"/>
                            <w:bookmarkEnd w:id="33"/>
                            <w:r>
                              <w:rPr>
                                <w:rFonts w:ascii="Times New Roman"/>
                                <w:spacing w:val="-10"/>
                                <w:sz w:val="24"/>
                              </w:rPr>
                              <w:t>1</w:t>
                            </w:r>
                          </w:p>
                        </w:tc>
                        <w:tc>
                          <w:tcPr>
                            <w:tcW w:w="1317" w:type="dxa"/>
                          </w:tcPr>
                          <w:p w14:paraId="4F29717A">
                            <w:pPr>
                              <w:pStyle w:val="6"/>
                              <w:rPr>
                                <w:sz w:val="24"/>
                              </w:rPr>
                            </w:pPr>
                          </w:p>
                          <w:p w14:paraId="1ABBBBE5">
                            <w:pPr>
                              <w:pStyle w:val="6"/>
                              <w:rPr>
                                <w:sz w:val="24"/>
                              </w:rPr>
                            </w:pPr>
                          </w:p>
                          <w:p w14:paraId="319FC3E0">
                            <w:pPr>
                              <w:pStyle w:val="6"/>
                              <w:spacing w:before="181"/>
                              <w:rPr>
                                <w:sz w:val="24"/>
                              </w:rPr>
                            </w:pPr>
                          </w:p>
                          <w:p w14:paraId="48AB1B7F">
                            <w:pPr>
                              <w:pStyle w:val="6"/>
                              <w:ind w:left="9"/>
                              <w:jc w:val="center"/>
                              <w:rPr>
                                <w:sz w:val="24"/>
                              </w:rPr>
                            </w:pPr>
                            <w:r>
                              <w:rPr>
                                <w:spacing w:val="-3"/>
                                <w:sz w:val="24"/>
                              </w:rPr>
                              <w:t>数据中心</w:t>
                            </w:r>
                          </w:p>
                        </w:tc>
                        <w:tc>
                          <w:tcPr>
                            <w:tcW w:w="7455" w:type="dxa"/>
                          </w:tcPr>
                          <w:p w14:paraId="78FD7282">
                            <w:pPr>
                              <w:pStyle w:val="6"/>
                              <w:spacing w:before="55" w:line="328" w:lineRule="auto"/>
                              <w:ind w:left="106" w:right="95" w:firstLine="480"/>
                              <w:jc w:val="both"/>
                              <w:rPr>
                                <w:sz w:val="24"/>
                              </w:rPr>
                            </w:pPr>
                            <w:r>
                              <w:rPr>
                                <w:spacing w:val="-2"/>
                                <w:sz w:val="24"/>
                              </w:rPr>
                              <w:t>由自治区大数据发展局按照统筹规划、集约建设原则，统筹存量的数据中心资源，依托壮美广西</w:t>
                            </w:r>
                            <w:r>
                              <w:rPr>
                                <w:rFonts w:ascii="Times New Roman" w:hAnsi="Times New Roman" w:eastAsia="Times New Roman"/>
                                <w:spacing w:val="-2"/>
                                <w:sz w:val="24"/>
                              </w:rPr>
                              <w:t>·</w:t>
                            </w:r>
                            <w:r>
                              <w:rPr>
                                <w:spacing w:val="-2"/>
                                <w:sz w:val="24"/>
                              </w:rPr>
                              <w:t>政务云资源进行增量集约化建设，自治区本级各部门原则上不得再自行建设新的数据中心，不得再改扩建已有的数据中心，不得再租用第三方数据中心，确需新建或改扩建的</w:t>
                            </w:r>
                            <w:r>
                              <w:rPr>
                                <w:spacing w:val="-1"/>
                                <w:sz w:val="24"/>
                              </w:rPr>
                              <w:t>数据中心应提供充分的政策依据、明确的文件要求以及完整的规划设</w:t>
                            </w:r>
                          </w:p>
                          <w:p w14:paraId="40C0D463">
                            <w:pPr>
                              <w:pStyle w:val="6"/>
                              <w:spacing w:line="301" w:lineRule="exact"/>
                              <w:ind w:left="106"/>
                              <w:rPr>
                                <w:sz w:val="24"/>
                              </w:rPr>
                            </w:pPr>
                            <w:r>
                              <w:rPr>
                                <w:spacing w:val="-3"/>
                                <w:sz w:val="24"/>
                              </w:rPr>
                              <w:t>计方案。</w:t>
                            </w:r>
                          </w:p>
                        </w:tc>
                      </w:tr>
                      <w:tr w14:paraId="6AAD9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761" w:type="dxa"/>
                          </w:tcPr>
                          <w:p w14:paraId="61CABA26">
                            <w:pPr>
                              <w:pStyle w:val="6"/>
                              <w:rPr>
                                <w:sz w:val="24"/>
                              </w:rPr>
                            </w:pPr>
                          </w:p>
                          <w:p w14:paraId="6C010D8A">
                            <w:pPr>
                              <w:pStyle w:val="6"/>
                              <w:spacing w:before="298"/>
                              <w:rPr>
                                <w:sz w:val="24"/>
                              </w:rPr>
                            </w:pPr>
                          </w:p>
                          <w:p w14:paraId="4B3F8872">
                            <w:pPr>
                              <w:pStyle w:val="6"/>
                              <w:ind w:left="8"/>
                              <w:jc w:val="center"/>
                              <w:rPr>
                                <w:rFonts w:ascii="Times New Roman"/>
                                <w:sz w:val="24"/>
                              </w:rPr>
                            </w:pPr>
                            <w:r>
                              <w:rPr>
                                <w:rFonts w:ascii="Times New Roman"/>
                                <w:spacing w:val="-10"/>
                                <w:sz w:val="24"/>
                              </w:rPr>
                              <w:t>2</w:t>
                            </w:r>
                          </w:p>
                        </w:tc>
                        <w:tc>
                          <w:tcPr>
                            <w:tcW w:w="1317" w:type="dxa"/>
                          </w:tcPr>
                          <w:p w14:paraId="416758B8">
                            <w:pPr>
                              <w:pStyle w:val="6"/>
                              <w:rPr>
                                <w:sz w:val="24"/>
                              </w:rPr>
                            </w:pPr>
                          </w:p>
                          <w:p w14:paraId="13C0A6E7">
                            <w:pPr>
                              <w:pStyle w:val="6"/>
                              <w:spacing w:before="71"/>
                              <w:rPr>
                                <w:sz w:val="24"/>
                              </w:rPr>
                            </w:pPr>
                          </w:p>
                          <w:p w14:paraId="779FF879">
                            <w:pPr>
                              <w:pStyle w:val="6"/>
                              <w:spacing w:line="328" w:lineRule="auto"/>
                              <w:ind w:left="418" w:right="166" w:hanging="240"/>
                              <w:rPr>
                                <w:sz w:val="24"/>
                              </w:rPr>
                            </w:pPr>
                            <w:r>
                              <w:rPr>
                                <w:spacing w:val="-4"/>
                                <w:sz w:val="24"/>
                              </w:rPr>
                              <w:t>政务外网</w:t>
                            </w:r>
                            <w:r>
                              <w:rPr>
                                <w:spacing w:val="-6"/>
                                <w:sz w:val="24"/>
                              </w:rPr>
                              <w:t>网络</w:t>
                            </w:r>
                          </w:p>
                        </w:tc>
                        <w:tc>
                          <w:tcPr>
                            <w:tcW w:w="7455" w:type="dxa"/>
                          </w:tcPr>
                          <w:p w14:paraId="467A0B90">
                            <w:pPr>
                              <w:pStyle w:val="6"/>
                              <w:spacing w:before="55" w:line="328" w:lineRule="auto"/>
                              <w:ind w:left="106" w:right="136" w:firstLine="480"/>
                              <w:jc w:val="both"/>
                              <w:rPr>
                                <w:sz w:val="24"/>
                              </w:rPr>
                            </w:pPr>
                            <w:r>
                              <w:rPr>
                                <w:spacing w:val="-2"/>
                                <w:sz w:val="24"/>
                              </w:rPr>
                              <w:t>自治区各级各部门原则上不再新建和改扩建业务专网，不再单独建设或租用互联网出口，应充分利用已建的政务外网基础设施和使用本级政务外网统一互联网出口。各级财政部门原则上不再安排新建和</w:t>
                            </w:r>
                            <w:r>
                              <w:rPr>
                                <w:spacing w:val="-1"/>
                                <w:sz w:val="24"/>
                              </w:rPr>
                              <w:t>改扩建业务专网建设和运行维护经费，不再单独安排互联网出口建设</w:t>
                            </w:r>
                          </w:p>
                          <w:p w14:paraId="51A810F6">
                            <w:pPr>
                              <w:pStyle w:val="6"/>
                              <w:spacing w:line="302" w:lineRule="exact"/>
                              <w:ind w:left="106"/>
                              <w:rPr>
                                <w:sz w:val="24"/>
                              </w:rPr>
                            </w:pPr>
                            <w:r>
                              <w:rPr>
                                <w:spacing w:val="-2"/>
                                <w:sz w:val="24"/>
                              </w:rPr>
                              <w:t>和运行维护经费。</w:t>
                            </w:r>
                          </w:p>
                        </w:tc>
                      </w:tr>
                      <w:tr w14:paraId="15FC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761" w:type="dxa"/>
                            <w:vMerge w:val="restart"/>
                          </w:tcPr>
                          <w:p w14:paraId="24D8CAD8">
                            <w:pPr>
                              <w:pStyle w:val="6"/>
                              <w:rPr>
                                <w:sz w:val="24"/>
                              </w:rPr>
                            </w:pPr>
                          </w:p>
                          <w:p w14:paraId="7E780CFD">
                            <w:pPr>
                              <w:pStyle w:val="6"/>
                              <w:rPr>
                                <w:sz w:val="24"/>
                              </w:rPr>
                            </w:pPr>
                          </w:p>
                          <w:p w14:paraId="79D9730B">
                            <w:pPr>
                              <w:pStyle w:val="6"/>
                              <w:rPr>
                                <w:sz w:val="24"/>
                              </w:rPr>
                            </w:pPr>
                          </w:p>
                          <w:p w14:paraId="42D497CE">
                            <w:pPr>
                              <w:pStyle w:val="6"/>
                              <w:rPr>
                                <w:sz w:val="24"/>
                              </w:rPr>
                            </w:pPr>
                          </w:p>
                          <w:p w14:paraId="474D1A4D">
                            <w:pPr>
                              <w:pStyle w:val="6"/>
                              <w:spacing w:before="11"/>
                              <w:rPr>
                                <w:sz w:val="24"/>
                              </w:rPr>
                            </w:pPr>
                          </w:p>
                          <w:p w14:paraId="251C323F">
                            <w:pPr>
                              <w:pStyle w:val="6"/>
                              <w:ind w:left="8"/>
                              <w:jc w:val="center"/>
                              <w:rPr>
                                <w:rFonts w:ascii="Times New Roman"/>
                                <w:sz w:val="24"/>
                              </w:rPr>
                            </w:pPr>
                            <w:r>
                              <w:rPr>
                                <w:rFonts w:ascii="Times New Roman"/>
                                <w:spacing w:val="-10"/>
                                <w:sz w:val="24"/>
                              </w:rPr>
                              <w:t>3</w:t>
                            </w:r>
                          </w:p>
                        </w:tc>
                        <w:tc>
                          <w:tcPr>
                            <w:tcW w:w="1317" w:type="dxa"/>
                            <w:vMerge w:val="restart"/>
                          </w:tcPr>
                          <w:p w14:paraId="5AF7B389">
                            <w:pPr>
                              <w:pStyle w:val="6"/>
                              <w:rPr>
                                <w:sz w:val="24"/>
                              </w:rPr>
                            </w:pPr>
                          </w:p>
                          <w:p w14:paraId="651D5D5E">
                            <w:pPr>
                              <w:pStyle w:val="6"/>
                              <w:rPr>
                                <w:sz w:val="24"/>
                              </w:rPr>
                            </w:pPr>
                          </w:p>
                          <w:p w14:paraId="5B3F158C">
                            <w:pPr>
                              <w:pStyle w:val="6"/>
                              <w:rPr>
                                <w:sz w:val="24"/>
                              </w:rPr>
                            </w:pPr>
                          </w:p>
                          <w:p w14:paraId="4B0B0499">
                            <w:pPr>
                              <w:pStyle w:val="6"/>
                              <w:spacing w:before="300"/>
                              <w:rPr>
                                <w:sz w:val="24"/>
                              </w:rPr>
                            </w:pPr>
                          </w:p>
                          <w:p w14:paraId="525D76F7">
                            <w:pPr>
                              <w:pStyle w:val="6"/>
                              <w:ind w:left="298"/>
                              <w:rPr>
                                <w:sz w:val="24"/>
                              </w:rPr>
                            </w:pPr>
                            <w:r>
                              <w:rPr>
                                <w:spacing w:val="-4"/>
                                <w:sz w:val="24"/>
                              </w:rPr>
                              <w:t>政务云</w:t>
                            </w:r>
                          </w:p>
                        </w:tc>
                        <w:tc>
                          <w:tcPr>
                            <w:tcW w:w="7455" w:type="dxa"/>
                          </w:tcPr>
                          <w:p w14:paraId="43101CD6">
                            <w:pPr>
                              <w:pStyle w:val="6"/>
                              <w:spacing w:before="57" w:line="326" w:lineRule="auto"/>
                              <w:ind w:left="106" w:right="95" w:firstLine="480"/>
                              <w:jc w:val="both"/>
                              <w:rPr>
                                <w:sz w:val="24"/>
                              </w:rPr>
                            </w:pPr>
                            <w:r>
                              <w:rPr>
                                <w:spacing w:val="-2"/>
                                <w:sz w:val="24"/>
                              </w:rPr>
                              <w:t>（一）自治区各级各部门应当充分利用壮美广西</w:t>
                            </w:r>
                            <w:r>
                              <w:rPr>
                                <w:rFonts w:ascii="Times New Roman" w:hAnsi="Times New Roman" w:eastAsia="Times New Roman"/>
                                <w:spacing w:val="-2"/>
                                <w:sz w:val="24"/>
                              </w:rPr>
                              <w:t>·</w:t>
                            </w:r>
                            <w:r>
                              <w:rPr>
                                <w:spacing w:val="-2"/>
                                <w:sz w:val="24"/>
                              </w:rPr>
                              <w:t>政务云平台，原则上不再自行新建政务云平台，已建信息系统应逐步向政务云迁移；全额使用财政资金新建和改扩建信息系统，均应依托壮美广西</w:t>
                            </w:r>
                            <w:r>
                              <w:rPr>
                                <w:rFonts w:ascii="Times New Roman" w:hAnsi="Times New Roman" w:eastAsia="Times New Roman"/>
                                <w:spacing w:val="-2"/>
                                <w:sz w:val="24"/>
                              </w:rPr>
                              <w:t>·</w:t>
                            </w:r>
                            <w:r>
                              <w:rPr>
                                <w:spacing w:val="-2"/>
                                <w:sz w:val="24"/>
                              </w:rPr>
                              <w:t>政务云</w:t>
                            </w:r>
                            <w:r>
                              <w:rPr>
                                <w:spacing w:val="-1"/>
                                <w:sz w:val="24"/>
                              </w:rPr>
                              <w:t>建设，新建政务信息系统，原则上应申请使用国产环境相关云资源服</w:t>
                            </w:r>
                          </w:p>
                          <w:p w14:paraId="22997902">
                            <w:pPr>
                              <w:pStyle w:val="6"/>
                              <w:spacing w:before="4"/>
                              <w:ind w:left="106"/>
                              <w:rPr>
                                <w:sz w:val="24"/>
                              </w:rPr>
                            </w:pPr>
                            <w:r>
                              <w:rPr>
                                <w:spacing w:val="-1"/>
                                <w:sz w:val="24"/>
                              </w:rPr>
                              <w:t>务，国家相关政策法规明确规定不宜上云的除外。</w:t>
                            </w:r>
                          </w:p>
                        </w:tc>
                      </w:tr>
                      <w:tr w14:paraId="5D4CD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61" w:type="dxa"/>
                            <w:vMerge w:val="continue"/>
                            <w:tcBorders>
                              <w:top w:val="nil"/>
                            </w:tcBorders>
                          </w:tcPr>
                          <w:p w14:paraId="51A33F8E">
                            <w:pPr>
                              <w:rPr>
                                <w:sz w:val="2"/>
                                <w:szCs w:val="2"/>
                              </w:rPr>
                            </w:pPr>
                          </w:p>
                        </w:tc>
                        <w:tc>
                          <w:tcPr>
                            <w:tcW w:w="1317" w:type="dxa"/>
                            <w:vMerge w:val="continue"/>
                            <w:tcBorders>
                              <w:top w:val="nil"/>
                            </w:tcBorders>
                          </w:tcPr>
                          <w:p w14:paraId="1DCACBFF">
                            <w:pPr>
                              <w:rPr>
                                <w:sz w:val="2"/>
                                <w:szCs w:val="2"/>
                              </w:rPr>
                            </w:pPr>
                          </w:p>
                        </w:tc>
                        <w:tc>
                          <w:tcPr>
                            <w:tcW w:w="7455" w:type="dxa"/>
                          </w:tcPr>
                          <w:p w14:paraId="28879D02">
                            <w:pPr>
                              <w:pStyle w:val="6"/>
                              <w:spacing w:before="54" w:line="328" w:lineRule="auto"/>
                              <w:ind w:left="106" w:right="136" w:firstLine="480"/>
                              <w:rPr>
                                <w:sz w:val="24"/>
                              </w:rPr>
                            </w:pPr>
                            <w:r>
                              <w:rPr>
                                <w:spacing w:val="-2"/>
                                <w:sz w:val="24"/>
                              </w:rPr>
                              <w:t>（二）政务云平台、云灾备平台应通过网络安全等级保护测评和</w:t>
                            </w:r>
                            <w:r>
                              <w:rPr>
                                <w:spacing w:val="-1"/>
                                <w:sz w:val="24"/>
                              </w:rPr>
                              <w:t>商用密码应用安全性评估；采购使用云计算服务应通过中央网信办云</w:t>
                            </w:r>
                          </w:p>
                          <w:p w14:paraId="4B271F18">
                            <w:pPr>
                              <w:pStyle w:val="6"/>
                              <w:spacing w:line="305" w:lineRule="exact"/>
                              <w:ind w:left="106"/>
                              <w:rPr>
                                <w:sz w:val="24"/>
                              </w:rPr>
                            </w:pPr>
                            <w:r>
                              <w:rPr>
                                <w:spacing w:val="-2"/>
                                <w:sz w:val="24"/>
                              </w:rPr>
                              <w:t>计算服务安全评估。</w:t>
                            </w:r>
                          </w:p>
                        </w:tc>
                      </w:tr>
                      <w:tr w14:paraId="25A0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761" w:type="dxa"/>
                          </w:tcPr>
                          <w:p w14:paraId="29A957FD">
                            <w:pPr>
                              <w:pStyle w:val="6"/>
                              <w:rPr>
                                <w:sz w:val="24"/>
                              </w:rPr>
                            </w:pPr>
                          </w:p>
                          <w:p w14:paraId="724D81B8">
                            <w:pPr>
                              <w:pStyle w:val="6"/>
                              <w:rPr>
                                <w:sz w:val="24"/>
                              </w:rPr>
                            </w:pPr>
                          </w:p>
                          <w:p w14:paraId="52F72F5F">
                            <w:pPr>
                              <w:pStyle w:val="6"/>
                              <w:spacing w:before="200"/>
                              <w:rPr>
                                <w:sz w:val="24"/>
                              </w:rPr>
                            </w:pPr>
                          </w:p>
                          <w:p w14:paraId="0253EF8D">
                            <w:pPr>
                              <w:pStyle w:val="6"/>
                              <w:spacing w:before="1"/>
                              <w:ind w:left="8"/>
                              <w:jc w:val="center"/>
                              <w:rPr>
                                <w:rFonts w:ascii="Times New Roman"/>
                                <w:sz w:val="24"/>
                              </w:rPr>
                            </w:pPr>
                            <w:r>
                              <w:rPr>
                                <w:rFonts w:ascii="Times New Roman"/>
                                <w:spacing w:val="-10"/>
                                <w:sz w:val="24"/>
                              </w:rPr>
                              <w:t>4</w:t>
                            </w:r>
                          </w:p>
                        </w:tc>
                        <w:tc>
                          <w:tcPr>
                            <w:tcW w:w="1317" w:type="dxa"/>
                          </w:tcPr>
                          <w:p w14:paraId="7BC567C7">
                            <w:pPr>
                              <w:pStyle w:val="6"/>
                              <w:rPr>
                                <w:sz w:val="24"/>
                              </w:rPr>
                            </w:pPr>
                          </w:p>
                          <w:p w14:paraId="169F8C3B">
                            <w:pPr>
                              <w:pStyle w:val="6"/>
                              <w:spacing w:before="281"/>
                              <w:rPr>
                                <w:sz w:val="24"/>
                              </w:rPr>
                            </w:pPr>
                          </w:p>
                          <w:p w14:paraId="4D3154A2">
                            <w:pPr>
                              <w:pStyle w:val="6"/>
                              <w:spacing w:line="328" w:lineRule="auto"/>
                              <w:ind w:left="418" w:right="166" w:hanging="240"/>
                              <w:rPr>
                                <w:sz w:val="24"/>
                              </w:rPr>
                            </w:pPr>
                            <w:r>
                              <w:rPr>
                                <w:spacing w:val="-4"/>
                                <w:sz w:val="24"/>
                              </w:rPr>
                              <w:t>数据共享</w:t>
                            </w:r>
                            <w:r>
                              <w:rPr>
                                <w:spacing w:val="-6"/>
                                <w:sz w:val="24"/>
                              </w:rPr>
                              <w:t>开放</w:t>
                            </w:r>
                          </w:p>
                        </w:tc>
                        <w:tc>
                          <w:tcPr>
                            <w:tcW w:w="7455" w:type="dxa"/>
                          </w:tcPr>
                          <w:p w14:paraId="08F8B99F">
                            <w:pPr>
                              <w:pStyle w:val="6"/>
                              <w:spacing w:before="56" w:line="328" w:lineRule="auto"/>
                              <w:ind w:left="106" w:right="136" w:firstLine="480"/>
                              <w:jc w:val="both"/>
                              <w:rPr>
                                <w:sz w:val="24"/>
                              </w:rPr>
                            </w:pPr>
                            <w:r>
                              <w:rPr>
                                <w:spacing w:val="-2"/>
                                <w:sz w:val="24"/>
                              </w:rPr>
                              <w:t>自治区各部门原则上不得建设独立、跨部门的共享交换平台。自治区各部门各单位非涉密信息系统原则上通过自治区共享交换平台与其他部门共享交换政务数据。原有跨部门数据共享交换系统应当接入至统一的自治区共享交换平台，并逐步取消部门间直联方式。对新建</w:t>
                            </w:r>
                            <w:r>
                              <w:rPr>
                                <w:spacing w:val="-1"/>
                                <w:sz w:val="24"/>
                              </w:rPr>
                              <w:t>的非涉密政务信息化应用系统开发项目，必须同步规划并提供数据资</w:t>
                            </w:r>
                          </w:p>
                          <w:p w14:paraId="22BEEA0B">
                            <w:pPr>
                              <w:pStyle w:val="6"/>
                              <w:spacing w:line="301" w:lineRule="exact"/>
                              <w:ind w:left="106"/>
                              <w:rPr>
                                <w:sz w:val="24"/>
                              </w:rPr>
                            </w:pPr>
                            <w:r>
                              <w:rPr>
                                <w:spacing w:val="-1"/>
                                <w:sz w:val="24"/>
                              </w:rPr>
                              <w:t>源需求清单、数据资源目录及数据资源共享、开放目录。</w:t>
                            </w:r>
                          </w:p>
                        </w:tc>
                      </w:tr>
                    </w:tbl>
                    <w:p w14:paraId="49ADD38E">
                      <w:pPr>
                        <w:pStyle w:val="3"/>
                      </w:pPr>
                    </w:p>
                  </w:txbxContent>
                </v:textbox>
              </v:shape>
            </w:pict>
          </mc:Fallback>
        </mc:AlternateContent>
      </w:r>
      <w:bookmarkStart w:id="5" w:name="3"/>
      <w:bookmarkEnd w:id="5"/>
      <w:bookmarkStart w:id="6" w:name="政务云"/>
      <w:bookmarkEnd w:id="6"/>
      <w:r>
        <w:rPr>
          <w:spacing w:val="-4"/>
          <w:sz w:val="44"/>
        </w:rPr>
        <w:t>（动态更新</w:t>
      </w:r>
      <w:r>
        <w:rPr>
          <w:spacing w:val="-10"/>
          <w:sz w:val="44"/>
        </w:rPr>
        <w:t>）</w:t>
      </w:r>
    </w:p>
    <w:p w14:paraId="6ED9F9DC">
      <w:pPr>
        <w:spacing w:after="0"/>
        <w:jc w:val="center"/>
        <w:rPr>
          <w:sz w:val="44"/>
        </w:rPr>
        <w:sectPr>
          <w:pgSz w:w="11910" w:h="16840"/>
          <w:pgMar w:top="1920" w:right="992" w:bottom="1300" w:left="1133" w:header="0" w:footer="1106" w:gutter="0"/>
          <w:cols w:space="720" w:num="1"/>
        </w:sectPr>
      </w:pPr>
    </w:p>
    <w:tbl>
      <w:tblPr>
        <w:tblStyle w:val="4"/>
        <w:tblW w:w="0" w:type="auto"/>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317"/>
        <w:gridCol w:w="7455"/>
      </w:tblGrid>
      <w:tr w14:paraId="4807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shd w:val="clear" w:color="auto" w:fill="DDD9C4"/>
          </w:tcPr>
          <w:p w14:paraId="35C39346">
            <w:pPr>
              <w:pStyle w:val="6"/>
              <w:spacing w:before="147"/>
              <w:ind w:left="139"/>
              <w:rPr>
                <w:sz w:val="24"/>
              </w:rPr>
            </w:pPr>
            <w:bookmarkStart w:id="7" w:name="（一）信息系统技术架构审查。应通过应用整体框架说明系统在部门政务信息化框架中所处"/>
            <w:bookmarkEnd w:id="7"/>
            <w:bookmarkStart w:id="8" w:name="（二）应用软件开发中需使用身份认证的，应和全区统一身份认证系统进行对接，并充分利"/>
            <w:bookmarkEnd w:id="8"/>
            <w:bookmarkStart w:id="9" w:name="（三）面向广西全区政务朊务、便民朊务应用均应接入“智桂通”平台，并充分依托“智桂"/>
            <w:bookmarkEnd w:id="9"/>
            <w:r>
              <w:rPr>
                <w:spacing w:val="-5"/>
                <w:sz w:val="24"/>
              </w:rPr>
              <w:t>序号</w:t>
            </w:r>
          </w:p>
        </w:tc>
        <w:tc>
          <w:tcPr>
            <w:tcW w:w="1317" w:type="dxa"/>
            <w:shd w:val="clear" w:color="auto" w:fill="DDD9C4"/>
          </w:tcPr>
          <w:p w14:paraId="2771FCE1">
            <w:pPr>
              <w:pStyle w:val="6"/>
              <w:spacing w:before="147"/>
              <w:ind w:left="178"/>
              <w:rPr>
                <w:sz w:val="24"/>
              </w:rPr>
            </w:pPr>
            <w:r>
              <w:rPr>
                <w:spacing w:val="-3"/>
                <w:sz w:val="24"/>
              </w:rPr>
              <w:t>建设内容</w:t>
            </w:r>
          </w:p>
        </w:tc>
        <w:tc>
          <w:tcPr>
            <w:tcW w:w="7455" w:type="dxa"/>
            <w:shd w:val="clear" w:color="auto" w:fill="DDD9C4"/>
          </w:tcPr>
          <w:p w14:paraId="161DAFED">
            <w:pPr>
              <w:pStyle w:val="6"/>
              <w:spacing w:before="147"/>
              <w:ind w:left="6"/>
              <w:jc w:val="center"/>
              <w:rPr>
                <w:sz w:val="24"/>
              </w:rPr>
            </w:pPr>
            <w:r>
              <w:rPr>
                <w:spacing w:val="-3"/>
                <w:sz w:val="24"/>
              </w:rPr>
              <w:t>审查要点</w:t>
            </w:r>
          </w:p>
        </w:tc>
      </w:tr>
      <w:tr w14:paraId="5155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761" w:type="dxa"/>
            <w:vMerge w:val="restart"/>
          </w:tcPr>
          <w:p w14:paraId="29FAA449">
            <w:pPr>
              <w:pStyle w:val="6"/>
              <w:rPr>
                <w:sz w:val="24"/>
              </w:rPr>
            </w:pPr>
          </w:p>
          <w:p w14:paraId="4BCAD2DC">
            <w:pPr>
              <w:pStyle w:val="6"/>
              <w:rPr>
                <w:sz w:val="24"/>
              </w:rPr>
            </w:pPr>
          </w:p>
          <w:p w14:paraId="4A0D2286">
            <w:pPr>
              <w:pStyle w:val="6"/>
              <w:rPr>
                <w:sz w:val="24"/>
              </w:rPr>
            </w:pPr>
          </w:p>
          <w:p w14:paraId="7AD33A49">
            <w:pPr>
              <w:pStyle w:val="6"/>
              <w:rPr>
                <w:sz w:val="24"/>
              </w:rPr>
            </w:pPr>
          </w:p>
          <w:p w14:paraId="25B8E756">
            <w:pPr>
              <w:pStyle w:val="6"/>
              <w:rPr>
                <w:sz w:val="24"/>
              </w:rPr>
            </w:pPr>
          </w:p>
          <w:p w14:paraId="7669867B">
            <w:pPr>
              <w:pStyle w:val="6"/>
              <w:rPr>
                <w:sz w:val="24"/>
              </w:rPr>
            </w:pPr>
          </w:p>
          <w:p w14:paraId="06EDA41D">
            <w:pPr>
              <w:pStyle w:val="6"/>
              <w:rPr>
                <w:sz w:val="24"/>
              </w:rPr>
            </w:pPr>
          </w:p>
          <w:p w14:paraId="2EDE25C9">
            <w:pPr>
              <w:pStyle w:val="6"/>
              <w:rPr>
                <w:sz w:val="24"/>
              </w:rPr>
            </w:pPr>
          </w:p>
          <w:p w14:paraId="29F2F944">
            <w:pPr>
              <w:pStyle w:val="6"/>
              <w:rPr>
                <w:sz w:val="24"/>
              </w:rPr>
            </w:pPr>
          </w:p>
          <w:p w14:paraId="5718D674">
            <w:pPr>
              <w:pStyle w:val="6"/>
              <w:rPr>
                <w:sz w:val="24"/>
              </w:rPr>
            </w:pPr>
          </w:p>
          <w:p w14:paraId="7BF30D10">
            <w:pPr>
              <w:pStyle w:val="6"/>
              <w:rPr>
                <w:sz w:val="24"/>
              </w:rPr>
            </w:pPr>
          </w:p>
          <w:p w14:paraId="41E81719">
            <w:pPr>
              <w:pStyle w:val="6"/>
              <w:rPr>
                <w:sz w:val="24"/>
              </w:rPr>
            </w:pPr>
          </w:p>
          <w:p w14:paraId="7551B61A">
            <w:pPr>
              <w:pStyle w:val="6"/>
              <w:rPr>
                <w:sz w:val="24"/>
              </w:rPr>
            </w:pPr>
          </w:p>
          <w:p w14:paraId="08E171CB">
            <w:pPr>
              <w:pStyle w:val="6"/>
              <w:rPr>
                <w:sz w:val="24"/>
              </w:rPr>
            </w:pPr>
          </w:p>
          <w:p w14:paraId="07C0C8D3">
            <w:pPr>
              <w:pStyle w:val="6"/>
              <w:rPr>
                <w:sz w:val="24"/>
              </w:rPr>
            </w:pPr>
          </w:p>
          <w:p w14:paraId="23405A5D">
            <w:pPr>
              <w:pStyle w:val="6"/>
              <w:rPr>
                <w:sz w:val="24"/>
              </w:rPr>
            </w:pPr>
          </w:p>
          <w:p w14:paraId="312D7C46">
            <w:pPr>
              <w:pStyle w:val="6"/>
              <w:rPr>
                <w:sz w:val="24"/>
              </w:rPr>
            </w:pPr>
          </w:p>
          <w:p w14:paraId="54FE7381">
            <w:pPr>
              <w:pStyle w:val="6"/>
              <w:spacing w:before="241"/>
              <w:rPr>
                <w:sz w:val="24"/>
              </w:rPr>
            </w:pPr>
          </w:p>
          <w:p w14:paraId="1C993B1F">
            <w:pPr>
              <w:pStyle w:val="6"/>
              <w:spacing w:before="1"/>
              <w:ind w:left="8"/>
              <w:jc w:val="center"/>
              <w:rPr>
                <w:rFonts w:ascii="Times New Roman"/>
                <w:sz w:val="24"/>
              </w:rPr>
            </w:pPr>
            <w:bookmarkStart w:id="10" w:name="5"/>
            <w:bookmarkEnd w:id="10"/>
            <w:bookmarkStart w:id="11" w:name="应用系统"/>
            <w:bookmarkEnd w:id="11"/>
            <w:bookmarkStart w:id="12" w:name="（四）新建和改扩建应用系统应同步规划编制组件目录，并根据梳理出的广西政务信息化可"/>
            <w:bookmarkEnd w:id="12"/>
            <w:bookmarkStart w:id="13" w:name="（五）新建和改扩建应用系统要同步规划编制有关政务数据资源目录，并预留数据共享交换"/>
            <w:bookmarkEnd w:id="13"/>
            <w:bookmarkStart w:id="14" w:name="（六）应用建设中涉及数字资源申请的，建设单位应遵循“合理适度、集约利用”原则，参"/>
            <w:bookmarkEnd w:id="14"/>
            <w:bookmarkStart w:id="15" w:name="（七）新建和改扩建的应用系统基于壮美广西·政务云提供的云资源建设的，应符合国产信"/>
            <w:bookmarkEnd w:id="15"/>
            <w:bookmarkStart w:id="16" w:name="（八）新建政务信息系统需提供开发源代码作为项目验收必要材料之一，并按照相关流程同"/>
            <w:bookmarkEnd w:id="16"/>
            <w:r>
              <w:rPr>
                <w:rFonts w:ascii="Times New Roman"/>
                <w:spacing w:val="-10"/>
                <w:sz w:val="24"/>
              </w:rPr>
              <w:t>5</w:t>
            </w:r>
          </w:p>
        </w:tc>
        <w:tc>
          <w:tcPr>
            <w:tcW w:w="1317" w:type="dxa"/>
            <w:vMerge w:val="restart"/>
          </w:tcPr>
          <w:p w14:paraId="7DE65E4E">
            <w:pPr>
              <w:pStyle w:val="6"/>
              <w:rPr>
                <w:sz w:val="24"/>
              </w:rPr>
            </w:pPr>
          </w:p>
          <w:p w14:paraId="5990E5EE">
            <w:pPr>
              <w:pStyle w:val="6"/>
              <w:rPr>
                <w:sz w:val="24"/>
              </w:rPr>
            </w:pPr>
          </w:p>
          <w:p w14:paraId="32EBC300">
            <w:pPr>
              <w:pStyle w:val="6"/>
              <w:rPr>
                <w:sz w:val="24"/>
              </w:rPr>
            </w:pPr>
          </w:p>
          <w:p w14:paraId="4E93A90E">
            <w:pPr>
              <w:pStyle w:val="6"/>
              <w:rPr>
                <w:sz w:val="24"/>
              </w:rPr>
            </w:pPr>
          </w:p>
          <w:p w14:paraId="74DC30F1">
            <w:pPr>
              <w:pStyle w:val="6"/>
              <w:rPr>
                <w:sz w:val="24"/>
              </w:rPr>
            </w:pPr>
          </w:p>
          <w:p w14:paraId="3DBD5697">
            <w:pPr>
              <w:pStyle w:val="6"/>
              <w:rPr>
                <w:sz w:val="24"/>
              </w:rPr>
            </w:pPr>
          </w:p>
          <w:p w14:paraId="29303666">
            <w:pPr>
              <w:pStyle w:val="6"/>
              <w:rPr>
                <w:sz w:val="24"/>
              </w:rPr>
            </w:pPr>
          </w:p>
          <w:p w14:paraId="07FE0326">
            <w:pPr>
              <w:pStyle w:val="6"/>
              <w:rPr>
                <w:sz w:val="24"/>
              </w:rPr>
            </w:pPr>
          </w:p>
          <w:p w14:paraId="6BC67D75">
            <w:pPr>
              <w:pStyle w:val="6"/>
              <w:rPr>
                <w:sz w:val="24"/>
              </w:rPr>
            </w:pPr>
          </w:p>
          <w:p w14:paraId="0971C651">
            <w:pPr>
              <w:pStyle w:val="6"/>
              <w:rPr>
                <w:sz w:val="24"/>
              </w:rPr>
            </w:pPr>
          </w:p>
          <w:p w14:paraId="530B0D7C">
            <w:pPr>
              <w:pStyle w:val="6"/>
              <w:rPr>
                <w:sz w:val="24"/>
              </w:rPr>
            </w:pPr>
          </w:p>
          <w:p w14:paraId="79DA4F99">
            <w:pPr>
              <w:pStyle w:val="6"/>
              <w:rPr>
                <w:sz w:val="24"/>
              </w:rPr>
            </w:pPr>
          </w:p>
          <w:p w14:paraId="49CE12F5">
            <w:pPr>
              <w:pStyle w:val="6"/>
              <w:rPr>
                <w:sz w:val="24"/>
              </w:rPr>
            </w:pPr>
          </w:p>
          <w:p w14:paraId="600DE7D4">
            <w:pPr>
              <w:pStyle w:val="6"/>
              <w:rPr>
                <w:sz w:val="24"/>
              </w:rPr>
            </w:pPr>
          </w:p>
          <w:p w14:paraId="4F8E1988">
            <w:pPr>
              <w:pStyle w:val="6"/>
              <w:rPr>
                <w:sz w:val="24"/>
              </w:rPr>
            </w:pPr>
          </w:p>
          <w:p w14:paraId="195862AD">
            <w:pPr>
              <w:pStyle w:val="6"/>
              <w:rPr>
                <w:sz w:val="24"/>
              </w:rPr>
            </w:pPr>
          </w:p>
          <w:p w14:paraId="1BFBF14A">
            <w:pPr>
              <w:pStyle w:val="6"/>
              <w:rPr>
                <w:sz w:val="24"/>
              </w:rPr>
            </w:pPr>
          </w:p>
          <w:p w14:paraId="25705D58">
            <w:pPr>
              <w:pStyle w:val="6"/>
              <w:spacing w:before="225"/>
              <w:rPr>
                <w:sz w:val="24"/>
              </w:rPr>
            </w:pPr>
          </w:p>
          <w:p w14:paraId="606FBB24">
            <w:pPr>
              <w:pStyle w:val="6"/>
              <w:spacing w:before="1"/>
              <w:ind w:left="178"/>
              <w:rPr>
                <w:sz w:val="24"/>
              </w:rPr>
            </w:pPr>
            <w:r>
              <w:rPr>
                <w:spacing w:val="-3"/>
                <w:sz w:val="24"/>
              </w:rPr>
              <w:t>应用系统</w:t>
            </w:r>
          </w:p>
        </w:tc>
        <w:tc>
          <w:tcPr>
            <w:tcW w:w="7455" w:type="dxa"/>
          </w:tcPr>
          <w:p w14:paraId="1524D38B">
            <w:pPr>
              <w:pStyle w:val="6"/>
              <w:spacing w:before="56" w:line="328" w:lineRule="auto"/>
              <w:ind w:left="106" w:right="136" w:firstLine="480"/>
              <w:rPr>
                <w:sz w:val="24"/>
              </w:rPr>
            </w:pPr>
            <w:r>
              <w:rPr>
                <w:spacing w:val="-2"/>
                <w:sz w:val="24"/>
              </w:rPr>
              <w:t>（一）信息系统技术架构审查。应通过应用整体框架说明系统在部门政务信息化框架中所处的位置；应通过应用架构明确包括主要</w:t>
            </w:r>
          </w:p>
          <w:p w14:paraId="17742BA1">
            <w:pPr>
              <w:pStyle w:val="6"/>
              <w:spacing w:line="328" w:lineRule="auto"/>
              <w:ind w:left="106" w:right="95"/>
              <w:jc w:val="both"/>
              <w:rPr>
                <w:sz w:val="24"/>
              </w:rPr>
            </w:pPr>
            <w:r>
              <w:rPr>
                <w:spacing w:val="-4"/>
                <w:sz w:val="24"/>
              </w:rPr>
              <w:t>（子）</w:t>
            </w:r>
            <w:r>
              <w:rPr>
                <w:spacing w:val="-50"/>
                <w:sz w:val="24"/>
              </w:rPr>
              <w:t>系统、</w:t>
            </w:r>
            <w:r>
              <w:rPr>
                <w:spacing w:val="-4"/>
                <w:sz w:val="24"/>
              </w:rPr>
              <w:t>（子）模块以及各功能模块之间的相互逻辑关系；应使用</w:t>
            </w:r>
            <w:r>
              <w:rPr>
                <w:spacing w:val="-2"/>
                <w:sz w:val="24"/>
              </w:rPr>
              <w:t>明显标识区分已有内容、本期建设内容、下期建设内容等；应明确系</w:t>
            </w:r>
            <w:r>
              <w:rPr>
                <w:spacing w:val="-1"/>
                <w:sz w:val="24"/>
              </w:rPr>
              <w:t>统内部结构和外部系统间的联系，并区分出已建系统和新增系统功能</w:t>
            </w:r>
          </w:p>
          <w:p w14:paraId="23DABFDB">
            <w:pPr>
              <w:pStyle w:val="6"/>
              <w:spacing w:line="304" w:lineRule="exact"/>
              <w:ind w:left="106"/>
              <w:rPr>
                <w:sz w:val="24"/>
              </w:rPr>
            </w:pPr>
            <w:r>
              <w:rPr>
                <w:spacing w:val="-1"/>
                <w:sz w:val="24"/>
              </w:rPr>
              <w:t>区别。避免过渡开发，造成资源浪费。</w:t>
            </w:r>
          </w:p>
        </w:tc>
      </w:tr>
      <w:tr w14:paraId="50E4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61" w:type="dxa"/>
            <w:vMerge w:val="continue"/>
            <w:tcBorders>
              <w:top w:val="nil"/>
            </w:tcBorders>
          </w:tcPr>
          <w:p w14:paraId="1C745B48">
            <w:pPr>
              <w:rPr>
                <w:sz w:val="2"/>
                <w:szCs w:val="2"/>
              </w:rPr>
            </w:pPr>
          </w:p>
        </w:tc>
        <w:tc>
          <w:tcPr>
            <w:tcW w:w="1317" w:type="dxa"/>
            <w:vMerge w:val="continue"/>
            <w:tcBorders>
              <w:top w:val="nil"/>
            </w:tcBorders>
          </w:tcPr>
          <w:p w14:paraId="0E99B0BC">
            <w:pPr>
              <w:rPr>
                <w:sz w:val="2"/>
                <w:szCs w:val="2"/>
              </w:rPr>
            </w:pPr>
          </w:p>
        </w:tc>
        <w:tc>
          <w:tcPr>
            <w:tcW w:w="7455" w:type="dxa"/>
          </w:tcPr>
          <w:p w14:paraId="204D733A">
            <w:pPr>
              <w:pStyle w:val="6"/>
              <w:spacing w:before="55"/>
              <w:ind w:left="586"/>
              <w:rPr>
                <w:sz w:val="24"/>
              </w:rPr>
            </w:pPr>
            <w:r>
              <w:rPr>
                <w:sz w:val="24"/>
              </w:rPr>
              <w:t>（二）</w:t>
            </w:r>
            <w:r>
              <w:rPr>
                <w:spacing w:val="-1"/>
                <w:sz w:val="24"/>
              </w:rPr>
              <w:t>应用软件开发中需使用身份认证的，应和全区统一身份认</w:t>
            </w:r>
          </w:p>
          <w:p w14:paraId="39AC1C3D">
            <w:pPr>
              <w:pStyle w:val="6"/>
              <w:spacing w:before="113"/>
              <w:ind w:left="106"/>
              <w:rPr>
                <w:sz w:val="24"/>
              </w:rPr>
            </w:pPr>
            <w:r>
              <w:rPr>
                <w:spacing w:val="-1"/>
                <w:sz w:val="24"/>
              </w:rPr>
              <w:t>证系统进行对接，并充分利用全区统一的共性应用支撑能力。</w:t>
            </w:r>
          </w:p>
        </w:tc>
      </w:tr>
      <w:tr w14:paraId="2975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61" w:type="dxa"/>
            <w:vMerge w:val="continue"/>
            <w:tcBorders>
              <w:top w:val="nil"/>
            </w:tcBorders>
          </w:tcPr>
          <w:p w14:paraId="45B13AA5">
            <w:pPr>
              <w:rPr>
                <w:sz w:val="2"/>
                <w:szCs w:val="2"/>
              </w:rPr>
            </w:pPr>
          </w:p>
        </w:tc>
        <w:tc>
          <w:tcPr>
            <w:tcW w:w="1317" w:type="dxa"/>
            <w:vMerge w:val="continue"/>
            <w:tcBorders>
              <w:top w:val="nil"/>
            </w:tcBorders>
          </w:tcPr>
          <w:p w14:paraId="146FE046">
            <w:pPr>
              <w:rPr>
                <w:sz w:val="2"/>
                <w:szCs w:val="2"/>
              </w:rPr>
            </w:pPr>
          </w:p>
        </w:tc>
        <w:tc>
          <w:tcPr>
            <w:tcW w:w="7455" w:type="dxa"/>
          </w:tcPr>
          <w:p w14:paraId="71F328ED">
            <w:pPr>
              <w:pStyle w:val="6"/>
              <w:spacing w:before="57"/>
              <w:ind w:left="586"/>
              <w:rPr>
                <w:rFonts w:ascii="Times New Roman" w:hAnsi="Times New Roman" w:eastAsia="Times New Roman"/>
                <w:sz w:val="24"/>
              </w:rPr>
            </w:pPr>
            <w:r>
              <w:rPr>
                <w:sz w:val="24"/>
              </w:rPr>
              <w:t>（三）面向广西全区政务服务、便民服务应用均应接入</w:t>
            </w:r>
            <w:r>
              <w:rPr>
                <w:rFonts w:ascii="Times New Roman" w:hAnsi="Times New Roman" w:eastAsia="Times New Roman"/>
                <w:sz w:val="24"/>
              </w:rPr>
              <w:t>“</w:t>
            </w:r>
            <w:r>
              <w:rPr>
                <w:sz w:val="24"/>
              </w:rPr>
              <w:t>智桂通</w:t>
            </w:r>
            <w:r>
              <w:rPr>
                <w:rFonts w:ascii="Times New Roman" w:hAnsi="Times New Roman" w:eastAsia="Times New Roman"/>
                <w:spacing w:val="-10"/>
                <w:sz w:val="24"/>
              </w:rPr>
              <w:t>”</w:t>
            </w:r>
          </w:p>
          <w:p w14:paraId="29061C2F">
            <w:pPr>
              <w:pStyle w:val="6"/>
              <w:spacing w:before="113"/>
              <w:ind w:left="106"/>
              <w:rPr>
                <w:sz w:val="24"/>
              </w:rPr>
            </w:pPr>
            <w:r>
              <w:rPr>
                <w:sz w:val="24"/>
              </w:rPr>
              <w:t>平台，并充分依托</w:t>
            </w:r>
            <w:r>
              <w:rPr>
                <w:rFonts w:ascii="Times New Roman" w:hAnsi="Times New Roman" w:eastAsia="Times New Roman"/>
                <w:sz w:val="24"/>
              </w:rPr>
              <w:t>“</w:t>
            </w:r>
            <w:r>
              <w:rPr>
                <w:sz w:val="24"/>
              </w:rPr>
              <w:t>智桂通</w:t>
            </w:r>
            <w:r>
              <w:rPr>
                <w:rFonts w:ascii="Times New Roman" w:hAnsi="Times New Roman" w:eastAsia="Times New Roman"/>
                <w:sz w:val="24"/>
              </w:rPr>
              <w:t>”</w:t>
            </w:r>
            <w:r>
              <w:rPr>
                <w:spacing w:val="-2"/>
                <w:sz w:val="24"/>
              </w:rPr>
              <w:t>平台对外提供服务。</w:t>
            </w:r>
          </w:p>
        </w:tc>
      </w:tr>
      <w:tr w14:paraId="66B3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761" w:type="dxa"/>
            <w:vMerge w:val="continue"/>
            <w:tcBorders>
              <w:top w:val="nil"/>
            </w:tcBorders>
          </w:tcPr>
          <w:p w14:paraId="0D773B62">
            <w:pPr>
              <w:rPr>
                <w:sz w:val="2"/>
                <w:szCs w:val="2"/>
              </w:rPr>
            </w:pPr>
          </w:p>
        </w:tc>
        <w:tc>
          <w:tcPr>
            <w:tcW w:w="1317" w:type="dxa"/>
            <w:vMerge w:val="continue"/>
            <w:tcBorders>
              <w:top w:val="nil"/>
            </w:tcBorders>
          </w:tcPr>
          <w:p w14:paraId="54623BBC">
            <w:pPr>
              <w:rPr>
                <w:sz w:val="2"/>
                <w:szCs w:val="2"/>
              </w:rPr>
            </w:pPr>
          </w:p>
        </w:tc>
        <w:tc>
          <w:tcPr>
            <w:tcW w:w="7455" w:type="dxa"/>
          </w:tcPr>
          <w:p w14:paraId="72D2C212">
            <w:pPr>
              <w:pStyle w:val="6"/>
              <w:spacing w:before="55" w:line="328" w:lineRule="auto"/>
              <w:ind w:left="106" w:right="-29" w:firstLine="480"/>
              <w:rPr>
                <w:sz w:val="24"/>
              </w:rPr>
            </w:pPr>
            <w:r>
              <w:rPr>
                <w:spacing w:val="-2"/>
                <w:sz w:val="24"/>
              </w:rPr>
              <w:t>（四）新建和改扩建应用系统应同步规划编制组件目录，并根据梳理出的广西政务信息化可共享复用清单中的全区共性组件目录，评</w:t>
            </w:r>
            <w:r>
              <w:rPr>
                <w:spacing w:val="-4"/>
                <w:sz w:val="24"/>
              </w:rPr>
              <w:t>估组件新建的必要性。已有共性组件无法满足要求，确有新建必要的，</w:t>
            </w:r>
            <w:r>
              <w:rPr>
                <w:spacing w:val="-2"/>
                <w:sz w:val="24"/>
              </w:rPr>
              <w:t>应列明理由，并在设计建设过程中参照全区共性组件共享标准，预留相关接口，明确对接规范及要求纳入可共享复用清单，为全区其他系</w:t>
            </w:r>
          </w:p>
          <w:p w14:paraId="0C62BC52">
            <w:pPr>
              <w:pStyle w:val="6"/>
              <w:spacing w:line="301" w:lineRule="exact"/>
              <w:ind w:left="106"/>
              <w:rPr>
                <w:sz w:val="24"/>
              </w:rPr>
            </w:pPr>
            <w:r>
              <w:rPr>
                <w:spacing w:val="-2"/>
                <w:sz w:val="24"/>
              </w:rPr>
              <w:t>统提供能力。</w:t>
            </w:r>
          </w:p>
        </w:tc>
      </w:tr>
      <w:tr w14:paraId="4E34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761" w:type="dxa"/>
            <w:vMerge w:val="continue"/>
            <w:tcBorders>
              <w:top w:val="nil"/>
            </w:tcBorders>
          </w:tcPr>
          <w:p w14:paraId="576D3C3A">
            <w:pPr>
              <w:rPr>
                <w:sz w:val="2"/>
                <w:szCs w:val="2"/>
              </w:rPr>
            </w:pPr>
          </w:p>
        </w:tc>
        <w:tc>
          <w:tcPr>
            <w:tcW w:w="1317" w:type="dxa"/>
            <w:vMerge w:val="continue"/>
            <w:tcBorders>
              <w:top w:val="nil"/>
            </w:tcBorders>
          </w:tcPr>
          <w:p w14:paraId="1E96D206">
            <w:pPr>
              <w:rPr>
                <w:sz w:val="2"/>
                <w:szCs w:val="2"/>
              </w:rPr>
            </w:pPr>
          </w:p>
        </w:tc>
        <w:tc>
          <w:tcPr>
            <w:tcW w:w="7455" w:type="dxa"/>
          </w:tcPr>
          <w:p w14:paraId="5F4BC058">
            <w:pPr>
              <w:pStyle w:val="6"/>
              <w:spacing w:before="54" w:line="328" w:lineRule="auto"/>
              <w:ind w:left="106" w:right="136" w:firstLine="480"/>
              <w:jc w:val="both"/>
              <w:rPr>
                <w:sz w:val="24"/>
              </w:rPr>
            </w:pPr>
            <w:r>
              <w:rPr>
                <w:spacing w:val="-2"/>
                <w:sz w:val="24"/>
              </w:rPr>
              <w:t>（五）新建和改扩建应用系统要同步规划编制有关政务数据资源目录，并预留数据共享交换服务接口，按要求共享开放数据资源；各</w:t>
            </w:r>
            <w:r>
              <w:rPr>
                <w:spacing w:val="-1"/>
                <w:sz w:val="24"/>
              </w:rPr>
              <w:t>单位根据梳理的共享数据目录选择可开放的目录清单，并通过自治区</w:t>
            </w:r>
          </w:p>
          <w:p w14:paraId="249FCFA6">
            <w:pPr>
              <w:pStyle w:val="6"/>
              <w:spacing w:line="304" w:lineRule="exact"/>
              <w:ind w:left="106"/>
              <w:rPr>
                <w:sz w:val="24"/>
              </w:rPr>
            </w:pPr>
            <w:r>
              <w:rPr>
                <w:spacing w:val="-1"/>
                <w:sz w:val="24"/>
              </w:rPr>
              <w:t>公共数据开放平台进行开放。</w:t>
            </w:r>
          </w:p>
        </w:tc>
      </w:tr>
      <w:tr w14:paraId="53B1E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761" w:type="dxa"/>
            <w:vMerge w:val="continue"/>
            <w:tcBorders>
              <w:top w:val="nil"/>
            </w:tcBorders>
          </w:tcPr>
          <w:p w14:paraId="6CBFA8BA">
            <w:pPr>
              <w:rPr>
                <w:sz w:val="2"/>
                <w:szCs w:val="2"/>
              </w:rPr>
            </w:pPr>
          </w:p>
        </w:tc>
        <w:tc>
          <w:tcPr>
            <w:tcW w:w="1317" w:type="dxa"/>
            <w:vMerge w:val="continue"/>
            <w:tcBorders>
              <w:top w:val="nil"/>
            </w:tcBorders>
          </w:tcPr>
          <w:p w14:paraId="32602FBA">
            <w:pPr>
              <w:rPr>
                <w:sz w:val="2"/>
                <w:szCs w:val="2"/>
              </w:rPr>
            </w:pPr>
          </w:p>
        </w:tc>
        <w:tc>
          <w:tcPr>
            <w:tcW w:w="7455" w:type="dxa"/>
          </w:tcPr>
          <w:p w14:paraId="5D4606BE">
            <w:pPr>
              <w:pStyle w:val="6"/>
              <w:spacing w:before="56" w:line="326" w:lineRule="auto"/>
              <w:ind w:left="106" w:right="95" w:firstLine="480"/>
              <w:jc w:val="both"/>
              <w:rPr>
                <w:sz w:val="24"/>
              </w:rPr>
            </w:pPr>
            <w:r>
              <w:rPr>
                <w:spacing w:val="-4"/>
                <w:sz w:val="24"/>
              </w:rPr>
              <w:t>（六）应用建设中涉及数字资源申请的，建设单位应遵循</w:t>
            </w:r>
            <w:r>
              <w:rPr>
                <w:rFonts w:ascii="Times New Roman" w:hAnsi="Times New Roman" w:eastAsia="Times New Roman"/>
                <w:spacing w:val="-4"/>
                <w:sz w:val="24"/>
              </w:rPr>
              <w:t>“</w:t>
            </w:r>
            <w:r>
              <w:rPr>
                <w:spacing w:val="-4"/>
                <w:sz w:val="24"/>
              </w:rPr>
              <w:t>合理适度、集约利用</w:t>
            </w:r>
            <w:r>
              <w:rPr>
                <w:rFonts w:ascii="Times New Roman" w:hAnsi="Times New Roman" w:eastAsia="Times New Roman"/>
                <w:spacing w:val="-4"/>
                <w:sz w:val="24"/>
              </w:rPr>
              <w:t>”</w:t>
            </w:r>
            <w:r>
              <w:rPr>
                <w:spacing w:val="-4"/>
                <w:sz w:val="24"/>
              </w:rPr>
              <w:t>原则，参考本部门已使用数字资源清单、标准资源配置</w:t>
            </w:r>
            <w:r>
              <w:rPr>
                <w:spacing w:val="-1"/>
                <w:sz w:val="24"/>
              </w:rPr>
              <w:t>以及相似应用数字资源配置情况，明确数据、组件云资源等数字资源</w:t>
            </w:r>
          </w:p>
          <w:p w14:paraId="5ACD6C2C">
            <w:pPr>
              <w:pStyle w:val="6"/>
              <w:spacing w:before="3"/>
              <w:ind w:left="106"/>
              <w:rPr>
                <w:sz w:val="24"/>
              </w:rPr>
            </w:pPr>
            <w:r>
              <w:rPr>
                <w:spacing w:val="-2"/>
                <w:sz w:val="24"/>
              </w:rPr>
              <w:t>需求清单。</w:t>
            </w:r>
          </w:p>
        </w:tc>
      </w:tr>
      <w:tr w14:paraId="193BC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61" w:type="dxa"/>
            <w:vMerge w:val="continue"/>
            <w:tcBorders>
              <w:top w:val="nil"/>
            </w:tcBorders>
          </w:tcPr>
          <w:p w14:paraId="3969AD41">
            <w:pPr>
              <w:rPr>
                <w:sz w:val="2"/>
                <w:szCs w:val="2"/>
              </w:rPr>
            </w:pPr>
          </w:p>
        </w:tc>
        <w:tc>
          <w:tcPr>
            <w:tcW w:w="1317" w:type="dxa"/>
            <w:vMerge w:val="continue"/>
            <w:tcBorders>
              <w:top w:val="nil"/>
            </w:tcBorders>
          </w:tcPr>
          <w:p w14:paraId="5CB3EF7C">
            <w:pPr>
              <w:rPr>
                <w:sz w:val="2"/>
                <w:szCs w:val="2"/>
              </w:rPr>
            </w:pPr>
          </w:p>
        </w:tc>
        <w:tc>
          <w:tcPr>
            <w:tcW w:w="7455" w:type="dxa"/>
          </w:tcPr>
          <w:p w14:paraId="4CB44CD6">
            <w:pPr>
              <w:pStyle w:val="6"/>
              <w:spacing w:before="56"/>
              <w:ind w:left="586"/>
              <w:rPr>
                <w:sz w:val="24"/>
              </w:rPr>
            </w:pPr>
            <w:r>
              <w:rPr>
                <w:spacing w:val="-2"/>
                <w:sz w:val="24"/>
              </w:rPr>
              <w:t>（七）新建和改扩建的应用系统基于壮美广西</w:t>
            </w:r>
            <w:r>
              <w:rPr>
                <w:rFonts w:ascii="Times New Roman" w:hAnsi="Times New Roman" w:eastAsia="Times New Roman"/>
                <w:spacing w:val="-2"/>
                <w:sz w:val="24"/>
              </w:rPr>
              <w:t>·</w:t>
            </w:r>
            <w:r>
              <w:rPr>
                <w:spacing w:val="-4"/>
                <w:sz w:val="24"/>
              </w:rPr>
              <w:t>政务云提供的云资</w:t>
            </w:r>
          </w:p>
          <w:p w14:paraId="326D0417">
            <w:pPr>
              <w:pStyle w:val="6"/>
              <w:spacing w:before="112"/>
              <w:ind w:left="106"/>
              <w:rPr>
                <w:sz w:val="24"/>
              </w:rPr>
            </w:pPr>
            <w:r>
              <w:rPr>
                <w:spacing w:val="-1"/>
                <w:sz w:val="24"/>
              </w:rPr>
              <w:t>源建设的，应符合国产信创替代要求。</w:t>
            </w:r>
          </w:p>
        </w:tc>
      </w:tr>
      <w:tr w14:paraId="43319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61" w:type="dxa"/>
            <w:vMerge w:val="continue"/>
            <w:tcBorders>
              <w:top w:val="nil"/>
            </w:tcBorders>
          </w:tcPr>
          <w:p w14:paraId="47CA263F">
            <w:pPr>
              <w:rPr>
                <w:sz w:val="2"/>
                <w:szCs w:val="2"/>
              </w:rPr>
            </w:pPr>
          </w:p>
        </w:tc>
        <w:tc>
          <w:tcPr>
            <w:tcW w:w="1317" w:type="dxa"/>
            <w:vMerge w:val="continue"/>
            <w:tcBorders>
              <w:top w:val="nil"/>
            </w:tcBorders>
          </w:tcPr>
          <w:p w14:paraId="4B8B0C14">
            <w:pPr>
              <w:rPr>
                <w:sz w:val="2"/>
                <w:szCs w:val="2"/>
              </w:rPr>
            </w:pPr>
          </w:p>
        </w:tc>
        <w:tc>
          <w:tcPr>
            <w:tcW w:w="7455" w:type="dxa"/>
          </w:tcPr>
          <w:p w14:paraId="46AA19A6">
            <w:pPr>
              <w:pStyle w:val="6"/>
              <w:spacing w:before="55"/>
              <w:ind w:left="586"/>
              <w:rPr>
                <w:sz w:val="24"/>
              </w:rPr>
            </w:pPr>
            <w:r>
              <w:rPr>
                <w:sz w:val="24"/>
              </w:rPr>
              <w:t>（八）</w:t>
            </w:r>
            <w:r>
              <w:rPr>
                <w:spacing w:val="-1"/>
                <w:sz w:val="24"/>
              </w:rPr>
              <w:t>新建政务信息系统需提供开发源代码作为项目验收必要材</w:t>
            </w:r>
          </w:p>
          <w:p w14:paraId="6AD7F713">
            <w:pPr>
              <w:pStyle w:val="6"/>
              <w:spacing w:before="113"/>
              <w:ind w:left="106"/>
              <w:rPr>
                <w:sz w:val="24"/>
              </w:rPr>
            </w:pPr>
            <w:r>
              <w:rPr>
                <w:spacing w:val="-1"/>
                <w:sz w:val="24"/>
              </w:rPr>
              <w:t>料之一，并按照相关流程同步至自治区大数据发展局收储。</w:t>
            </w:r>
          </w:p>
        </w:tc>
      </w:tr>
    </w:tbl>
    <w:p w14:paraId="086FA6BE">
      <w:pPr>
        <w:pStyle w:val="6"/>
        <w:spacing w:after="0"/>
        <w:rPr>
          <w:sz w:val="24"/>
        </w:rPr>
        <w:sectPr>
          <w:pgSz w:w="11910" w:h="16840"/>
          <w:pgMar w:top="1900" w:right="992" w:bottom="2155" w:left="1133" w:header="0" w:footer="1106" w:gutter="0"/>
          <w:cols w:space="720" w:num="1"/>
        </w:sectPr>
      </w:pPr>
    </w:p>
    <w:tbl>
      <w:tblPr>
        <w:tblStyle w:val="4"/>
        <w:tblW w:w="0" w:type="auto"/>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317"/>
        <w:gridCol w:w="7455"/>
      </w:tblGrid>
      <w:tr w14:paraId="49104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shd w:val="clear" w:color="auto" w:fill="DDD9C4"/>
          </w:tcPr>
          <w:p w14:paraId="335CA73F">
            <w:pPr>
              <w:pStyle w:val="6"/>
              <w:spacing w:before="147"/>
              <w:ind w:left="8"/>
              <w:jc w:val="center"/>
              <w:rPr>
                <w:sz w:val="24"/>
              </w:rPr>
            </w:pPr>
            <w:bookmarkStart w:id="17" w:name="6"/>
            <w:bookmarkEnd w:id="17"/>
            <w:bookmarkStart w:id="18" w:name="网络数据安全"/>
            <w:bookmarkEnd w:id="18"/>
            <w:bookmarkStart w:id="19" w:name="政务云按照网络安全等级保护三级实施安全防护，部署在政务云上的政务信息系统安全等级"/>
            <w:bookmarkEnd w:id="19"/>
            <w:bookmarkStart w:id="20" w:name="7"/>
            <w:bookmarkEnd w:id="20"/>
            <w:bookmarkStart w:id="21" w:name="运维类及政府购买朊务类"/>
            <w:bookmarkEnd w:id="21"/>
            <w:bookmarkStart w:id="22" w:name="现状说明"/>
            <w:bookmarkEnd w:id="22"/>
            <w:bookmarkStart w:id="23" w:name="1.运行维护朊务项目是否明确了需运维的系统、系统建设时间、 原投资金额、使用现状"/>
            <w:bookmarkEnd w:id="23"/>
            <w:bookmarkStart w:id="24" w:name="2.朊务类项目方面，基础设施朊务是否明确了硬件设备的类别、采购日期、资产原值、使"/>
            <w:bookmarkEnd w:id="24"/>
            <w:bookmarkStart w:id="25" w:name="朊务内容"/>
            <w:bookmarkEnd w:id="25"/>
            <w:r>
              <w:rPr>
                <w:spacing w:val="-5"/>
                <w:sz w:val="24"/>
              </w:rPr>
              <w:t>序号</w:t>
            </w:r>
          </w:p>
        </w:tc>
        <w:tc>
          <w:tcPr>
            <w:tcW w:w="1317" w:type="dxa"/>
            <w:shd w:val="clear" w:color="auto" w:fill="DDD9C4"/>
          </w:tcPr>
          <w:p w14:paraId="33F886DD">
            <w:pPr>
              <w:pStyle w:val="6"/>
              <w:spacing w:before="147"/>
              <w:ind w:left="178"/>
              <w:rPr>
                <w:sz w:val="24"/>
              </w:rPr>
            </w:pPr>
            <w:r>
              <w:rPr>
                <w:spacing w:val="-3"/>
                <w:sz w:val="24"/>
              </w:rPr>
              <w:t>建设内容</w:t>
            </w:r>
          </w:p>
        </w:tc>
        <w:tc>
          <w:tcPr>
            <w:tcW w:w="7455" w:type="dxa"/>
            <w:shd w:val="clear" w:color="auto" w:fill="DDD9C4"/>
          </w:tcPr>
          <w:p w14:paraId="749C3F5A">
            <w:pPr>
              <w:pStyle w:val="6"/>
              <w:spacing w:before="147"/>
              <w:ind w:left="6"/>
              <w:jc w:val="center"/>
              <w:rPr>
                <w:sz w:val="24"/>
              </w:rPr>
            </w:pPr>
            <w:r>
              <w:rPr>
                <w:spacing w:val="-3"/>
                <w:sz w:val="24"/>
              </w:rPr>
              <w:t>审查要点</w:t>
            </w:r>
          </w:p>
        </w:tc>
      </w:tr>
      <w:tr w14:paraId="701D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61" w:type="dxa"/>
          </w:tcPr>
          <w:p w14:paraId="0FC8EE34">
            <w:pPr>
              <w:pStyle w:val="6"/>
              <w:spacing w:before="203"/>
              <w:rPr>
                <w:sz w:val="24"/>
              </w:rPr>
            </w:pPr>
          </w:p>
          <w:p w14:paraId="31636766">
            <w:pPr>
              <w:pStyle w:val="6"/>
              <w:spacing w:before="1"/>
              <w:ind w:left="8"/>
              <w:jc w:val="center"/>
              <w:rPr>
                <w:rFonts w:ascii="Times New Roman"/>
                <w:sz w:val="24"/>
              </w:rPr>
            </w:pPr>
            <w:bookmarkStart w:id="26" w:name="1.是否存在重夊建设的情形，包括但上限于与公共支撑平台重夊，与本单位系统重夊等；"/>
            <w:bookmarkEnd w:id="26"/>
            <w:bookmarkStart w:id="27" w:name="2.如涉及地市业务与数据，是否对区市一体化进行了考虑；"/>
            <w:bookmarkEnd w:id="27"/>
            <w:bookmarkStart w:id="28" w:name="3.运维朊务是否列明所投入运维人员的数量及专业等级并明确 相关朊务的量化指标。"/>
            <w:bookmarkEnd w:id="28"/>
            <w:bookmarkStart w:id="29" w:name="4.运营朊务是否列明所投入运营人员的数量及专业等级并明确相关朊务的量化指标。"/>
            <w:bookmarkEnd w:id="29"/>
            <w:r>
              <w:rPr>
                <w:rFonts w:ascii="Times New Roman"/>
                <w:spacing w:val="-10"/>
                <w:sz w:val="24"/>
              </w:rPr>
              <w:t>6</w:t>
            </w:r>
          </w:p>
        </w:tc>
        <w:tc>
          <w:tcPr>
            <w:tcW w:w="1317" w:type="dxa"/>
          </w:tcPr>
          <w:p w14:paraId="1609C330">
            <w:pPr>
              <w:pStyle w:val="6"/>
              <w:spacing w:before="284" w:line="328" w:lineRule="auto"/>
              <w:ind w:left="418" w:right="166" w:hanging="240"/>
              <w:rPr>
                <w:sz w:val="24"/>
              </w:rPr>
            </w:pPr>
            <w:r>
              <w:rPr>
                <w:spacing w:val="-4"/>
                <w:sz w:val="24"/>
              </w:rPr>
              <w:t>网络数据</w:t>
            </w:r>
            <w:r>
              <w:rPr>
                <w:spacing w:val="-6"/>
                <w:sz w:val="24"/>
              </w:rPr>
              <w:t>安全</w:t>
            </w:r>
          </w:p>
        </w:tc>
        <w:tc>
          <w:tcPr>
            <w:tcW w:w="7455" w:type="dxa"/>
          </w:tcPr>
          <w:p w14:paraId="231C6D4C">
            <w:pPr>
              <w:pStyle w:val="6"/>
              <w:spacing w:before="73" w:line="328" w:lineRule="auto"/>
              <w:ind w:left="106" w:right="136" w:firstLine="480"/>
              <w:rPr>
                <w:sz w:val="24"/>
              </w:rPr>
            </w:pPr>
            <w:r>
              <w:rPr>
                <w:spacing w:val="-2"/>
                <w:sz w:val="24"/>
              </w:rPr>
              <w:t>政务云按照网络安全等级保护三级实施安全防护，部署在政务云</w:t>
            </w:r>
            <w:r>
              <w:rPr>
                <w:spacing w:val="-1"/>
                <w:sz w:val="24"/>
              </w:rPr>
              <w:t>上的政务信息系统安全等级按照国家相关政策法规和技术标准执行。</w:t>
            </w:r>
          </w:p>
          <w:p w14:paraId="59BE7F7E">
            <w:pPr>
              <w:pStyle w:val="6"/>
              <w:spacing w:line="305" w:lineRule="exact"/>
              <w:ind w:left="106"/>
              <w:rPr>
                <w:sz w:val="24"/>
              </w:rPr>
            </w:pPr>
            <w:r>
              <w:rPr>
                <w:spacing w:val="-1"/>
                <w:sz w:val="24"/>
              </w:rPr>
              <w:t>政务云平台、信息系统应通过商用密码应用安全性评估。</w:t>
            </w:r>
          </w:p>
        </w:tc>
      </w:tr>
      <w:tr w14:paraId="25FB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761" w:type="dxa"/>
            <w:vMerge w:val="restart"/>
          </w:tcPr>
          <w:p w14:paraId="57783851">
            <w:pPr>
              <w:pStyle w:val="6"/>
              <w:rPr>
                <w:sz w:val="24"/>
              </w:rPr>
            </w:pPr>
          </w:p>
          <w:p w14:paraId="0A3DE63B">
            <w:pPr>
              <w:pStyle w:val="6"/>
              <w:rPr>
                <w:sz w:val="24"/>
              </w:rPr>
            </w:pPr>
          </w:p>
          <w:p w14:paraId="6910EDA6">
            <w:pPr>
              <w:pStyle w:val="6"/>
              <w:rPr>
                <w:sz w:val="24"/>
              </w:rPr>
            </w:pPr>
          </w:p>
          <w:p w14:paraId="29B35F58">
            <w:pPr>
              <w:pStyle w:val="6"/>
              <w:rPr>
                <w:sz w:val="24"/>
              </w:rPr>
            </w:pPr>
          </w:p>
          <w:p w14:paraId="18F0A9E1">
            <w:pPr>
              <w:pStyle w:val="6"/>
              <w:rPr>
                <w:sz w:val="24"/>
              </w:rPr>
            </w:pPr>
          </w:p>
          <w:p w14:paraId="6712F6E3">
            <w:pPr>
              <w:pStyle w:val="6"/>
              <w:rPr>
                <w:sz w:val="24"/>
              </w:rPr>
            </w:pPr>
          </w:p>
          <w:p w14:paraId="3600B573">
            <w:pPr>
              <w:pStyle w:val="6"/>
              <w:rPr>
                <w:sz w:val="24"/>
              </w:rPr>
            </w:pPr>
          </w:p>
          <w:p w14:paraId="4211A11D">
            <w:pPr>
              <w:pStyle w:val="6"/>
              <w:rPr>
                <w:sz w:val="24"/>
              </w:rPr>
            </w:pPr>
          </w:p>
          <w:p w14:paraId="660E1161">
            <w:pPr>
              <w:pStyle w:val="6"/>
              <w:spacing w:before="40"/>
              <w:rPr>
                <w:sz w:val="24"/>
              </w:rPr>
            </w:pPr>
          </w:p>
          <w:p w14:paraId="67DDB89C">
            <w:pPr>
              <w:pStyle w:val="6"/>
              <w:ind w:left="8"/>
              <w:jc w:val="center"/>
              <w:rPr>
                <w:rFonts w:ascii="Times New Roman"/>
                <w:sz w:val="24"/>
              </w:rPr>
            </w:pPr>
            <w:r>
              <w:rPr>
                <w:rFonts w:ascii="Times New Roman"/>
                <w:spacing w:val="-10"/>
                <w:sz w:val="24"/>
              </w:rPr>
              <w:t>7</w:t>
            </w:r>
          </w:p>
        </w:tc>
        <w:tc>
          <w:tcPr>
            <w:tcW w:w="1317" w:type="dxa"/>
            <w:vMerge w:val="restart"/>
          </w:tcPr>
          <w:p w14:paraId="072D3BB3">
            <w:pPr>
              <w:pStyle w:val="6"/>
              <w:rPr>
                <w:sz w:val="24"/>
              </w:rPr>
            </w:pPr>
          </w:p>
          <w:p w14:paraId="027BF7C4">
            <w:pPr>
              <w:pStyle w:val="6"/>
              <w:rPr>
                <w:sz w:val="24"/>
              </w:rPr>
            </w:pPr>
          </w:p>
          <w:p w14:paraId="0CB08157">
            <w:pPr>
              <w:pStyle w:val="6"/>
              <w:rPr>
                <w:sz w:val="24"/>
              </w:rPr>
            </w:pPr>
          </w:p>
          <w:p w14:paraId="4D2BC464">
            <w:pPr>
              <w:pStyle w:val="6"/>
              <w:rPr>
                <w:sz w:val="24"/>
              </w:rPr>
            </w:pPr>
          </w:p>
          <w:p w14:paraId="63CF723C">
            <w:pPr>
              <w:pStyle w:val="6"/>
              <w:rPr>
                <w:sz w:val="24"/>
              </w:rPr>
            </w:pPr>
          </w:p>
          <w:p w14:paraId="5EDC914E">
            <w:pPr>
              <w:pStyle w:val="6"/>
              <w:rPr>
                <w:sz w:val="24"/>
              </w:rPr>
            </w:pPr>
          </w:p>
          <w:p w14:paraId="243053D3">
            <w:pPr>
              <w:pStyle w:val="6"/>
              <w:spacing w:before="216"/>
              <w:rPr>
                <w:sz w:val="24"/>
              </w:rPr>
            </w:pPr>
          </w:p>
          <w:p w14:paraId="14A28D51">
            <w:pPr>
              <w:pStyle w:val="6"/>
              <w:spacing w:before="1" w:line="328" w:lineRule="auto"/>
              <w:ind w:left="178" w:right="166"/>
              <w:jc w:val="both"/>
              <w:rPr>
                <w:sz w:val="24"/>
              </w:rPr>
            </w:pPr>
            <w:r>
              <w:rPr>
                <w:spacing w:val="-4"/>
                <w:sz w:val="24"/>
              </w:rPr>
              <w:t>运维类及政府购买服务类</w:t>
            </w:r>
          </w:p>
        </w:tc>
        <w:tc>
          <w:tcPr>
            <w:tcW w:w="7455" w:type="dxa"/>
          </w:tcPr>
          <w:p w14:paraId="46EEDF58">
            <w:pPr>
              <w:pStyle w:val="6"/>
              <w:spacing w:before="55"/>
              <w:ind w:left="586"/>
              <w:rPr>
                <w:sz w:val="24"/>
              </w:rPr>
            </w:pPr>
            <w:r>
              <w:rPr>
                <w:spacing w:val="-3"/>
                <w:sz w:val="24"/>
              </w:rPr>
              <w:t>现状说明</w:t>
            </w:r>
          </w:p>
          <w:p w14:paraId="7BC28DDE">
            <w:pPr>
              <w:pStyle w:val="6"/>
              <w:numPr>
                <w:ilvl w:val="0"/>
                <w:numId w:val="1"/>
              </w:numPr>
              <w:tabs>
                <w:tab w:val="left" w:pos="765"/>
              </w:tabs>
              <w:spacing w:before="115" w:after="0" w:line="326" w:lineRule="auto"/>
              <w:ind w:left="106" w:right="196" w:firstLine="480"/>
              <w:jc w:val="left"/>
              <w:rPr>
                <w:sz w:val="24"/>
              </w:rPr>
            </w:pPr>
            <w:r>
              <w:rPr>
                <w:spacing w:val="-2"/>
                <w:sz w:val="24"/>
              </w:rPr>
              <w:t>运行维护服务项目是否明确了需运维的系统、系统建设时间、原投资金额、使用现状及上年运维费用；</w:t>
            </w:r>
          </w:p>
          <w:p w14:paraId="6D6A661E">
            <w:pPr>
              <w:pStyle w:val="6"/>
              <w:numPr>
                <w:ilvl w:val="0"/>
                <w:numId w:val="1"/>
              </w:numPr>
              <w:tabs>
                <w:tab w:val="left" w:pos="765"/>
              </w:tabs>
              <w:spacing w:before="4" w:after="0" w:line="326" w:lineRule="auto"/>
              <w:ind w:left="106" w:right="136" w:firstLine="480"/>
              <w:jc w:val="left"/>
              <w:rPr>
                <w:sz w:val="24"/>
              </w:rPr>
            </w:pPr>
            <w:r>
              <w:rPr>
                <w:spacing w:val="-2"/>
                <w:sz w:val="24"/>
              </w:rPr>
              <w:t>服务类项目方面，基础设施服务是否明确了硬件设备的类别、采购日期、资产原值、使用现状与上年运维费用；系统业务运营项目</w:t>
            </w:r>
          </w:p>
          <w:p w14:paraId="1F81951C">
            <w:pPr>
              <w:pStyle w:val="6"/>
              <w:spacing w:before="1"/>
              <w:ind w:left="106"/>
              <w:rPr>
                <w:sz w:val="24"/>
              </w:rPr>
            </w:pPr>
            <w:r>
              <w:rPr>
                <w:spacing w:val="-1"/>
                <w:sz w:val="24"/>
              </w:rPr>
              <w:t>是否明确所运营系统的建成时间、使用情况、效果及上年运营费用。</w:t>
            </w:r>
          </w:p>
        </w:tc>
      </w:tr>
      <w:tr w14:paraId="7DBE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9" w:hRule="atLeast"/>
        </w:trPr>
        <w:tc>
          <w:tcPr>
            <w:tcW w:w="761" w:type="dxa"/>
            <w:vMerge w:val="continue"/>
            <w:tcBorders>
              <w:top w:val="nil"/>
            </w:tcBorders>
          </w:tcPr>
          <w:p w14:paraId="6FBE7A29">
            <w:pPr>
              <w:rPr>
                <w:sz w:val="2"/>
                <w:szCs w:val="2"/>
              </w:rPr>
            </w:pPr>
          </w:p>
        </w:tc>
        <w:tc>
          <w:tcPr>
            <w:tcW w:w="1317" w:type="dxa"/>
            <w:vMerge w:val="continue"/>
            <w:tcBorders>
              <w:top w:val="nil"/>
            </w:tcBorders>
          </w:tcPr>
          <w:p w14:paraId="6B16B8B8">
            <w:pPr>
              <w:rPr>
                <w:sz w:val="2"/>
                <w:szCs w:val="2"/>
              </w:rPr>
            </w:pPr>
          </w:p>
        </w:tc>
        <w:tc>
          <w:tcPr>
            <w:tcW w:w="7455" w:type="dxa"/>
          </w:tcPr>
          <w:p w14:paraId="77B34DDD">
            <w:pPr>
              <w:pStyle w:val="6"/>
              <w:spacing w:before="55"/>
              <w:ind w:left="586"/>
              <w:rPr>
                <w:sz w:val="24"/>
              </w:rPr>
            </w:pPr>
            <w:r>
              <w:rPr>
                <w:spacing w:val="-3"/>
                <w:sz w:val="24"/>
              </w:rPr>
              <w:t>服务内容</w:t>
            </w:r>
          </w:p>
          <w:p w14:paraId="4A14AD04">
            <w:pPr>
              <w:pStyle w:val="6"/>
              <w:numPr>
                <w:ilvl w:val="0"/>
                <w:numId w:val="2"/>
              </w:numPr>
              <w:tabs>
                <w:tab w:val="left" w:pos="765"/>
              </w:tabs>
              <w:spacing w:before="115" w:after="0" w:line="326" w:lineRule="auto"/>
              <w:ind w:left="106" w:right="-29" w:firstLine="480"/>
              <w:jc w:val="left"/>
              <w:rPr>
                <w:sz w:val="24"/>
              </w:rPr>
            </w:pPr>
            <w:r>
              <w:rPr>
                <w:spacing w:val="-2"/>
                <w:sz w:val="24"/>
              </w:rPr>
              <w:t>是否存在重复建设的情形，包括但不限于与公共支撑平台重复，与本单位系统重复等；</w:t>
            </w:r>
          </w:p>
          <w:p w14:paraId="631040BB">
            <w:pPr>
              <w:pStyle w:val="6"/>
              <w:numPr>
                <w:ilvl w:val="0"/>
                <w:numId w:val="2"/>
              </w:numPr>
              <w:tabs>
                <w:tab w:val="left" w:pos="765"/>
              </w:tabs>
              <w:spacing w:before="4" w:after="0" w:line="240" w:lineRule="auto"/>
              <w:ind w:left="765" w:right="0" w:hanging="179"/>
              <w:jc w:val="left"/>
              <w:rPr>
                <w:sz w:val="24"/>
              </w:rPr>
            </w:pPr>
            <w:r>
              <w:rPr>
                <w:spacing w:val="-1"/>
                <w:sz w:val="24"/>
              </w:rPr>
              <w:t>如涉及地市业务与数据，是否对区市一体化进行了考虑；</w:t>
            </w:r>
          </w:p>
          <w:p w14:paraId="1F2D14F3">
            <w:pPr>
              <w:pStyle w:val="6"/>
              <w:numPr>
                <w:ilvl w:val="0"/>
                <w:numId w:val="2"/>
              </w:numPr>
              <w:tabs>
                <w:tab w:val="left" w:pos="765"/>
              </w:tabs>
              <w:spacing w:before="112" w:after="0" w:line="326" w:lineRule="auto"/>
              <w:ind w:left="106" w:right="436" w:firstLine="480"/>
              <w:jc w:val="left"/>
              <w:rPr>
                <w:sz w:val="24"/>
              </w:rPr>
            </w:pPr>
            <w:r>
              <w:rPr>
                <w:spacing w:val="-2"/>
                <w:sz w:val="24"/>
              </w:rPr>
              <w:t>运维服务是否列明所投入运维人员的数量及专业等级并明确相关服务的量化指标。</w:t>
            </w:r>
          </w:p>
          <w:p w14:paraId="4BDDA0B0">
            <w:pPr>
              <w:pStyle w:val="6"/>
              <w:numPr>
                <w:ilvl w:val="0"/>
                <w:numId w:val="2"/>
              </w:numPr>
              <w:tabs>
                <w:tab w:val="left" w:pos="765"/>
              </w:tabs>
              <w:spacing w:before="4" w:after="0" w:line="240" w:lineRule="auto"/>
              <w:ind w:left="765" w:right="0" w:hanging="179"/>
              <w:jc w:val="left"/>
              <w:rPr>
                <w:sz w:val="24"/>
              </w:rPr>
            </w:pPr>
            <w:r>
              <w:rPr>
                <w:spacing w:val="-1"/>
                <w:sz w:val="24"/>
              </w:rPr>
              <w:t>运营服务是否列明所投入运营人员的数量及专业等级并明确相</w:t>
            </w:r>
          </w:p>
          <w:p w14:paraId="270899BB">
            <w:pPr>
              <w:pStyle w:val="6"/>
              <w:spacing w:before="110"/>
              <w:ind w:left="106"/>
              <w:rPr>
                <w:sz w:val="24"/>
              </w:rPr>
            </w:pPr>
            <w:r>
              <w:rPr>
                <w:spacing w:val="-2"/>
                <w:sz w:val="24"/>
              </w:rPr>
              <w:t>关服务的量化指标。</w:t>
            </w:r>
          </w:p>
        </w:tc>
      </w:tr>
    </w:tbl>
    <w:p w14:paraId="3CD2640A">
      <w:pPr>
        <w:pStyle w:val="6"/>
        <w:spacing w:after="0"/>
        <w:rPr>
          <w:sz w:val="24"/>
        </w:rPr>
        <w:sectPr>
          <w:type w:val="continuous"/>
          <w:pgSz w:w="11910" w:h="16840"/>
          <w:pgMar w:top="1900" w:right="992" w:bottom="1300" w:left="1133" w:header="0" w:footer="1106" w:gutter="0"/>
          <w:cols w:space="720" w:num="1"/>
        </w:sectPr>
      </w:pPr>
    </w:p>
    <w:p w14:paraId="0F16E0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6" w:hanging="180"/>
        <w:jc w:val="left"/>
      </w:pPr>
      <w:rPr>
        <w:rFonts w:hint="default" w:ascii="Times New Roman" w:hAnsi="Times New Roman" w:eastAsia="Times New Roman" w:cs="Times New Roman"/>
        <w:b w:val="0"/>
        <w:bCs w:val="0"/>
        <w:i w:val="0"/>
        <w:iCs w:val="0"/>
        <w:spacing w:val="-3"/>
        <w:w w:val="100"/>
        <w:sz w:val="22"/>
        <w:szCs w:val="22"/>
        <w:lang w:val="en-US" w:eastAsia="zh-CN" w:bidi="ar-SA"/>
      </w:rPr>
    </w:lvl>
    <w:lvl w:ilvl="1" w:tentative="0">
      <w:start w:val="0"/>
      <w:numFmt w:val="bullet"/>
      <w:lvlText w:val="•"/>
      <w:lvlJc w:val="left"/>
      <w:pPr>
        <w:ind w:left="834" w:hanging="180"/>
      </w:pPr>
      <w:rPr>
        <w:rFonts w:hint="default"/>
        <w:lang w:val="en-US" w:eastAsia="zh-CN" w:bidi="ar-SA"/>
      </w:rPr>
    </w:lvl>
    <w:lvl w:ilvl="2" w:tentative="0">
      <w:start w:val="0"/>
      <w:numFmt w:val="bullet"/>
      <w:lvlText w:val="•"/>
      <w:lvlJc w:val="left"/>
      <w:pPr>
        <w:ind w:left="1569" w:hanging="180"/>
      </w:pPr>
      <w:rPr>
        <w:rFonts w:hint="default"/>
        <w:lang w:val="en-US" w:eastAsia="zh-CN" w:bidi="ar-SA"/>
      </w:rPr>
    </w:lvl>
    <w:lvl w:ilvl="3" w:tentative="0">
      <w:start w:val="0"/>
      <w:numFmt w:val="bullet"/>
      <w:lvlText w:val="•"/>
      <w:lvlJc w:val="left"/>
      <w:pPr>
        <w:ind w:left="2303" w:hanging="180"/>
      </w:pPr>
      <w:rPr>
        <w:rFonts w:hint="default"/>
        <w:lang w:val="en-US" w:eastAsia="zh-CN" w:bidi="ar-SA"/>
      </w:rPr>
    </w:lvl>
    <w:lvl w:ilvl="4" w:tentative="0">
      <w:start w:val="0"/>
      <w:numFmt w:val="bullet"/>
      <w:lvlText w:val="•"/>
      <w:lvlJc w:val="left"/>
      <w:pPr>
        <w:ind w:left="3038" w:hanging="180"/>
      </w:pPr>
      <w:rPr>
        <w:rFonts w:hint="default"/>
        <w:lang w:val="en-US" w:eastAsia="zh-CN" w:bidi="ar-SA"/>
      </w:rPr>
    </w:lvl>
    <w:lvl w:ilvl="5" w:tentative="0">
      <w:start w:val="0"/>
      <w:numFmt w:val="bullet"/>
      <w:lvlText w:val="•"/>
      <w:lvlJc w:val="left"/>
      <w:pPr>
        <w:ind w:left="3772" w:hanging="180"/>
      </w:pPr>
      <w:rPr>
        <w:rFonts w:hint="default"/>
        <w:lang w:val="en-US" w:eastAsia="zh-CN" w:bidi="ar-SA"/>
      </w:rPr>
    </w:lvl>
    <w:lvl w:ilvl="6" w:tentative="0">
      <w:start w:val="0"/>
      <w:numFmt w:val="bullet"/>
      <w:lvlText w:val="•"/>
      <w:lvlJc w:val="left"/>
      <w:pPr>
        <w:ind w:left="4507" w:hanging="180"/>
      </w:pPr>
      <w:rPr>
        <w:rFonts w:hint="default"/>
        <w:lang w:val="en-US" w:eastAsia="zh-CN" w:bidi="ar-SA"/>
      </w:rPr>
    </w:lvl>
    <w:lvl w:ilvl="7" w:tentative="0">
      <w:start w:val="0"/>
      <w:numFmt w:val="bullet"/>
      <w:lvlText w:val="•"/>
      <w:lvlJc w:val="left"/>
      <w:pPr>
        <w:ind w:left="5241" w:hanging="180"/>
      </w:pPr>
      <w:rPr>
        <w:rFonts w:hint="default"/>
        <w:lang w:val="en-US" w:eastAsia="zh-CN" w:bidi="ar-SA"/>
      </w:rPr>
    </w:lvl>
    <w:lvl w:ilvl="8" w:tentative="0">
      <w:start w:val="0"/>
      <w:numFmt w:val="bullet"/>
      <w:lvlText w:val="•"/>
      <w:lvlJc w:val="left"/>
      <w:pPr>
        <w:ind w:left="5976" w:hanging="180"/>
      </w:pPr>
      <w:rPr>
        <w:rFonts w:hint="default"/>
        <w:lang w:val="en-US" w:eastAsia="zh-CN" w:bidi="ar-SA"/>
      </w:rPr>
    </w:lvl>
  </w:abstractNum>
  <w:abstractNum w:abstractNumId="1">
    <w:nsid w:val="03D62ECE"/>
    <w:multiLevelType w:val="multilevel"/>
    <w:tmpl w:val="03D62ECE"/>
    <w:lvl w:ilvl="0" w:tentative="0">
      <w:start w:val="1"/>
      <w:numFmt w:val="decimal"/>
      <w:lvlText w:val="%1."/>
      <w:lvlJc w:val="left"/>
      <w:pPr>
        <w:ind w:left="106" w:hanging="180"/>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834" w:hanging="180"/>
      </w:pPr>
      <w:rPr>
        <w:rFonts w:hint="default"/>
        <w:lang w:val="en-US" w:eastAsia="zh-CN" w:bidi="ar-SA"/>
      </w:rPr>
    </w:lvl>
    <w:lvl w:ilvl="2" w:tentative="0">
      <w:start w:val="0"/>
      <w:numFmt w:val="bullet"/>
      <w:lvlText w:val="•"/>
      <w:lvlJc w:val="left"/>
      <w:pPr>
        <w:ind w:left="1569" w:hanging="180"/>
      </w:pPr>
      <w:rPr>
        <w:rFonts w:hint="default"/>
        <w:lang w:val="en-US" w:eastAsia="zh-CN" w:bidi="ar-SA"/>
      </w:rPr>
    </w:lvl>
    <w:lvl w:ilvl="3" w:tentative="0">
      <w:start w:val="0"/>
      <w:numFmt w:val="bullet"/>
      <w:lvlText w:val="•"/>
      <w:lvlJc w:val="left"/>
      <w:pPr>
        <w:ind w:left="2303" w:hanging="180"/>
      </w:pPr>
      <w:rPr>
        <w:rFonts w:hint="default"/>
        <w:lang w:val="en-US" w:eastAsia="zh-CN" w:bidi="ar-SA"/>
      </w:rPr>
    </w:lvl>
    <w:lvl w:ilvl="4" w:tentative="0">
      <w:start w:val="0"/>
      <w:numFmt w:val="bullet"/>
      <w:lvlText w:val="•"/>
      <w:lvlJc w:val="left"/>
      <w:pPr>
        <w:ind w:left="3038" w:hanging="180"/>
      </w:pPr>
      <w:rPr>
        <w:rFonts w:hint="default"/>
        <w:lang w:val="en-US" w:eastAsia="zh-CN" w:bidi="ar-SA"/>
      </w:rPr>
    </w:lvl>
    <w:lvl w:ilvl="5" w:tentative="0">
      <w:start w:val="0"/>
      <w:numFmt w:val="bullet"/>
      <w:lvlText w:val="•"/>
      <w:lvlJc w:val="left"/>
      <w:pPr>
        <w:ind w:left="3772" w:hanging="180"/>
      </w:pPr>
      <w:rPr>
        <w:rFonts w:hint="default"/>
        <w:lang w:val="en-US" w:eastAsia="zh-CN" w:bidi="ar-SA"/>
      </w:rPr>
    </w:lvl>
    <w:lvl w:ilvl="6" w:tentative="0">
      <w:start w:val="0"/>
      <w:numFmt w:val="bullet"/>
      <w:lvlText w:val="•"/>
      <w:lvlJc w:val="left"/>
      <w:pPr>
        <w:ind w:left="4507" w:hanging="180"/>
      </w:pPr>
      <w:rPr>
        <w:rFonts w:hint="default"/>
        <w:lang w:val="en-US" w:eastAsia="zh-CN" w:bidi="ar-SA"/>
      </w:rPr>
    </w:lvl>
    <w:lvl w:ilvl="7" w:tentative="0">
      <w:start w:val="0"/>
      <w:numFmt w:val="bullet"/>
      <w:lvlText w:val="•"/>
      <w:lvlJc w:val="left"/>
      <w:pPr>
        <w:ind w:left="5241" w:hanging="180"/>
      </w:pPr>
      <w:rPr>
        <w:rFonts w:hint="default"/>
        <w:lang w:val="en-US" w:eastAsia="zh-CN" w:bidi="ar-SA"/>
      </w:rPr>
    </w:lvl>
    <w:lvl w:ilvl="8" w:tentative="0">
      <w:start w:val="0"/>
      <w:numFmt w:val="bullet"/>
      <w:lvlText w:val="•"/>
      <w:lvlJc w:val="left"/>
      <w:pPr>
        <w:ind w:left="5976" w:hanging="180"/>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148F9"/>
    <w:rsid w:val="0971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176"/>
      <w:jc w:val="center"/>
      <w:outlineLvl w:val="1"/>
    </w:pPr>
    <w:rPr>
      <w:rFonts w:ascii="宋体" w:hAnsi="宋体" w:eastAsia="宋体" w:cs="宋体"/>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customStyle="1" w:styleId="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2025-03-28T08:17:00Z</dcterms:created>
  <dc:creator>yuge_nong</dc:creator>
  <cp:lastModifiedBy>yuge_nong</cp:lastModifiedBy>
  <dcterms:modified xsi:type="dcterms:W3CDTF">2025-03-28T08:18:21Z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EA0EC8F2C6C241BDAE2F659041FDFB5B_11</vt:lpwstr>
  </property>
  <property fmtid="{D5CDD505-2E9C-101B-9397-08002B2CF9AE}" pid="4" name="KSOTemplateDocerSaveRecord">
    <vt:lpwstr>eyJoZGlkIjoiZWYzMTZkM2MxNjM4ZWI0ODU5ZWJiNDE0NjhhODBiZTEiLCJ1c2VySWQiOiIyOTExNTYxNjEifQ==</vt:lpwstr>
  </property>
</Properties>
</file>