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F748B">
      <w:pPr>
        <w:spacing w:line="590" w:lineRule="exact"/>
        <w:jc w:val="center"/>
        <w:rPr>
          <w:rFonts w:hint="eastAsia" w:ascii="方正小标宋_GBK" w:hAnsi="Calibri" w:eastAsia="方正小标宋_GBK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Calibri" w:eastAsia="方正小标宋_GBK"/>
          <w:color w:val="000000"/>
          <w:sz w:val="44"/>
          <w:szCs w:val="44"/>
        </w:rPr>
        <w:t>政府网站监测评分表</w:t>
      </w:r>
    </w:p>
    <w:p w14:paraId="1882B6CF">
      <w:pPr>
        <w:spacing w:line="360" w:lineRule="exact"/>
        <w:jc w:val="left"/>
        <w:rPr>
          <w:rFonts w:hint="eastAsia" w:ascii="方正仿宋_GBK" w:eastAsia="方正仿宋_GBK"/>
          <w:color w:val="000000"/>
          <w:sz w:val="24"/>
        </w:rPr>
      </w:pPr>
    </w:p>
    <w:p w14:paraId="7F419822">
      <w:pPr>
        <w:pStyle w:val="2"/>
        <w:widowControl w:val="0"/>
        <w:adjustRightInd w:val="0"/>
        <w:snapToGrid w:val="0"/>
        <w:spacing w:before="0" w:beforeAutospacing="0" w:after="122" w:afterLines="30" w:afterAutospacing="0" w:line="360" w:lineRule="exact"/>
        <w:jc w:val="right"/>
        <w:rPr>
          <w:rFonts w:ascii="Times New Roman" w:hAnsi="Times New Roman" w:eastAsia="方正仿宋_GBK" w:cs="Times New Roman"/>
          <w:color w:val="000000"/>
        </w:rPr>
      </w:pPr>
      <w:r>
        <w:rPr>
          <w:rFonts w:ascii="Times New Roman" w:hAnsi="Times New Roman" w:eastAsia="方正仿宋_GBK" w:cs="Times New Roman"/>
          <w:color w:val="000000"/>
        </w:rPr>
        <w:t>总分：100分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775"/>
        <w:gridCol w:w="2609"/>
        <w:gridCol w:w="3837"/>
        <w:gridCol w:w="769"/>
        <w:gridCol w:w="445"/>
      </w:tblGrid>
      <w:tr w14:paraId="41CD2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Header/>
          <w:jc w:val="center"/>
        </w:trPr>
        <w:tc>
          <w:tcPr>
            <w:tcW w:w="63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831737">
            <w:pPr>
              <w:widowControl/>
              <w:spacing w:line="320" w:lineRule="exact"/>
              <w:jc w:val="center"/>
              <w:rPr>
                <w:rFonts w:hint="eastAsia" w:ascii="方正黑体_GBK" w:eastAsia="方正黑体_GBK" w:cs="宋体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 w:cs="宋体"/>
                <w:color w:val="000000"/>
                <w:sz w:val="21"/>
                <w:szCs w:val="21"/>
              </w:rPr>
              <w:t>一级</w:t>
            </w:r>
          </w:p>
          <w:p w14:paraId="7E3C578F">
            <w:pPr>
              <w:widowControl/>
              <w:spacing w:line="320" w:lineRule="exact"/>
              <w:jc w:val="center"/>
              <w:rPr>
                <w:rFonts w:hint="eastAsia" w:ascii="方正黑体_GBK" w:eastAsia="方正黑体_GBK" w:cs="宋体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 w:cs="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77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C0172B">
            <w:pPr>
              <w:widowControl/>
              <w:spacing w:line="320" w:lineRule="exact"/>
              <w:jc w:val="center"/>
              <w:rPr>
                <w:rFonts w:hint="eastAsia" w:ascii="方正黑体_GBK" w:eastAsia="方正黑体_GBK" w:cs="宋体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 w:cs="宋体"/>
                <w:color w:val="000000"/>
                <w:sz w:val="21"/>
                <w:szCs w:val="21"/>
              </w:rPr>
              <w:t>二级</w:t>
            </w:r>
          </w:p>
          <w:p w14:paraId="5F2701D1">
            <w:pPr>
              <w:widowControl/>
              <w:spacing w:line="320" w:lineRule="exact"/>
              <w:jc w:val="center"/>
              <w:rPr>
                <w:rFonts w:hint="eastAsia" w:ascii="方正黑体_GBK" w:eastAsia="方正黑体_GBK" w:cs="宋体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 w:cs="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26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D3A264">
            <w:pPr>
              <w:widowControl/>
              <w:spacing w:line="320" w:lineRule="exact"/>
              <w:jc w:val="center"/>
              <w:rPr>
                <w:rFonts w:hint="eastAsia" w:ascii="方正黑体_GBK" w:eastAsia="方正黑体_GBK" w:cs="宋体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 w:cs="宋体"/>
                <w:color w:val="000000"/>
                <w:sz w:val="21"/>
                <w:szCs w:val="21"/>
              </w:rPr>
              <w:t>考察点</w:t>
            </w:r>
          </w:p>
        </w:tc>
        <w:tc>
          <w:tcPr>
            <w:tcW w:w="383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6D20C8">
            <w:pPr>
              <w:widowControl/>
              <w:spacing w:line="320" w:lineRule="exact"/>
              <w:jc w:val="center"/>
              <w:rPr>
                <w:rFonts w:hint="eastAsia" w:ascii="方正黑体_GBK" w:eastAsia="方正黑体_GBK" w:cs="宋体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 w:cs="宋体"/>
                <w:color w:val="000000"/>
                <w:sz w:val="21"/>
                <w:szCs w:val="21"/>
              </w:rPr>
              <w:t>扣分细则</w:t>
            </w:r>
          </w:p>
        </w:tc>
        <w:tc>
          <w:tcPr>
            <w:tcW w:w="76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0F81F4">
            <w:pPr>
              <w:widowControl/>
              <w:spacing w:line="320" w:lineRule="exact"/>
              <w:jc w:val="center"/>
              <w:rPr>
                <w:rFonts w:hint="eastAsia" w:ascii="方正黑体_GBK" w:eastAsia="方正黑体_GBK" w:cs="宋体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 w:cs="宋体"/>
                <w:color w:val="000000"/>
                <w:sz w:val="21"/>
                <w:szCs w:val="21"/>
              </w:rPr>
              <w:t>存在的</w:t>
            </w:r>
          </w:p>
          <w:p w14:paraId="462013FE">
            <w:pPr>
              <w:widowControl/>
              <w:spacing w:line="320" w:lineRule="exact"/>
              <w:jc w:val="center"/>
              <w:rPr>
                <w:rFonts w:hint="eastAsia" w:ascii="方正黑体_GBK" w:eastAsia="方正黑体_GBK" w:cs="宋体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 w:cs="宋体"/>
                <w:color w:val="000000"/>
                <w:sz w:val="21"/>
                <w:szCs w:val="21"/>
              </w:rPr>
              <w:t>问题</w:t>
            </w:r>
          </w:p>
        </w:tc>
        <w:tc>
          <w:tcPr>
            <w:tcW w:w="44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6AD54A">
            <w:pPr>
              <w:widowControl/>
              <w:spacing w:line="320" w:lineRule="exact"/>
              <w:jc w:val="center"/>
              <w:rPr>
                <w:rFonts w:hint="eastAsia" w:ascii="方正黑体_GBK" w:eastAsia="方正黑体_GBK" w:cs="宋体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 w:cs="宋体"/>
                <w:color w:val="000000"/>
                <w:sz w:val="21"/>
                <w:szCs w:val="21"/>
              </w:rPr>
              <w:t>扣分</w:t>
            </w:r>
          </w:p>
        </w:tc>
      </w:tr>
      <w:tr w14:paraId="60CD5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37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7FC551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单项</w:t>
            </w:r>
          </w:p>
          <w:p w14:paraId="33498975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否决</w:t>
            </w:r>
          </w:p>
        </w:tc>
        <w:tc>
          <w:tcPr>
            <w:tcW w:w="77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0331F0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站点</w:t>
            </w:r>
          </w:p>
          <w:p w14:paraId="59C7B07C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无法</w:t>
            </w:r>
          </w:p>
          <w:p w14:paraId="515AC092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访问</w:t>
            </w:r>
          </w:p>
        </w:tc>
        <w:tc>
          <w:tcPr>
            <w:tcW w:w="26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2E14A2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首页打不开的次数占全部监测次数的比例。</w:t>
            </w:r>
          </w:p>
        </w:tc>
        <w:tc>
          <w:tcPr>
            <w:tcW w:w="383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C83632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监测1周，每天间隔性访问20次以上，超过（含）15秒网站仍打不开的次数比例累计超过（含）5%，即单项否决。</w:t>
            </w:r>
          </w:p>
        </w:tc>
        <w:tc>
          <w:tcPr>
            <w:tcW w:w="76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E9DA2D">
            <w:pPr>
              <w:widowControl/>
              <w:spacing w:line="320" w:lineRule="exact"/>
              <w:jc w:val="lef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4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EF4472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—</w:t>
            </w:r>
          </w:p>
        </w:tc>
      </w:tr>
      <w:tr w14:paraId="5F027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7" w:type="dxa"/>
            <w:vMerge w:val="continue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68EAE">
            <w:pPr>
              <w:widowControl/>
              <w:spacing w:line="320" w:lineRule="exact"/>
              <w:jc w:val="lef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BACAEB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网站</w:t>
            </w:r>
          </w:p>
          <w:p w14:paraId="0C99612C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不更新</w:t>
            </w:r>
          </w:p>
        </w:tc>
        <w:tc>
          <w:tcPr>
            <w:tcW w:w="26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9B585B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首页栏目信息更新情况。</w:t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如首页仅为网站栏目导航入口，则检查所有二级页面栏目信息的更新情况。</w:t>
            </w:r>
          </w:p>
        </w:tc>
        <w:tc>
          <w:tcPr>
            <w:tcW w:w="383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19C22E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监测2周，首页栏目无信息更新的，即单项否决。</w:t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（注：未注明信息发布时间的视为不更新，下同。）</w:t>
            </w:r>
          </w:p>
        </w:tc>
        <w:tc>
          <w:tcPr>
            <w:tcW w:w="76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CFE19C">
            <w:pPr>
              <w:widowControl/>
              <w:spacing w:line="320" w:lineRule="exact"/>
              <w:jc w:val="lef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4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56F34C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—</w:t>
            </w:r>
          </w:p>
        </w:tc>
      </w:tr>
      <w:tr w14:paraId="6E1E0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  <w:jc w:val="center"/>
        </w:trPr>
        <w:tc>
          <w:tcPr>
            <w:tcW w:w="637" w:type="dxa"/>
            <w:vMerge w:val="continue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0CE474">
            <w:pPr>
              <w:widowControl/>
              <w:spacing w:line="320" w:lineRule="exact"/>
              <w:jc w:val="lef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4B652B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栏目不更新</w:t>
            </w:r>
          </w:p>
        </w:tc>
        <w:tc>
          <w:tcPr>
            <w:tcW w:w="26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7AE987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1.动态、要闻、通知公告、政策文件等信息长期未更新的栏目数量；</w:t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2.网站中应更新但长期未更新的栏目数量；</w:t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3.网站中的空白栏目（有栏目无内容）数量。</w:t>
            </w:r>
          </w:p>
        </w:tc>
        <w:tc>
          <w:tcPr>
            <w:tcW w:w="383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119C1A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1.监测时间点前2周内的动态、要闻类栏目，以及监测时间点前6个月内的通知公告、政策文件类栏目，累计超过（含）5个未更新；</w:t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2.网站中应更新但长期未更新的栏目数超过（含）10个；</w:t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3.空白栏目数量超过（含）5个。</w:t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上述情况出现任意一种，即单项否决。</w:t>
            </w:r>
          </w:p>
        </w:tc>
        <w:tc>
          <w:tcPr>
            <w:tcW w:w="76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A6416B">
            <w:pPr>
              <w:widowControl/>
              <w:spacing w:line="320" w:lineRule="exact"/>
              <w:jc w:val="lef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4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43322B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—</w:t>
            </w:r>
          </w:p>
        </w:tc>
      </w:tr>
      <w:tr w14:paraId="541F2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  <w:jc w:val="center"/>
        </w:trPr>
        <w:tc>
          <w:tcPr>
            <w:tcW w:w="637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9E4E72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单项</w:t>
            </w:r>
          </w:p>
          <w:p w14:paraId="2318B82C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否决</w:t>
            </w:r>
          </w:p>
        </w:tc>
        <w:tc>
          <w:tcPr>
            <w:tcW w:w="77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16A937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严重</w:t>
            </w:r>
          </w:p>
          <w:p w14:paraId="41103107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错误</w:t>
            </w:r>
          </w:p>
        </w:tc>
        <w:tc>
          <w:tcPr>
            <w:tcW w:w="26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212EB0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1.网站存在严重错别字；</w:t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2.网站存在虚假或伪造内容；</w:t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3.网站存在反动、暴力、色情等内容。</w:t>
            </w:r>
          </w:p>
        </w:tc>
        <w:tc>
          <w:tcPr>
            <w:tcW w:w="383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0001AE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网站出现严重错别字（例如，将党和国家领导人姓名写错）、虚假或伪造内容（例如，严重不符合实际情况的文字、图片、视频）以及反动、暴力、色情等内容的，即单项否决。</w:t>
            </w:r>
          </w:p>
        </w:tc>
        <w:tc>
          <w:tcPr>
            <w:tcW w:w="76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4B8B03">
            <w:pPr>
              <w:widowControl/>
              <w:spacing w:line="320" w:lineRule="exact"/>
              <w:jc w:val="lef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4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480144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—</w:t>
            </w:r>
          </w:p>
        </w:tc>
      </w:tr>
      <w:tr w14:paraId="21FD7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637" w:type="dxa"/>
            <w:vMerge w:val="continue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BEDDE9">
            <w:pPr>
              <w:widowControl/>
              <w:spacing w:line="320" w:lineRule="exact"/>
              <w:jc w:val="lef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D3F8E7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互动</w:t>
            </w:r>
          </w:p>
          <w:p w14:paraId="4B62C78A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回应差</w:t>
            </w:r>
          </w:p>
        </w:tc>
        <w:tc>
          <w:tcPr>
            <w:tcW w:w="26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26CCF0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互动回应类栏目长期未回应的情况。</w:t>
            </w:r>
          </w:p>
        </w:tc>
        <w:tc>
          <w:tcPr>
            <w:tcW w:w="383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9D4568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监测时间点前1年内，要求对公众信件、留言及时答复处理的政务咨询类栏目（在线访谈、调查征集、举报投诉类栏目除外）中存在超过三个月未回应的现象，即单项否决。</w:t>
            </w:r>
          </w:p>
        </w:tc>
        <w:tc>
          <w:tcPr>
            <w:tcW w:w="76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94E442">
            <w:pPr>
              <w:widowControl/>
              <w:spacing w:line="320" w:lineRule="exact"/>
              <w:jc w:val="lef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4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C5130E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—</w:t>
            </w:r>
          </w:p>
        </w:tc>
      </w:tr>
      <w:tr w14:paraId="18995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9072" w:type="dxa"/>
            <w:gridSpan w:val="6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0D9F6E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注：如果网站出现“单项否决”指标中的任意一种情形，则判定为不合格网站，不再对以下指标进行评分。如果网站未存在“单项否决”指标所描述的问题，则对以下指标进行评分，各指标累计扣分超过40分的，则同样判定为不合格网站。</w:t>
            </w:r>
          </w:p>
        </w:tc>
      </w:tr>
      <w:tr w14:paraId="1B9E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637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FBDA2D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网站</w:t>
            </w:r>
          </w:p>
          <w:p w14:paraId="66D86CE1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可用性</w:t>
            </w:r>
          </w:p>
        </w:tc>
        <w:tc>
          <w:tcPr>
            <w:tcW w:w="77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FC2D81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首页</w:t>
            </w:r>
          </w:p>
          <w:p w14:paraId="4417F9ED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可用性</w:t>
            </w:r>
          </w:p>
        </w:tc>
        <w:tc>
          <w:tcPr>
            <w:tcW w:w="26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0F4C73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首页打不开的次数占全部监测次数的比例。</w:t>
            </w:r>
          </w:p>
        </w:tc>
        <w:tc>
          <w:tcPr>
            <w:tcW w:w="383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42DFB8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监测1周，每天间隔性访问20次以上，累计超过（含）15秒网站仍打不开的次数比例每1%扣5分（累计超过（含）5%的，直接列入单项否决）。</w:t>
            </w:r>
          </w:p>
        </w:tc>
        <w:tc>
          <w:tcPr>
            <w:tcW w:w="76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AD1AF6">
            <w:pPr>
              <w:widowControl/>
              <w:spacing w:line="320" w:lineRule="exact"/>
              <w:jc w:val="lef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4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BCF594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 </w:t>
            </w:r>
          </w:p>
        </w:tc>
      </w:tr>
      <w:tr w14:paraId="15FC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7" w:type="dxa"/>
            <w:vMerge w:val="continue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6DFE56">
            <w:pPr>
              <w:widowControl/>
              <w:spacing w:line="320" w:lineRule="exact"/>
              <w:jc w:val="lef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8F5A50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链接</w:t>
            </w:r>
          </w:p>
          <w:p w14:paraId="20C9A4E9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可用性</w:t>
            </w:r>
          </w:p>
        </w:tc>
        <w:tc>
          <w:tcPr>
            <w:tcW w:w="26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1A82A5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首页及其他页面不能正常访问的链接数量。</w:t>
            </w:r>
          </w:p>
        </w:tc>
        <w:tc>
          <w:tcPr>
            <w:tcW w:w="383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2B8AB9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1.首页上的链接（包括图片、附件、外部链接等），每发现一个打不开或错误的，扣1分；如首页仅为网站栏目导航入口，则检查所有二级页面上的链接。</w:t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2.其他页面的链接（包括图片、附件、外部链接等），每发现一个打不开或错误的，扣0.1分。</w:t>
            </w:r>
          </w:p>
        </w:tc>
        <w:tc>
          <w:tcPr>
            <w:tcW w:w="76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E1363B">
            <w:pPr>
              <w:widowControl/>
              <w:spacing w:line="320" w:lineRule="exact"/>
              <w:jc w:val="lef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4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0404C1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 </w:t>
            </w:r>
          </w:p>
        </w:tc>
      </w:tr>
      <w:tr w14:paraId="07F44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22DB93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信息</w:t>
            </w:r>
          </w:p>
          <w:p w14:paraId="10FCCCA6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更新</w:t>
            </w:r>
          </w:p>
          <w:p w14:paraId="093E2901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77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9637C2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首页</w:t>
            </w:r>
          </w:p>
          <w:p w14:paraId="6E8F3B14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栏目</w:t>
            </w:r>
          </w:p>
        </w:tc>
        <w:tc>
          <w:tcPr>
            <w:tcW w:w="26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A47ED5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首页栏目信息更新数量。</w:t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如首页仅为网站栏目导航入口，则检查所有二级页面栏目信息更新情况。</w:t>
            </w:r>
          </w:p>
        </w:tc>
        <w:tc>
          <w:tcPr>
            <w:tcW w:w="383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D9C3E2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监测2周，首页栏目信息更新总量少于10条的，扣5分（2周内首页栏目信息更新总量为0的，直接列入单项否决）。</w:t>
            </w:r>
          </w:p>
        </w:tc>
        <w:tc>
          <w:tcPr>
            <w:tcW w:w="76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92C65A">
            <w:pPr>
              <w:widowControl/>
              <w:spacing w:line="320" w:lineRule="exact"/>
              <w:jc w:val="lef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4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C2C3E3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 </w:t>
            </w:r>
          </w:p>
        </w:tc>
      </w:tr>
      <w:tr w14:paraId="3F456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atLeast"/>
          <w:jc w:val="center"/>
        </w:trPr>
        <w:tc>
          <w:tcPr>
            <w:tcW w:w="63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B901CD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信息</w:t>
            </w:r>
          </w:p>
          <w:p w14:paraId="5C853DD3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更新</w:t>
            </w:r>
          </w:p>
          <w:p w14:paraId="77B719EF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77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296D0B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基本</w:t>
            </w:r>
          </w:p>
          <w:p w14:paraId="0E993483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26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69CA46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1.基本信息更新是否及时；</w:t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2.基本信息内容是否准确。</w:t>
            </w:r>
          </w:p>
        </w:tc>
        <w:tc>
          <w:tcPr>
            <w:tcW w:w="383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A97CED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1.监测时间点前2周内，动态、要闻类信息，每发现1个栏目未更新的，扣3分；</w:t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2.监测时间点前6个月内，通知公告、政策文件类信息，每发现1个栏目未更新的，扣4分；</w:t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eastAsia="方正仿宋_GBK" w:cs="宋体"/>
                <w:color w:val="000000"/>
                <w:spacing w:val="4"/>
                <w:sz w:val="21"/>
                <w:szCs w:val="21"/>
              </w:rPr>
              <w:t>监测时间点前1年内，人事、规划计划类信息，每发现1个栏目未更新的，扣5分；</w:t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4.机构设置及职能、动态、要闻、通知公告、政策文件、规划计划、人事等信息不准确的，每发现1次扣1分。</w:t>
            </w:r>
          </w:p>
        </w:tc>
        <w:tc>
          <w:tcPr>
            <w:tcW w:w="76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EE15E">
            <w:pPr>
              <w:widowControl/>
              <w:spacing w:line="320" w:lineRule="exact"/>
              <w:jc w:val="lef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4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4B660A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 </w:t>
            </w:r>
          </w:p>
        </w:tc>
      </w:tr>
      <w:tr w14:paraId="5F739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637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39FB28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互动</w:t>
            </w:r>
          </w:p>
          <w:p w14:paraId="3F84667E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回应</w:t>
            </w:r>
          </w:p>
          <w:p w14:paraId="3115AE96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77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3BB13C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政务</w:t>
            </w:r>
          </w:p>
          <w:p w14:paraId="61E784A5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咨询</w:t>
            </w:r>
          </w:p>
          <w:p w14:paraId="5C13935A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类栏目</w:t>
            </w:r>
          </w:p>
        </w:tc>
        <w:tc>
          <w:tcPr>
            <w:tcW w:w="26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DC28F3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1.渠道建设情况；</w:t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2.栏目使用情况。</w:t>
            </w:r>
          </w:p>
        </w:tc>
        <w:tc>
          <w:tcPr>
            <w:tcW w:w="383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4C086F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1.未开设栏目的，扣5分；</w:t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2.开设了栏目，但监测时间点前1年内栏目中无任何有效信件、留言的，扣5分。</w:t>
            </w:r>
          </w:p>
        </w:tc>
        <w:tc>
          <w:tcPr>
            <w:tcW w:w="76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DAC22D">
            <w:pPr>
              <w:widowControl/>
              <w:spacing w:line="320" w:lineRule="exact"/>
              <w:jc w:val="lef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4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9CDE92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 </w:t>
            </w:r>
          </w:p>
        </w:tc>
      </w:tr>
      <w:tr w14:paraId="283F2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637" w:type="dxa"/>
            <w:vMerge w:val="continue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9A3B99">
            <w:pPr>
              <w:widowControl/>
              <w:spacing w:line="320" w:lineRule="exact"/>
              <w:jc w:val="lef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BC8C4E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调查</w:t>
            </w:r>
          </w:p>
          <w:p w14:paraId="1A15F955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征集</w:t>
            </w:r>
          </w:p>
          <w:p w14:paraId="09D00B4E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类栏目</w:t>
            </w:r>
          </w:p>
        </w:tc>
        <w:tc>
          <w:tcPr>
            <w:tcW w:w="26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29234C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1.渠道建设情况；</w:t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2.调查征集活动开展情况。</w:t>
            </w:r>
          </w:p>
        </w:tc>
        <w:tc>
          <w:tcPr>
            <w:tcW w:w="383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0E536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1.未开设栏目的，扣5分；</w:t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2.开设了栏目，但栏目不可用或监测时间点前1年内未开展调查征集活动的，扣5分；</w:t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3.开设了栏目且监测时间点前1年内开展了调查征集活动，但开展次数较少的（地方政府及国务院各部门门户网站少于6次，其他政府网站少于3次），扣3分。</w:t>
            </w:r>
          </w:p>
        </w:tc>
        <w:tc>
          <w:tcPr>
            <w:tcW w:w="76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AEB3CF">
            <w:pPr>
              <w:widowControl/>
              <w:spacing w:line="320" w:lineRule="exact"/>
              <w:jc w:val="lef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4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E6A7C1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 </w:t>
            </w:r>
          </w:p>
        </w:tc>
      </w:tr>
      <w:tr w14:paraId="10112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  <w:jc w:val="center"/>
        </w:trPr>
        <w:tc>
          <w:tcPr>
            <w:tcW w:w="63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5517CA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互动</w:t>
            </w:r>
          </w:p>
          <w:p w14:paraId="68036E68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回应</w:t>
            </w:r>
          </w:p>
          <w:p w14:paraId="20A068E5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77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759655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互动</w:t>
            </w:r>
          </w:p>
          <w:p w14:paraId="6AEA203C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访谈</w:t>
            </w:r>
          </w:p>
          <w:p w14:paraId="097B280D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类栏目</w:t>
            </w:r>
          </w:p>
        </w:tc>
        <w:tc>
          <w:tcPr>
            <w:tcW w:w="26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EA5115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互动访谈开展情况。</w:t>
            </w:r>
          </w:p>
        </w:tc>
        <w:tc>
          <w:tcPr>
            <w:tcW w:w="383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30BAEB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1.开设了栏目，但栏目不可用或监测时间点前1年内未开展互动访谈活动的，扣5分；</w:t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2.开设了栏目且监测时间点前1年内开展了互动访谈活动，但开展次数较少的（地方政府及国务院各部门门户网站少于6次，其他政府网站少于3次），扣3分。</w:t>
            </w:r>
          </w:p>
        </w:tc>
        <w:tc>
          <w:tcPr>
            <w:tcW w:w="76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0E271C">
            <w:pPr>
              <w:widowControl/>
              <w:spacing w:line="320" w:lineRule="exact"/>
              <w:jc w:val="lef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4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874D36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 </w:t>
            </w:r>
          </w:p>
        </w:tc>
      </w:tr>
      <w:tr w14:paraId="03331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  <w:jc w:val="center"/>
        </w:trPr>
        <w:tc>
          <w:tcPr>
            <w:tcW w:w="637" w:type="dxa"/>
            <w:vMerge w:val="restart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E61BBE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服务</w:t>
            </w:r>
          </w:p>
          <w:p w14:paraId="0B395D59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实用</w:t>
            </w:r>
          </w:p>
          <w:p w14:paraId="30F3F589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77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748E3D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办事</w:t>
            </w:r>
          </w:p>
          <w:p w14:paraId="66EEC963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指南</w:t>
            </w:r>
          </w:p>
        </w:tc>
        <w:tc>
          <w:tcPr>
            <w:tcW w:w="26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46D6B1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办事指南要素的完整性、准确性。</w:t>
            </w:r>
          </w:p>
        </w:tc>
        <w:tc>
          <w:tcPr>
            <w:tcW w:w="383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287A00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1.办事指南要素类别缺失的（要素类别包括事项名称、设定依据、申请条件、办理材料、办理地点、办理时间、联系电话、办理流程等），每发现一类扣2分；</w:t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2.办事指南要素内容不准确的，每发现一项扣1分。</w:t>
            </w:r>
          </w:p>
        </w:tc>
        <w:tc>
          <w:tcPr>
            <w:tcW w:w="76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982712">
            <w:pPr>
              <w:widowControl/>
              <w:spacing w:line="320" w:lineRule="exact"/>
              <w:jc w:val="lef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4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7BE8D2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 </w:t>
            </w:r>
          </w:p>
        </w:tc>
      </w:tr>
      <w:tr w14:paraId="5BA0D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637" w:type="dxa"/>
            <w:vMerge w:val="continue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F79DFF">
            <w:pPr>
              <w:widowControl/>
              <w:spacing w:line="320" w:lineRule="exact"/>
              <w:jc w:val="lef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367515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附件</w:t>
            </w:r>
          </w:p>
          <w:p w14:paraId="7886BBBB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下载</w:t>
            </w:r>
          </w:p>
        </w:tc>
        <w:tc>
          <w:tcPr>
            <w:tcW w:w="26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D5C8B0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所需的办事表格、文件附件等资料能否正常下载。</w:t>
            </w:r>
          </w:p>
        </w:tc>
        <w:tc>
          <w:tcPr>
            <w:tcW w:w="383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D750E6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1.办事指南中提及的表格和附件未提供下载的，每发现一次扣1分；</w:t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2.办事表格、文件附件等无法下载的，每发现一次扣1分。</w:t>
            </w:r>
          </w:p>
        </w:tc>
        <w:tc>
          <w:tcPr>
            <w:tcW w:w="76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6330B9">
            <w:pPr>
              <w:widowControl/>
              <w:spacing w:line="320" w:lineRule="exact"/>
              <w:jc w:val="lef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4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7CE70B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 </w:t>
            </w:r>
          </w:p>
        </w:tc>
      </w:tr>
      <w:tr w14:paraId="002D9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37" w:type="dxa"/>
            <w:vMerge w:val="continue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F65A87">
            <w:pPr>
              <w:widowControl/>
              <w:spacing w:line="320" w:lineRule="exact"/>
              <w:jc w:val="lef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</w:p>
        </w:tc>
        <w:tc>
          <w:tcPr>
            <w:tcW w:w="77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947194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在线</w:t>
            </w:r>
          </w:p>
          <w:p w14:paraId="0217FA8C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系统</w:t>
            </w:r>
          </w:p>
        </w:tc>
        <w:tc>
          <w:tcPr>
            <w:tcW w:w="260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00B960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在线申报和查询系统能否正常访问。</w:t>
            </w:r>
          </w:p>
        </w:tc>
        <w:tc>
          <w:tcPr>
            <w:tcW w:w="3837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716FE3">
            <w:pPr>
              <w:widowControl/>
              <w:spacing w:line="320" w:lineRule="exac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在线申报或查询系统不能访问的，每发现一个扣3分。</w:t>
            </w:r>
          </w:p>
        </w:tc>
        <w:tc>
          <w:tcPr>
            <w:tcW w:w="769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A63A8D">
            <w:pPr>
              <w:widowControl/>
              <w:spacing w:line="320" w:lineRule="exact"/>
              <w:jc w:val="left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4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ADEB3D">
            <w:pPr>
              <w:widowControl/>
              <w:spacing w:line="320" w:lineRule="exact"/>
              <w:jc w:val="center"/>
              <w:rPr>
                <w:rFonts w:hint="eastAsia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eastAsia="方正仿宋_GBK" w:cs="宋体"/>
                <w:color w:val="000000"/>
                <w:sz w:val="21"/>
                <w:szCs w:val="21"/>
              </w:rPr>
              <w:t> </w:t>
            </w:r>
          </w:p>
        </w:tc>
      </w:tr>
    </w:tbl>
    <w:p w14:paraId="69BC7629">
      <w:pPr>
        <w:spacing w:line="320" w:lineRule="exact"/>
        <w:ind w:firstLine="420" w:firstLineChars="200"/>
      </w:pPr>
      <w:r>
        <w:rPr>
          <w:rFonts w:hint="eastAsia" w:eastAsia="方正仿宋_GBK"/>
          <w:snapToGrid w:val="0"/>
          <w:color w:val="000000"/>
          <w:sz w:val="21"/>
          <w:szCs w:val="21"/>
        </w:rPr>
        <w:t>注：监测时间点前××（时间）内，是指自监测日期前倒退××（时间）至监测时间点的时期。例如，监测时间点为3月1日，“监测时间点前2个月内”，是指1月1日至3月1日。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ZWZjZGUyMGI3YTA4YmM1ZGIxNjZiMmQ3NDNmZGMifQ=="/>
  </w:docVars>
  <w:rsids>
    <w:rsidRoot w:val="0D0F3C3F"/>
    <w:rsid w:val="0D0F3C3F"/>
    <w:rsid w:val="2F5F60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3</Pages>
  <Words>1945</Words>
  <Characters>1991</Characters>
  <Lines>0</Lines>
  <Paragraphs>0</Paragraphs>
  <TotalTime>0</TotalTime>
  <ScaleCrop>false</ScaleCrop>
  <LinksUpToDate>false</LinksUpToDate>
  <CharactersWithSpaces>2016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2017-11-16T10:08:00Z</dcterms:created>
  <dc:creator>dengd</dc:creator>
  <cp:lastModifiedBy>黄胡子</cp:lastModifiedBy>
  <dcterms:modified xsi:type="dcterms:W3CDTF">2024-10-31T03:31:58Z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8AC071102A9E46E4B0BCC2B1059D99E9_13</vt:lpwstr>
  </property>
</Properties>
</file>