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outlineLvl w:val="0"/>
        <w:rPr>
          <w:rFonts w:eastAsia="仿宋"/>
          <w:sz w:val="72"/>
          <w:szCs w:val="72"/>
        </w:rPr>
      </w:pPr>
      <w:r>
        <w:rPr>
          <w:rFonts w:hint="eastAsia" w:eastAsia="仿宋"/>
          <w:sz w:val="72"/>
          <w:szCs w:val="72"/>
        </w:rPr>
        <w:t>项目</w:t>
      </w:r>
      <w:r>
        <w:rPr>
          <w:rFonts w:eastAsia="仿宋"/>
          <w:sz w:val="72"/>
          <w:szCs w:val="72"/>
        </w:rPr>
        <w:t>采购文件</w:t>
      </w:r>
    </w:p>
    <w:p>
      <w:pPr>
        <w:snapToGrid w:val="0"/>
        <w:spacing w:before="156" w:beforeLines="50" w:line="360" w:lineRule="auto"/>
        <w:rPr>
          <w:rFonts w:eastAsia="仿宋"/>
          <w:sz w:val="30"/>
          <w:szCs w:val="72"/>
        </w:rPr>
      </w:pPr>
    </w:p>
    <w:p>
      <w:pPr>
        <w:pStyle w:val="15"/>
        <w:snapToGrid w:val="0"/>
        <w:spacing w:before="120" w:after="120" w:line="360" w:lineRule="auto"/>
        <w:jc w:val="center"/>
        <w:rPr>
          <w:rFonts w:ascii="Times New Roman" w:hAnsi="Times New Roman" w:eastAsia="仿宋"/>
          <w:b/>
          <w:bCs/>
          <w:sz w:val="30"/>
          <w:szCs w:val="30"/>
        </w:rPr>
      </w:pPr>
      <w:r>
        <w:rPr>
          <w:rFonts w:ascii="Times New Roman" w:hAnsi="Times New Roman" w:eastAsia="仿宋"/>
          <w:b/>
          <w:bCs/>
          <w:sz w:val="30"/>
          <w:szCs w:val="30"/>
        </w:rPr>
        <w:t xml:space="preserve">       </w:t>
      </w:r>
    </w:p>
    <w:p>
      <w:pPr>
        <w:pStyle w:val="15"/>
        <w:snapToGrid w:val="0"/>
        <w:spacing w:before="120" w:after="120" w:line="360" w:lineRule="auto"/>
        <w:jc w:val="center"/>
        <w:rPr>
          <w:rFonts w:ascii="Times New Roman" w:hAnsi="Times New Roman" w:eastAsia="仿宋"/>
          <w:b/>
          <w:bCs/>
          <w:sz w:val="30"/>
          <w:szCs w:val="30"/>
        </w:rPr>
      </w:pPr>
    </w:p>
    <w:p>
      <w:pPr>
        <w:overflowPunct w:val="0"/>
        <w:autoSpaceDE w:val="0"/>
        <w:autoSpaceDN w:val="0"/>
        <w:spacing w:line="560" w:lineRule="exact"/>
        <w:jc w:val="center"/>
        <w:outlineLvl w:val="0"/>
        <w:rPr>
          <w:rFonts w:eastAsia="仿宋"/>
          <w:b/>
          <w:color w:val="000000" w:themeColor="text1"/>
          <w:sz w:val="30"/>
          <w:szCs w:val="72"/>
          <w14:textFill>
            <w14:solidFill>
              <w14:schemeClr w14:val="tx1"/>
            </w14:solidFill>
          </w14:textFill>
        </w:rPr>
      </w:pPr>
      <w:r>
        <w:rPr>
          <w:rFonts w:eastAsia="仿宋"/>
          <w:b/>
          <w:sz w:val="30"/>
          <w:szCs w:val="72"/>
        </w:rPr>
        <w:t>项目名称：</w:t>
      </w:r>
      <w:r>
        <w:rPr>
          <w:rFonts w:hint="eastAsia" w:eastAsia="仿宋"/>
          <w:b/>
          <w:color w:val="000000" w:themeColor="text1"/>
          <w:sz w:val="30"/>
          <w:szCs w:val="72"/>
          <w14:textFill>
            <w14:solidFill>
              <w14:schemeClr w14:val="tx1"/>
            </w14:solidFill>
          </w14:textFill>
        </w:rPr>
        <w:t>广西自治区级公共安全视频监控建设联网应用项目</w:t>
      </w:r>
    </w:p>
    <w:p>
      <w:pPr>
        <w:overflowPunct w:val="0"/>
        <w:autoSpaceDE w:val="0"/>
        <w:autoSpaceDN w:val="0"/>
        <w:spacing w:line="560" w:lineRule="exact"/>
        <w:jc w:val="center"/>
        <w:rPr>
          <w:rFonts w:eastAsia="仿宋"/>
          <w:b/>
          <w:color w:val="000000" w:themeColor="text1"/>
          <w:sz w:val="30"/>
          <w:szCs w:val="72"/>
          <w:lang w:val="en"/>
          <w14:textFill>
            <w14:solidFill>
              <w14:schemeClr w14:val="tx1"/>
            </w14:solidFill>
          </w14:textFill>
        </w:rPr>
      </w:pPr>
      <w:r>
        <w:rPr>
          <w:rFonts w:hint="eastAsia" w:eastAsia="仿宋"/>
          <w:b/>
          <w:color w:val="000000" w:themeColor="text1"/>
          <w:sz w:val="30"/>
          <w:szCs w:val="72"/>
          <w14:textFill>
            <w14:solidFill>
              <w14:schemeClr w14:val="tx1"/>
            </w14:solidFill>
          </w14:textFill>
        </w:rPr>
        <w:t>第三方系统测评服务</w:t>
      </w:r>
    </w:p>
    <w:p>
      <w:pPr>
        <w:pStyle w:val="15"/>
        <w:snapToGrid w:val="0"/>
        <w:spacing w:before="120" w:after="120" w:line="360" w:lineRule="auto"/>
        <w:ind w:firstLine="1656" w:firstLineChars="550"/>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jc w:val="center"/>
        <w:outlineLvl w:val="0"/>
        <w:rPr>
          <w:rFonts w:ascii="Times New Roman" w:hAnsi="Times New Roman" w:eastAsia="仿宋"/>
          <w:b/>
          <w:sz w:val="30"/>
          <w:szCs w:val="72"/>
        </w:rPr>
      </w:pPr>
      <w:r>
        <w:rPr>
          <w:rFonts w:ascii="Times New Roman" w:hAnsi="Times New Roman" w:eastAsia="仿宋"/>
          <w:b/>
          <w:sz w:val="30"/>
          <w:szCs w:val="72"/>
        </w:rPr>
        <w:t>采购单位：广西壮族自治区信息中心</w:t>
      </w:r>
    </w:p>
    <w:p>
      <w:pPr>
        <w:spacing w:before="1092" w:beforeLines="350" w:after="468" w:afterLines="150" w:line="240" w:lineRule="atLeast"/>
        <w:jc w:val="center"/>
        <w:outlineLvl w:val="0"/>
        <w:rPr>
          <w:rFonts w:eastAsia="仿宋"/>
          <w:b/>
          <w:bCs/>
          <w:w w:val="95"/>
          <w:sz w:val="30"/>
          <w:szCs w:val="30"/>
        </w:rPr>
        <w:sectPr>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r>
        <w:rPr>
          <w:rFonts w:eastAsia="仿宋"/>
          <w:b/>
          <w:bCs/>
          <w:w w:val="95"/>
          <w:sz w:val="30"/>
          <w:szCs w:val="30"/>
        </w:rPr>
        <w:t>202</w:t>
      </w:r>
      <w:r>
        <w:rPr>
          <w:rFonts w:hint="eastAsia" w:eastAsia="仿宋"/>
          <w:b/>
          <w:bCs/>
          <w:w w:val="95"/>
          <w:sz w:val="30"/>
          <w:szCs w:val="30"/>
        </w:rPr>
        <w:t>2</w:t>
      </w:r>
      <w:r>
        <w:rPr>
          <w:rFonts w:eastAsia="仿宋"/>
          <w:b/>
          <w:bCs/>
          <w:w w:val="95"/>
          <w:sz w:val="30"/>
          <w:szCs w:val="30"/>
        </w:rPr>
        <w:t>年</w:t>
      </w:r>
      <w:r>
        <w:rPr>
          <w:rFonts w:hint="eastAsia" w:eastAsia="仿宋"/>
          <w:b/>
          <w:bCs/>
          <w:color w:val="000000" w:themeColor="text1"/>
          <w:w w:val="95"/>
          <w:sz w:val="30"/>
          <w:szCs w:val="30"/>
          <w14:textFill>
            <w14:solidFill>
              <w14:schemeClr w14:val="tx1"/>
            </w14:solidFill>
          </w14:textFill>
        </w:rPr>
        <w:t>12</w:t>
      </w:r>
      <w:r>
        <w:rPr>
          <w:rFonts w:eastAsia="仿宋"/>
          <w:b/>
          <w:bCs/>
          <w:w w:val="95"/>
          <w:sz w:val="30"/>
          <w:szCs w:val="30"/>
        </w:rPr>
        <w:t>月</w:t>
      </w:r>
    </w:p>
    <w:p>
      <w:pPr>
        <w:spacing w:before="1092" w:beforeLines="350" w:after="468" w:afterLines="150" w:line="240" w:lineRule="atLeast"/>
        <w:jc w:val="center"/>
        <w:outlineLvl w:val="0"/>
        <w:rPr>
          <w:rFonts w:ascii="宋体" w:hAnsi="宋体"/>
          <w:b/>
          <w:sz w:val="44"/>
          <w:szCs w:val="44"/>
        </w:rPr>
      </w:pPr>
      <w:r>
        <w:rPr>
          <w:rFonts w:hint="eastAsia" w:ascii="宋体" w:hAnsi="宋体"/>
          <w:b/>
          <w:sz w:val="44"/>
          <w:szCs w:val="44"/>
        </w:rPr>
        <w:t>目   录</w:t>
      </w:r>
    </w:p>
    <w:p>
      <w:pPr>
        <w:numPr>
          <w:ilvl w:val="0"/>
          <w:numId w:val="1"/>
        </w:numPr>
        <w:spacing w:line="800" w:lineRule="exact"/>
        <w:ind w:left="1077" w:hanging="717"/>
        <w:jc w:val="left"/>
        <w:outlineLvl w:val="0"/>
        <w:rPr>
          <w:rFonts w:ascii="宋体" w:hAnsi="宋体"/>
          <w:b/>
          <w:sz w:val="28"/>
          <w:szCs w:val="32"/>
        </w:rPr>
      </w:pPr>
      <w:r>
        <w:rPr>
          <w:rFonts w:hint="eastAsia" w:ascii="宋体" w:hAnsi="宋体"/>
          <w:b/>
          <w:sz w:val="28"/>
          <w:szCs w:val="32"/>
        </w:rPr>
        <w:t>采购公告…………………………………………………………3</w:t>
      </w:r>
    </w:p>
    <w:p>
      <w:pPr>
        <w:numPr>
          <w:ilvl w:val="0"/>
          <w:numId w:val="1"/>
        </w:numPr>
        <w:spacing w:line="800" w:lineRule="exact"/>
        <w:ind w:left="1077" w:hanging="717"/>
        <w:jc w:val="left"/>
        <w:outlineLvl w:val="0"/>
        <w:rPr>
          <w:rFonts w:ascii="宋体" w:hAnsi="宋体"/>
          <w:b/>
          <w:sz w:val="28"/>
          <w:szCs w:val="32"/>
        </w:rPr>
      </w:pPr>
      <w:r>
        <w:rPr>
          <w:rFonts w:hint="eastAsia" w:ascii="宋体" w:hAnsi="宋体"/>
          <w:b/>
          <w:sz w:val="28"/>
          <w:szCs w:val="32"/>
        </w:rPr>
        <w:t>报价人须知及前附表……………………………………………4</w:t>
      </w:r>
    </w:p>
    <w:p>
      <w:pPr>
        <w:numPr>
          <w:ilvl w:val="0"/>
          <w:numId w:val="1"/>
        </w:numPr>
        <w:spacing w:line="800" w:lineRule="exact"/>
        <w:ind w:left="1077" w:hanging="717"/>
        <w:jc w:val="left"/>
        <w:outlineLvl w:val="0"/>
        <w:rPr>
          <w:rFonts w:ascii="宋体" w:hAnsi="宋体"/>
          <w:b/>
          <w:sz w:val="28"/>
          <w:szCs w:val="32"/>
        </w:rPr>
      </w:pPr>
      <w:r>
        <w:rPr>
          <w:rFonts w:hint="eastAsia" w:hAnsi="宋体"/>
          <w:b/>
          <w:sz w:val="28"/>
          <w:szCs w:val="32"/>
        </w:rPr>
        <w:t>服务需求及说明</w:t>
      </w:r>
      <w:r>
        <w:rPr>
          <w:rFonts w:hint="eastAsia" w:ascii="宋体" w:hAnsi="宋体"/>
          <w:b/>
          <w:sz w:val="28"/>
          <w:szCs w:val="32"/>
        </w:rPr>
        <w:t>…………………………………………………12</w:t>
      </w:r>
    </w:p>
    <w:p>
      <w:pPr>
        <w:numPr>
          <w:ilvl w:val="0"/>
          <w:numId w:val="1"/>
        </w:numPr>
        <w:spacing w:line="800" w:lineRule="exact"/>
        <w:ind w:left="1077" w:hanging="717"/>
        <w:jc w:val="left"/>
        <w:outlineLvl w:val="0"/>
        <w:rPr>
          <w:rFonts w:ascii="宋体" w:hAnsi="宋体"/>
          <w:b/>
          <w:sz w:val="28"/>
          <w:szCs w:val="32"/>
        </w:rPr>
      </w:pPr>
      <w:r>
        <w:rPr>
          <w:rFonts w:hint="eastAsia" w:ascii="宋体" w:hAnsi="宋体"/>
          <w:b/>
          <w:sz w:val="28"/>
          <w:szCs w:val="32"/>
        </w:rPr>
        <w:t>评审办法及成交标准……………………………………………20</w:t>
      </w:r>
    </w:p>
    <w:p>
      <w:pPr>
        <w:numPr>
          <w:ilvl w:val="0"/>
          <w:numId w:val="1"/>
        </w:numPr>
        <w:spacing w:line="800" w:lineRule="exact"/>
        <w:ind w:left="1077" w:hanging="717"/>
        <w:jc w:val="left"/>
        <w:outlineLvl w:val="0"/>
        <w:rPr>
          <w:rFonts w:ascii="宋体" w:hAnsi="宋体"/>
          <w:b/>
          <w:sz w:val="28"/>
          <w:szCs w:val="32"/>
        </w:rPr>
      </w:pPr>
      <w:r>
        <w:rPr>
          <w:rFonts w:hint="eastAsia" w:ascii="宋体" w:hAnsi="宋体"/>
          <w:b/>
          <w:sz w:val="28"/>
          <w:szCs w:val="32"/>
        </w:rPr>
        <w:t>响应文件格式……………………………………………………21</w:t>
      </w:r>
    </w:p>
    <w:p>
      <w:pPr>
        <w:spacing w:line="400" w:lineRule="exact"/>
        <w:jc w:val="left"/>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pPr>
    </w:p>
    <w:p>
      <w:pPr>
        <w:numPr>
          <w:ilvl w:val="0"/>
          <w:numId w:val="2"/>
        </w:numPr>
        <w:spacing w:line="500" w:lineRule="exact"/>
        <w:jc w:val="center"/>
        <w:rPr>
          <w:rFonts w:ascii="宋体" w:hAnsi="宋体"/>
          <w:b/>
          <w:sz w:val="28"/>
          <w:szCs w:val="28"/>
        </w:rPr>
        <w:sectPr>
          <w:footerReference r:id="rId6" w:type="first"/>
          <w:footerReference r:id="rId5" w:type="default"/>
          <w:pgSz w:w="11906" w:h="16838"/>
          <w:pgMar w:top="1304" w:right="1247" w:bottom="1304" w:left="1247" w:header="794" w:footer="992" w:gutter="0"/>
          <w:cols w:space="720" w:num="1"/>
          <w:docGrid w:type="lines" w:linePitch="312" w:charSpace="0"/>
        </w:sectPr>
      </w:pPr>
    </w:p>
    <w:p>
      <w:pPr>
        <w:numPr>
          <w:ilvl w:val="0"/>
          <w:numId w:val="2"/>
        </w:numPr>
        <w:spacing w:line="500" w:lineRule="exact"/>
        <w:jc w:val="center"/>
        <w:outlineLvl w:val="0"/>
        <w:rPr>
          <w:rFonts w:ascii="宋体" w:hAnsi="宋体"/>
          <w:b/>
          <w:sz w:val="28"/>
          <w:szCs w:val="28"/>
        </w:rPr>
      </w:pPr>
      <w:r>
        <w:rPr>
          <w:rFonts w:hint="eastAsia" w:ascii="宋体" w:hAnsi="宋体"/>
          <w:b/>
          <w:sz w:val="28"/>
          <w:szCs w:val="28"/>
        </w:rPr>
        <w:t xml:space="preserve"> 采购公告</w:t>
      </w:r>
    </w:p>
    <w:p>
      <w:pPr>
        <w:pStyle w:val="89"/>
        <w:spacing w:line="600" w:lineRule="exac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广西壮族自治区信息中心关于广西自治区级公共安全视频监控建设联网</w:t>
      </w:r>
    </w:p>
    <w:p>
      <w:pPr>
        <w:pStyle w:val="89"/>
        <w:spacing w:line="60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应用项目第三方系统测评服务公告</w:t>
      </w:r>
    </w:p>
    <w:p>
      <w:pPr>
        <w:spacing w:line="400" w:lineRule="exact"/>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根据我中心的工作需求，现就广西自治区级公共安全视频监控建设联网应用项目第三方系统测评服务项目进行采购，按照《中华人民共和国政府采购法》等有关规定要求，本着公开、公平、公正的原则，邀请符合条件且有意向承接该项工作的供应商参加报价。</w:t>
      </w:r>
    </w:p>
    <w:p>
      <w:pPr>
        <w:spacing w:line="400" w:lineRule="exact"/>
        <w:ind w:firstLine="481" w:firstLineChars="200"/>
        <w:jc w:val="left"/>
        <w:rPr>
          <w:rFonts w:ascii="宋体" w:hAnsi="宋体"/>
          <w:bCs/>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一、采购项目名称：</w:t>
      </w:r>
      <w:r>
        <w:rPr>
          <w:rFonts w:hint="eastAsia" w:ascii="宋体" w:hAnsi="宋体"/>
          <w:bCs/>
          <w:color w:val="000000" w:themeColor="text1"/>
          <w:sz w:val="24"/>
          <w14:textFill>
            <w14:solidFill>
              <w14:schemeClr w14:val="tx1"/>
            </w14:solidFill>
          </w14:textFill>
        </w:rPr>
        <w:t>广西自治区级公共安全视频监控建设联网应用项目第三方系统测评服务。</w:t>
      </w:r>
    </w:p>
    <w:p>
      <w:pPr>
        <w:pStyle w:val="36"/>
        <w:ind w:firstLine="48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二、采购项目的名称、数量、简要规格描述或项目基本概况介绍：</w:t>
      </w:r>
      <w:r>
        <w:rPr>
          <w:rFonts w:hint="eastAsia" w:ascii="宋体" w:hAnsi="宋体"/>
          <w:color w:val="000000" w:themeColor="text1"/>
          <w14:textFill>
            <w14:solidFill>
              <w14:schemeClr w14:val="tx1"/>
            </w14:solidFill>
          </w14:textFill>
        </w:rPr>
        <w:t>广西自治区级公共安全视频监控建设联网应用项目第三方系统测评服务1项，具体要求详见采购文件。</w:t>
      </w:r>
    </w:p>
    <w:p>
      <w:pPr>
        <w:pStyle w:val="36"/>
        <w:ind w:firstLine="480"/>
        <w:rPr>
          <w:rFonts w:ascii="宋体" w:hAnsi="宋体"/>
          <w:color w:val="000000" w:themeColor="text1"/>
          <w14:textFill>
            <w14:solidFill>
              <w14:schemeClr w14:val="tx1"/>
            </w14:solidFill>
          </w14:textFill>
        </w:rPr>
      </w:pPr>
      <w:r>
        <w:rPr>
          <w:rFonts w:hint="eastAsia" w:ascii="宋体" w:hAnsi="宋体"/>
          <w:b/>
          <w:bCs w:val="0"/>
          <w:color w:val="000000" w:themeColor="text1"/>
          <w14:textFill>
            <w14:solidFill>
              <w14:schemeClr w14:val="tx1"/>
            </w14:solidFill>
          </w14:textFill>
        </w:rPr>
        <w:t>三、采购预算金额（人民币）：</w:t>
      </w:r>
      <w:r>
        <w:rPr>
          <w:rFonts w:hint="eastAsia" w:ascii="宋体" w:hAnsi="宋体"/>
          <w:bCs w:val="0"/>
          <w:color w:val="000000" w:themeColor="text1"/>
          <w14:textFill>
            <w14:solidFill>
              <w14:schemeClr w14:val="tx1"/>
            </w14:solidFill>
          </w14:textFill>
        </w:rPr>
        <w:t>叁拾柒万贰仟元整（￥372</w:t>
      </w:r>
      <w:r>
        <w:rPr>
          <w:rFonts w:ascii="宋体" w:hAnsi="宋体"/>
          <w:bCs w:val="0"/>
          <w:color w:val="000000" w:themeColor="text1"/>
          <w14:textFill>
            <w14:solidFill>
              <w14:schemeClr w14:val="tx1"/>
            </w14:solidFill>
          </w14:textFill>
        </w:rPr>
        <w:t>,000</w:t>
      </w:r>
      <w:r>
        <w:rPr>
          <w:rFonts w:hint="eastAsia" w:ascii="宋体" w:hAnsi="宋体"/>
          <w:bCs w:val="0"/>
          <w:color w:val="000000" w:themeColor="text1"/>
          <w14:textFill>
            <w14:solidFill>
              <w14:schemeClr w14:val="tx1"/>
            </w14:solidFill>
          </w14:textFill>
        </w:rPr>
        <w:t>.00）。供应商的报价不得超出项目预算，否则按无效报价处理。</w:t>
      </w:r>
    </w:p>
    <w:p>
      <w:pPr>
        <w:spacing w:line="400" w:lineRule="exact"/>
        <w:ind w:firstLine="481" w:firstLineChars="200"/>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四、报价人资格要求：</w:t>
      </w:r>
    </w:p>
    <w:p>
      <w:pPr>
        <w:spacing w:line="400" w:lineRule="exact"/>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1.符合《中华人民共和国政府采购法》第二十二条规定的供应商资格条件。</w:t>
      </w:r>
    </w:p>
    <w:p>
      <w:pPr>
        <w:spacing w:line="400" w:lineRule="exact"/>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2.国内注册（指按国家有关规定要求注册的），提供本次采购服务，具备独立法人资格。</w:t>
      </w:r>
    </w:p>
    <w:p>
      <w:pPr>
        <w:spacing w:line="400" w:lineRule="exact"/>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lang w:val="en-US" w:eastAsia="zh-CN"/>
          <w14:textFill>
            <w14:solidFill>
              <w14:schemeClr w14:val="tx1"/>
            </w14:solidFill>
          </w14:textFill>
        </w:rPr>
        <w:t>4</w:t>
      </w:r>
      <w:r>
        <w:rPr>
          <w:rFonts w:ascii="宋体" w:hAnsi="宋体"/>
          <w:bCs/>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 xml:space="preserve">本项目不接受联合体报价。  </w:t>
      </w:r>
    </w:p>
    <w:p>
      <w:pPr>
        <w:spacing w:line="400" w:lineRule="exact"/>
        <w:ind w:firstLine="480" w:firstLineChars="200"/>
        <w:jc w:val="left"/>
        <w:rPr>
          <w:rFonts w:hint="eastAsia" w:ascii="宋体" w:hAnsi="宋体"/>
          <w:b/>
          <w:bCs w:val="0"/>
          <w:color w:val="000000" w:themeColor="text1"/>
          <w:sz w:val="24"/>
          <w:lang w:eastAsia="zh-CN"/>
          <w14:textFill>
            <w14:solidFill>
              <w14:schemeClr w14:val="tx1"/>
            </w14:solidFill>
          </w14:textFill>
        </w:rPr>
      </w:pPr>
      <w:r>
        <w:rPr>
          <w:rFonts w:hint="eastAsia" w:ascii="宋体" w:hAnsi="宋体"/>
          <w:b/>
          <w:bCs w:val="0"/>
          <w:color w:val="000000" w:themeColor="text1"/>
          <w:sz w:val="24"/>
          <w:lang w:eastAsia="zh-CN"/>
          <w14:textFill>
            <w14:solidFill>
              <w14:schemeClr w14:val="tx1"/>
            </w14:solidFill>
          </w14:textFill>
        </w:rPr>
        <w:t>五、需报送的材料：</w:t>
      </w:r>
    </w:p>
    <w:p>
      <w:pPr>
        <w:spacing w:line="400" w:lineRule="exact"/>
        <w:ind w:firstLine="480" w:firstLineChars="200"/>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1.响应文件；</w:t>
      </w:r>
    </w:p>
    <w:p>
      <w:pPr>
        <w:spacing w:line="400" w:lineRule="exact"/>
        <w:ind w:firstLine="480" w:firstLineChars="200"/>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2.报价人单位联系人姓名及联系方式。</w:t>
      </w:r>
    </w:p>
    <w:p>
      <w:pPr>
        <w:spacing w:line="400" w:lineRule="exact"/>
        <w:ind w:firstLine="480" w:firstLineChars="200"/>
        <w:jc w:val="left"/>
        <w:rPr>
          <w:rFonts w:hint="eastAsia" w:ascii="宋体" w:hAnsi="宋体"/>
          <w:b/>
          <w:bCs w:val="0"/>
          <w:color w:val="000000" w:themeColor="text1"/>
          <w:sz w:val="24"/>
          <w14:textFill>
            <w14:solidFill>
              <w14:schemeClr w14:val="tx1"/>
            </w14:solidFill>
          </w14:textFill>
        </w:rPr>
      </w:pPr>
      <w:r>
        <w:rPr>
          <w:rFonts w:hint="eastAsia" w:ascii="宋体" w:hAnsi="宋体"/>
          <w:b/>
          <w:bCs w:val="0"/>
          <w:color w:val="000000" w:themeColor="text1"/>
          <w:sz w:val="24"/>
          <w:lang w:val="en-US" w:eastAsia="zh-CN"/>
          <w14:textFill>
            <w14:solidFill>
              <w14:schemeClr w14:val="tx1"/>
            </w14:solidFill>
          </w14:textFill>
        </w:rPr>
        <w:t>六</w:t>
      </w:r>
      <w:r>
        <w:rPr>
          <w:rFonts w:hint="eastAsia" w:ascii="宋体" w:hAnsi="宋体"/>
          <w:b/>
          <w:bCs w:val="0"/>
          <w:color w:val="000000" w:themeColor="text1"/>
          <w:sz w:val="24"/>
          <w14:textFill>
            <w14:solidFill>
              <w14:schemeClr w14:val="tx1"/>
            </w14:solidFill>
          </w14:textFill>
        </w:rPr>
        <w:t>、响应文件递交截止时间和地点：</w:t>
      </w:r>
    </w:p>
    <w:p>
      <w:pPr>
        <w:spacing w:line="400" w:lineRule="exact"/>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报价人应于</w:t>
      </w:r>
      <w:r>
        <w:rPr>
          <w:rFonts w:hint="eastAsia" w:ascii="宋体" w:hAnsi="宋体"/>
          <w:bCs/>
          <w:color w:val="000000" w:themeColor="text1"/>
          <w:sz w:val="24"/>
          <w:highlight w:val="yellow"/>
          <w14:textFill>
            <w14:solidFill>
              <w14:schemeClr w14:val="tx1"/>
            </w14:solidFill>
          </w14:textFill>
        </w:rPr>
        <w:t>202</w:t>
      </w:r>
      <w:r>
        <w:rPr>
          <w:rFonts w:hint="eastAsia" w:ascii="宋体" w:hAnsi="宋体"/>
          <w:bCs/>
          <w:color w:val="000000" w:themeColor="text1"/>
          <w:sz w:val="24"/>
          <w:highlight w:val="yellow"/>
          <w:lang w:val="en-US" w:eastAsia="zh-CN"/>
          <w14:textFill>
            <w14:solidFill>
              <w14:schemeClr w14:val="tx1"/>
            </w14:solidFill>
          </w14:textFill>
        </w:rPr>
        <w:t>2</w:t>
      </w:r>
      <w:r>
        <w:rPr>
          <w:rFonts w:hint="eastAsia" w:ascii="宋体" w:hAnsi="宋体"/>
          <w:bCs/>
          <w:color w:val="000000" w:themeColor="text1"/>
          <w:sz w:val="24"/>
          <w:highlight w:val="yellow"/>
          <w14:textFill>
            <w14:solidFill>
              <w14:schemeClr w14:val="tx1"/>
            </w14:solidFill>
          </w14:textFill>
        </w:rPr>
        <w:t>年</w:t>
      </w:r>
      <w:r>
        <w:rPr>
          <w:rFonts w:hint="eastAsia" w:ascii="宋体" w:hAnsi="宋体"/>
          <w:bCs/>
          <w:color w:val="000000" w:themeColor="text1"/>
          <w:sz w:val="24"/>
          <w:highlight w:val="yellow"/>
          <w:lang w:val="en-US" w:eastAsia="zh-CN"/>
          <w14:textFill>
            <w14:solidFill>
              <w14:schemeClr w14:val="tx1"/>
            </w14:solidFill>
          </w14:textFill>
        </w:rPr>
        <w:t>12</w:t>
      </w:r>
      <w:r>
        <w:rPr>
          <w:rFonts w:hint="eastAsia" w:ascii="宋体" w:hAnsi="宋体"/>
          <w:bCs/>
          <w:color w:val="000000" w:themeColor="text1"/>
          <w:sz w:val="24"/>
          <w:highlight w:val="yellow"/>
          <w14:textFill>
            <w14:solidFill>
              <w14:schemeClr w14:val="tx1"/>
            </w14:solidFill>
          </w14:textFill>
        </w:rPr>
        <w:t>月</w:t>
      </w:r>
      <w:r>
        <w:rPr>
          <w:rFonts w:hint="eastAsia" w:ascii="宋体" w:hAnsi="宋体"/>
          <w:bCs/>
          <w:color w:val="000000" w:themeColor="text1"/>
          <w:sz w:val="24"/>
          <w:highlight w:val="yellow"/>
          <w:lang w:val="en-US" w:eastAsia="zh-CN"/>
          <w14:textFill>
            <w14:solidFill>
              <w14:schemeClr w14:val="tx1"/>
            </w14:solidFill>
          </w14:textFill>
        </w:rPr>
        <w:t>30</w:t>
      </w:r>
      <w:r>
        <w:rPr>
          <w:rFonts w:hint="eastAsia" w:ascii="宋体" w:hAnsi="宋体"/>
          <w:bCs/>
          <w:color w:val="000000" w:themeColor="text1"/>
          <w:sz w:val="24"/>
          <w:highlight w:val="yellow"/>
          <w14:textFill>
            <w14:solidFill>
              <w14:schemeClr w14:val="tx1"/>
            </w14:solidFill>
          </w14:textFill>
        </w:rPr>
        <w:t>日18:00前</w:t>
      </w:r>
      <w:r>
        <w:rPr>
          <w:rFonts w:hint="eastAsia" w:ascii="宋体" w:hAnsi="宋体"/>
          <w:bCs/>
          <w:color w:val="000000" w:themeColor="text1"/>
          <w:sz w:val="24"/>
          <w14:textFill>
            <w14:solidFill>
              <w14:schemeClr w14:val="tx1"/>
            </w14:solidFill>
          </w14:textFill>
        </w:rPr>
        <w:t>，将响应文件密封提交或邮寄到广西壮族自治区信息中心，逾期送达的将予以拒收（或作无效响应文件处理）。</w:t>
      </w:r>
    </w:p>
    <w:p>
      <w:pPr>
        <w:spacing w:line="400" w:lineRule="exact"/>
        <w:ind w:firstLine="481" w:firstLineChars="200"/>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lang w:val="en-US" w:eastAsia="zh-CN"/>
          <w14:textFill>
            <w14:solidFill>
              <w14:schemeClr w14:val="tx1"/>
            </w14:solidFill>
          </w14:textFill>
        </w:rPr>
        <w:t>七</w:t>
      </w:r>
      <w:r>
        <w:rPr>
          <w:rFonts w:hint="eastAsia" w:ascii="宋体" w:hAnsi="宋体"/>
          <w:b/>
          <w:color w:val="000000" w:themeColor="text1"/>
          <w:sz w:val="24"/>
          <w14:textFill>
            <w14:solidFill>
              <w14:schemeClr w14:val="tx1"/>
            </w14:solidFill>
          </w14:textFill>
        </w:rPr>
        <w:t>、联系方式及通讯地址：</w:t>
      </w:r>
    </w:p>
    <w:p>
      <w:pPr>
        <w:spacing w:line="400" w:lineRule="exact"/>
        <w:ind w:firstLine="480" w:firstLineChars="200"/>
        <w:jc w:val="left"/>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1.项目联系人：韦宝，联系电话：0771-6113503;</w:t>
      </w:r>
    </w:p>
    <w:p>
      <w:pPr>
        <w:spacing w:line="400" w:lineRule="exact"/>
        <w:ind w:firstLine="480" w:firstLineChars="200"/>
        <w:jc w:val="left"/>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2.通讯地址：南宁市良庆区体强路18号16楼1608号房，邮编：530221。</w:t>
      </w:r>
    </w:p>
    <w:p>
      <w:pPr>
        <w:spacing w:line="4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spacing w:line="400" w:lineRule="exact"/>
        <w:rPr>
          <w:rFonts w:ascii="宋体" w:hAnsi="宋体"/>
          <w:color w:val="000000" w:themeColor="text1"/>
          <w:sz w:val="24"/>
          <w14:textFill>
            <w14:solidFill>
              <w14:schemeClr w14:val="tx1"/>
            </w14:solidFill>
          </w14:textFill>
        </w:rPr>
      </w:pPr>
    </w:p>
    <w:p>
      <w:pPr>
        <w:spacing w:line="400" w:lineRule="exact"/>
        <w:ind w:firstLine="6840" w:firstLineChars="285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广西壮族自治区信息中心</w:t>
      </w:r>
    </w:p>
    <w:p>
      <w:pPr>
        <w:spacing w:line="400" w:lineRule="exact"/>
        <w:ind w:firstLine="7320" w:firstLineChars="3050"/>
        <w:jc w:val="left"/>
        <w:rPr>
          <w:rFonts w:ascii="微软雅黑" w:hAnsi="微软雅黑" w:eastAsia="微软雅黑" w:cs="宋体"/>
          <w:color w:val="000000" w:themeColor="text1"/>
          <w:kern w:val="0"/>
          <w:sz w:val="37"/>
          <w:szCs w:val="37"/>
          <w14:textFill>
            <w14:solidFill>
              <w14:schemeClr w14:val="tx1"/>
            </w14:solidFill>
          </w14:textFill>
        </w:rPr>
      </w:pPr>
      <w:r>
        <w:rPr>
          <w:rFonts w:ascii="宋体" w:hAnsi="宋体"/>
          <w:bCs/>
          <w:color w:val="000000" w:themeColor="text1"/>
          <w:sz w:val="24"/>
          <w14:textFill>
            <w14:solidFill>
              <w14:schemeClr w14:val="tx1"/>
            </w14:solidFill>
          </w14:textFill>
        </w:rPr>
        <w:t>202</w:t>
      </w:r>
      <w:r>
        <w:rPr>
          <w:rFonts w:hint="eastAsia" w:ascii="宋体" w:hAnsi="宋体"/>
          <w:bCs/>
          <w:color w:val="000000" w:themeColor="text1"/>
          <w:sz w:val="24"/>
          <w14:textFill>
            <w14:solidFill>
              <w14:schemeClr w14:val="tx1"/>
            </w14:solidFill>
          </w14:textFill>
        </w:rPr>
        <w:t>2</w:t>
      </w:r>
      <w:r>
        <w:rPr>
          <w:rFonts w:ascii="宋体" w:hAnsi="宋体"/>
          <w:bCs/>
          <w:color w:val="000000" w:themeColor="text1"/>
          <w:sz w:val="24"/>
          <w14:textFill>
            <w14:solidFill>
              <w14:schemeClr w14:val="tx1"/>
            </w14:solidFill>
          </w14:textFill>
        </w:rPr>
        <w:t>年</w:t>
      </w:r>
      <w:r>
        <w:rPr>
          <w:rFonts w:hint="eastAsia" w:ascii="宋体" w:hAnsi="宋体"/>
          <w:bCs/>
          <w:color w:val="000000" w:themeColor="text1"/>
          <w:sz w:val="24"/>
          <w:lang w:val="en-US" w:eastAsia="zh-CN"/>
          <w14:textFill>
            <w14:solidFill>
              <w14:schemeClr w14:val="tx1"/>
            </w14:solidFill>
          </w14:textFill>
        </w:rPr>
        <w:t>12</w:t>
      </w:r>
      <w:r>
        <w:rPr>
          <w:rFonts w:ascii="宋体" w:hAnsi="宋体"/>
          <w:bCs/>
          <w:color w:val="000000" w:themeColor="text1"/>
          <w:sz w:val="24"/>
          <w14:textFill>
            <w14:solidFill>
              <w14:schemeClr w14:val="tx1"/>
            </w14:solidFill>
          </w14:textFill>
        </w:rPr>
        <w:t>月</w:t>
      </w:r>
      <w:r>
        <w:rPr>
          <w:rFonts w:hint="eastAsia" w:ascii="宋体" w:hAnsi="宋体"/>
          <w:bCs/>
          <w:color w:val="000000" w:themeColor="text1"/>
          <w:sz w:val="24"/>
          <w:lang w:val="en-US" w:eastAsia="zh-CN"/>
          <w14:textFill>
            <w14:solidFill>
              <w14:schemeClr w14:val="tx1"/>
            </w14:solidFill>
          </w14:textFill>
        </w:rPr>
        <w:t>27</w:t>
      </w:r>
      <w:r>
        <w:rPr>
          <w:rFonts w:ascii="宋体" w:hAnsi="宋体"/>
          <w:bCs/>
          <w:color w:val="000000" w:themeColor="text1"/>
          <w:sz w:val="24"/>
          <w14:textFill>
            <w14:solidFill>
              <w14:schemeClr w14:val="tx1"/>
            </w14:solidFill>
          </w14:textFill>
        </w:rPr>
        <w:t>日</w:t>
      </w:r>
      <w:r>
        <w:rPr>
          <w:rFonts w:hint="eastAsia" w:ascii="宋体" w:hAnsi="宋体"/>
          <w:bCs/>
          <w:color w:val="000000" w:themeColor="text1"/>
          <w:sz w:val="24"/>
          <w14:textFill>
            <w14:solidFill>
              <w14:schemeClr w14:val="tx1"/>
            </w14:solidFill>
          </w14:textFill>
        </w:rPr>
        <w:t xml:space="preserve"> </w:t>
      </w:r>
      <w:r>
        <w:rPr>
          <w:rFonts w:ascii="宋体" w:hAnsi="宋体"/>
          <w:bCs/>
          <w:color w:val="000000" w:themeColor="text1"/>
          <w:sz w:val="24"/>
          <w14:textFill>
            <w14:solidFill>
              <w14:schemeClr w14:val="tx1"/>
            </w14:solidFill>
          </w14:textFill>
        </w:rPr>
        <w:t>   </w:t>
      </w:r>
      <w:r>
        <w:rPr>
          <w:rFonts w:ascii="Arial" w:hAnsi="Arial" w:eastAsia="微软雅黑" w:cs="Arial"/>
          <w:color w:val="000000" w:themeColor="text1"/>
          <w:kern w:val="0"/>
          <w:sz w:val="30"/>
          <w:szCs w:val="30"/>
          <w14:textFill>
            <w14:solidFill>
              <w14:schemeClr w14:val="tx1"/>
            </w14:solidFill>
          </w14:textFill>
        </w:rPr>
        <w:t>                                                      </w:t>
      </w:r>
    </w:p>
    <w:p>
      <w:pPr>
        <w:spacing w:line="500" w:lineRule="exact"/>
        <w:jc w:val="center"/>
        <w:outlineLvl w:val="0"/>
        <w:rPr>
          <w:rFonts w:ascii="宋体" w:hAnsi="宋体"/>
          <w:b/>
          <w:sz w:val="32"/>
          <w:szCs w:val="32"/>
        </w:rPr>
      </w:pPr>
      <w:r>
        <w:rPr>
          <w:rFonts w:ascii="宋体" w:hAnsi="宋体"/>
          <w:b/>
          <w:color w:val="000000" w:themeColor="text1"/>
          <w:sz w:val="28"/>
          <w:szCs w:val="32"/>
          <w14:textFill>
            <w14:solidFill>
              <w14:schemeClr w14:val="tx1"/>
            </w14:solidFill>
          </w14:textFill>
        </w:rPr>
        <w:br w:type="page"/>
      </w:r>
      <w:r>
        <w:rPr>
          <w:rFonts w:hint="eastAsia" w:ascii="宋体" w:hAnsi="宋体"/>
          <w:b/>
          <w:sz w:val="28"/>
          <w:szCs w:val="32"/>
        </w:rPr>
        <w:t>第二章</w:t>
      </w:r>
      <w:r>
        <w:rPr>
          <w:rFonts w:hint="eastAsia" w:ascii="宋体" w:hAnsi="宋体"/>
          <w:b/>
          <w:sz w:val="32"/>
          <w:szCs w:val="32"/>
        </w:rPr>
        <w:t xml:space="preserve"> </w:t>
      </w:r>
      <w:r>
        <w:rPr>
          <w:rFonts w:hint="eastAsia" w:ascii="宋体" w:hAnsi="宋体"/>
          <w:b/>
          <w:sz w:val="28"/>
          <w:szCs w:val="32"/>
        </w:rPr>
        <w:t>报价人须知及前附表</w:t>
      </w:r>
    </w:p>
    <w:p>
      <w:pPr>
        <w:spacing w:line="400" w:lineRule="exact"/>
        <w:jc w:val="center"/>
        <w:rPr>
          <w:rFonts w:ascii="宋体" w:hAnsi="宋体"/>
          <w:b/>
          <w:sz w:val="24"/>
        </w:rPr>
      </w:pPr>
      <w:r>
        <w:rPr>
          <w:rFonts w:hint="eastAsia" w:ascii="宋体" w:hAnsi="宋体"/>
          <w:b/>
          <w:sz w:val="24"/>
        </w:rPr>
        <w:t>报价人须知前附表</w:t>
      </w:r>
    </w:p>
    <w:tbl>
      <w:tblPr>
        <w:tblStyle w:val="34"/>
        <w:tblW w:w="932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序号</w:t>
            </w:r>
          </w:p>
        </w:tc>
        <w:tc>
          <w:tcPr>
            <w:tcW w:w="8603" w:type="dxa"/>
            <w:vAlign w:val="center"/>
          </w:tcPr>
          <w:p>
            <w:pPr>
              <w:spacing w:line="36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8603" w:type="dxa"/>
            <w:vAlign w:val="center"/>
          </w:tcPr>
          <w:p>
            <w:pPr>
              <w:spacing w:line="40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r>
              <w:rPr>
                <w:rFonts w:hint="eastAsia" w:ascii="宋体" w:hAnsi="宋体"/>
                <w:bCs/>
                <w:color w:val="000000" w:themeColor="text1"/>
                <w:sz w:val="24"/>
                <w14:textFill>
                  <w14:solidFill>
                    <w14:schemeClr w14:val="tx1"/>
                  </w14:solidFill>
                </w14:textFill>
              </w:rPr>
              <w:t>广西自治区级公共安全视频监控建设联网应用项目第三方系统测评服务。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8603" w:type="dxa"/>
            <w:vAlign w:val="center"/>
          </w:tcPr>
          <w:p>
            <w:pPr>
              <w:spacing w:line="36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报价人资格及要求：</w:t>
            </w:r>
          </w:p>
          <w:p>
            <w:pPr>
              <w:spacing w:line="40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1.符合《中华人民共和国政府采购法》第二十二条规定的供应商资格条件。</w:t>
            </w:r>
          </w:p>
          <w:p>
            <w:pPr>
              <w:spacing w:line="40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2.国内注册（指按国家有关规定要求注册的），提供本次采购服务，具备独立法人资格。</w:t>
            </w:r>
          </w:p>
          <w:p>
            <w:pPr>
              <w:spacing w:line="40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jc w:val="left"/>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 xml:space="preserve">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8603" w:type="dxa"/>
            <w:vAlign w:val="center"/>
          </w:tcPr>
          <w:p>
            <w:pPr>
              <w:spacing w:line="360" w:lineRule="exact"/>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报价</w:t>
            </w:r>
            <w:r>
              <w:rPr>
                <w:rFonts w:hint="eastAsia" w:ascii="宋体" w:hAnsi="宋体" w:cs="宋体"/>
                <w:color w:val="000000" w:themeColor="text1"/>
                <w:sz w:val="24"/>
                <w14:textFill>
                  <w14:solidFill>
                    <w14:schemeClr w14:val="tx1"/>
                  </w14:solidFill>
                </w14:textFill>
              </w:rPr>
              <w:t>：</w:t>
            </w:r>
          </w:p>
          <w:p>
            <w:pPr>
              <w:spacing w:line="36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1.报价人必须就《服务需求》中的所有内容作完整唯一报价，否则报价将被拒绝。</w:t>
            </w:r>
          </w:p>
          <w:p>
            <w:pPr>
              <w:spacing w:line="360" w:lineRule="exact"/>
              <w:jc w:val="left"/>
              <w:rPr>
                <w:rFonts w:ascii="宋体" w:hAnsi="宋体" w:cs="宋体"/>
                <w:bCs/>
                <w:color w:val="000000" w:themeColor="text1"/>
                <w:sz w:val="24"/>
                <w:lang w:val="zh-CN"/>
                <w14:textFill>
                  <w14:solidFill>
                    <w14:schemeClr w14:val="tx1"/>
                  </w14:solidFill>
                </w14:textFill>
              </w:rPr>
            </w:pPr>
            <w:r>
              <w:rPr>
                <w:rFonts w:hint="eastAsia" w:ascii="宋体" w:hAnsi="宋体" w:cs="宋体"/>
                <w:bCs/>
                <w:color w:val="000000" w:themeColor="text1"/>
                <w:sz w:val="24"/>
                <w:lang w:val="zh-CN"/>
                <w14:textFill>
                  <w14:solidFill>
                    <w14:schemeClr w14:val="tx1"/>
                  </w14:solidFill>
                </w14:textFill>
              </w:rPr>
              <w:t>2.本项目应以人民币报价。</w:t>
            </w:r>
          </w:p>
          <w:p>
            <w:pPr>
              <w:spacing w:line="360" w:lineRule="exact"/>
              <w:jc w:val="left"/>
              <w:rPr>
                <w:rFonts w:ascii="宋体" w:hAnsi="宋体" w:cs="宋体"/>
                <w:bCs/>
                <w:color w:val="000000" w:themeColor="text1"/>
                <w:sz w:val="24"/>
                <w:lang w:val="zh-CN"/>
                <w14:textFill>
                  <w14:solidFill>
                    <w14:schemeClr w14:val="tx1"/>
                  </w14:solidFill>
                </w14:textFill>
              </w:rPr>
            </w:pPr>
            <w:r>
              <w:rPr>
                <w:rFonts w:hint="eastAsia" w:ascii="宋体" w:hAnsi="宋体" w:cs="宋体"/>
                <w:bCs/>
                <w:color w:val="000000" w:themeColor="text1"/>
                <w:sz w:val="24"/>
                <w:lang w:val="zh-CN"/>
                <w14:textFill>
                  <w14:solidFill>
                    <w14:schemeClr w14:val="tx1"/>
                  </w14:solidFill>
                </w14:textFill>
              </w:rPr>
              <w:t>3.报价不超过</w:t>
            </w:r>
            <w:r>
              <w:rPr>
                <w:rFonts w:hint="eastAsia" w:ascii="宋体" w:hAnsi="宋体" w:cs="宋体"/>
                <w:bCs/>
                <w:color w:val="000000" w:themeColor="text1"/>
                <w:sz w:val="24"/>
                <w14:textFill>
                  <w14:solidFill>
                    <w14:schemeClr w14:val="tx1"/>
                  </w14:solidFill>
                </w14:textFill>
              </w:rPr>
              <w:t>采购预算价</w:t>
            </w:r>
            <w:r>
              <w:rPr>
                <w:rFonts w:hint="eastAsia" w:ascii="宋体" w:hAnsi="宋体" w:cs="宋体"/>
                <w:bCs/>
                <w:color w:val="000000" w:themeColor="text1"/>
                <w:sz w:val="24"/>
                <w:lang w:val="zh-CN"/>
                <w14:textFill>
                  <w14:solidFill>
                    <w14:schemeClr w14:val="tx1"/>
                  </w14:solidFill>
                </w14:textFill>
              </w:rPr>
              <w:t>为有效报价，超过</w:t>
            </w:r>
            <w:r>
              <w:rPr>
                <w:rFonts w:hint="eastAsia" w:ascii="宋体" w:hAnsi="宋体" w:cs="宋体"/>
                <w:bCs/>
                <w:color w:val="000000" w:themeColor="text1"/>
                <w:sz w:val="24"/>
                <w14:textFill>
                  <w14:solidFill>
                    <w14:schemeClr w14:val="tx1"/>
                  </w14:solidFill>
                </w14:textFill>
              </w:rPr>
              <w:t>采购预算价</w:t>
            </w:r>
            <w:r>
              <w:rPr>
                <w:rFonts w:hint="eastAsia" w:ascii="宋体" w:hAnsi="宋体" w:cs="宋体"/>
                <w:bCs/>
                <w:color w:val="000000" w:themeColor="text1"/>
                <w:sz w:val="24"/>
                <w:lang w:val="zh-CN"/>
                <w14:textFill>
                  <w14:solidFill>
                    <w14:schemeClr w14:val="tx1"/>
                  </w14:solidFill>
                </w14:textFill>
              </w:rPr>
              <w:t>的报价为无效报价。</w:t>
            </w:r>
          </w:p>
          <w:p>
            <w:pPr>
              <w:spacing w:line="360" w:lineRule="exact"/>
              <w:jc w:val="left"/>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lang w:val="zh-CN"/>
                <w14:textFill>
                  <w14:solidFill>
                    <w14:schemeClr w14:val="tx1"/>
                  </w14:solidFill>
                </w14:textFill>
              </w:rPr>
              <w:t>4.</w:t>
            </w:r>
            <w:r>
              <w:rPr>
                <w:rFonts w:hint="eastAsia" w:ascii="宋体" w:hAnsi="宋体" w:cs="宋体"/>
                <w:bCs/>
                <w:color w:val="000000" w:themeColor="text1"/>
                <w:sz w:val="24"/>
                <w14:textFill>
                  <w14:solidFill>
                    <w14:schemeClr w14:val="tx1"/>
                  </w14:solidFill>
                </w14:textFill>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8603" w:type="dxa"/>
            <w:vAlign w:val="center"/>
          </w:tcPr>
          <w:p>
            <w:pPr>
              <w:spacing w:line="360" w:lineRule="exact"/>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响应文件份数</w:t>
            </w:r>
            <w:r>
              <w:rPr>
                <w:rFonts w:hint="eastAsia" w:ascii="宋体" w:hAnsi="宋体" w:cs="宋体"/>
                <w:color w:val="000000" w:themeColor="text1"/>
                <w:sz w:val="24"/>
                <w14:textFill>
                  <w14:solidFill>
                    <w14:schemeClr w14:val="tx1"/>
                  </w14:solidFill>
                </w14:textFill>
              </w:rPr>
              <w:t>：正本一份  副本二份。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8603" w:type="dxa"/>
            <w:vAlign w:val="center"/>
          </w:tcPr>
          <w:p>
            <w:pPr>
              <w:spacing w:line="360" w:lineRule="exact"/>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响应文件递</w:t>
            </w:r>
            <w:bookmarkStart w:id="31" w:name="_GoBack"/>
            <w:bookmarkEnd w:id="31"/>
            <w:r>
              <w:rPr>
                <w:rFonts w:hint="eastAsia" w:ascii="宋体" w:hAnsi="宋体" w:cs="宋体"/>
                <w:b/>
                <w:bCs/>
                <w:color w:val="000000" w:themeColor="text1"/>
                <w:sz w:val="24"/>
                <w14:textFill>
                  <w14:solidFill>
                    <w14:schemeClr w14:val="tx1"/>
                  </w14:solidFill>
                </w14:textFill>
              </w:rPr>
              <w:t>交截止时间：</w:t>
            </w:r>
            <w:r>
              <w:rPr>
                <w:rFonts w:hint="eastAsia" w:ascii="宋体" w:hAnsi="宋体"/>
                <w:color w:val="000000" w:themeColor="text1"/>
                <w:sz w:val="24"/>
                <w:highlight w:val="yellow"/>
                <w14:textFill>
                  <w14:solidFill>
                    <w14:schemeClr w14:val="tx1"/>
                  </w14:solidFill>
                </w14:textFill>
              </w:rPr>
              <w:t>202</w:t>
            </w:r>
            <w:r>
              <w:rPr>
                <w:rFonts w:hint="eastAsia" w:ascii="宋体" w:hAnsi="宋体"/>
                <w:color w:val="000000" w:themeColor="text1"/>
                <w:sz w:val="24"/>
                <w:highlight w:val="yellow"/>
                <w:lang w:val="en-US" w:eastAsia="zh-CN"/>
                <w14:textFill>
                  <w14:solidFill>
                    <w14:schemeClr w14:val="tx1"/>
                  </w14:solidFill>
                </w14:textFill>
              </w:rPr>
              <w:t>3</w:t>
            </w:r>
            <w:r>
              <w:rPr>
                <w:rFonts w:hint="eastAsia" w:ascii="宋体" w:hAnsi="宋体"/>
                <w:color w:val="000000" w:themeColor="text1"/>
                <w:sz w:val="24"/>
                <w:highlight w:val="yellow"/>
                <w14:textFill>
                  <w14:solidFill>
                    <w14:schemeClr w14:val="tx1"/>
                  </w14:solidFill>
                </w14:textFill>
              </w:rPr>
              <w:t>年</w:t>
            </w:r>
            <w:r>
              <w:rPr>
                <w:rFonts w:hint="eastAsia" w:ascii="宋体" w:hAnsi="宋体"/>
                <w:color w:val="000000" w:themeColor="text1"/>
                <w:sz w:val="24"/>
                <w:highlight w:val="yellow"/>
                <w:lang w:val="en-US" w:eastAsia="zh-CN"/>
                <w14:textFill>
                  <w14:solidFill>
                    <w14:schemeClr w14:val="tx1"/>
                  </w14:solidFill>
                </w14:textFill>
              </w:rPr>
              <w:t>12</w:t>
            </w:r>
            <w:r>
              <w:rPr>
                <w:rFonts w:hint="eastAsia" w:ascii="宋体" w:hAnsi="宋体"/>
                <w:color w:val="000000" w:themeColor="text1"/>
                <w:sz w:val="24"/>
                <w:highlight w:val="yellow"/>
                <w14:textFill>
                  <w14:solidFill>
                    <w14:schemeClr w14:val="tx1"/>
                  </w14:solidFill>
                </w14:textFill>
              </w:rPr>
              <w:t>月</w:t>
            </w:r>
            <w:r>
              <w:rPr>
                <w:rFonts w:hint="eastAsia" w:ascii="宋体" w:hAnsi="宋体"/>
                <w:color w:val="000000" w:themeColor="text1"/>
                <w:sz w:val="24"/>
                <w:highlight w:val="yellow"/>
                <w:lang w:val="en-US" w:eastAsia="zh-CN"/>
                <w14:textFill>
                  <w14:solidFill>
                    <w14:schemeClr w14:val="tx1"/>
                  </w14:solidFill>
                </w14:textFill>
              </w:rPr>
              <w:t>30</w:t>
            </w:r>
            <w:r>
              <w:rPr>
                <w:rFonts w:hint="eastAsia" w:ascii="宋体" w:hAnsi="宋体"/>
                <w:color w:val="000000" w:themeColor="text1"/>
                <w:sz w:val="24"/>
                <w:highlight w:val="yellow"/>
                <w14:textFill>
                  <w14:solidFill>
                    <w14:schemeClr w14:val="tx1"/>
                  </w14:solidFill>
                </w14:textFill>
              </w:rPr>
              <w:t>日18时00分</w:t>
            </w:r>
            <w:r>
              <w:rPr>
                <w:rFonts w:hint="eastAsia" w:ascii="宋体" w:hAnsi="宋体" w:cs="宋体"/>
                <w:color w:val="000000" w:themeColor="text1"/>
                <w:sz w:val="24"/>
                <w:highlight w:val="yellow"/>
                <w14:textFill>
                  <w14:solidFill>
                    <w14:schemeClr w14:val="tx1"/>
                  </w14:solidFill>
                </w14:textFill>
              </w:rPr>
              <w:t>。</w:t>
            </w:r>
          </w:p>
          <w:p>
            <w:pPr>
              <w:spacing w:line="3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地址：南宁市良庆区体强路18号</w:t>
            </w:r>
            <w:r>
              <w:rPr>
                <w:rFonts w:ascii="宋体" w:hAnsi="宋体" w:cs="宋体"/>
                <w:color w:val="000000" w:themeColor="text1"/>
                <w:sz w:val="24"/>
                <w14:textFill>
                  <w14:solidFill>
                    <w14:schemeClr w14:val="tx1"/>
                  </w14:solidFill>
                </w14:textFill>
              </w:rPr>
              <w:t>16</w:t>
            </w:r>
            <w:r>
              <w:rPr>
                <w:rFonts w:hint="eastAsia" w:ascii="宋体" w:hAnsi="宋体" w:cs="宋体"/>
                <w:color w:val="000000" w:themeColor="text1"/>
                <w:sz w:val="24"/>
                <w14:textFill>
                  <w14:solidFill>
                    <w14:schemeClr w14:val="tx1"/>
                  </w14:solidFill>
                </w14:textFill>
              </w:rPr>
              <w:t>楼</w:t>
            </w:r>
            <w:r>
              <w:rPr>
                <w:rFonts w:ascii="宋体" w:hAnsi="宋体" w:cs="宋体"/>
                <w:color w:val="000000" w:themeColor="text1"/>
                <w:sz w:val="24"/>
                <w14:textFill>
                  <w14:solidFill>
                    <w14:schemeClr w14:val="tx1"/>
                  </w14:solidFill>
                </w14:textFill>
              </w:rPr>
              <w:t>1608</w:t>
            </w:r>
            <w:r>
              <w:rPr>
                <w:rFonts w:hint="eastAsia" w:ascii="宋体" w:hAnsi="宋体" w:cs="宋体"/>
                <w:color w:val="000000" w:themeColor="text1"/>
                <w:sz w:val="24"/>
                <w14:textFill>
                  <w14:solidFill>
                    <w14:schemeClr w14:val="tx1"/>
                  </w14:solidFill>
                </w14:textFill>
              </w:rPr>
              <w:t>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p>
        </w:tc>
        <w:tc>
          <w:tcPr>
            <w:tcW w:w="8603" w:type="dxa"/>
            <w:vAlign w:val="center"/>
          </w:tcPr>
          <w:p>
            <w:pPr>
              <w:spacing w:line="360" w:lineRule="exact"/>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履约保证金:</w:t>
            </w:r>
            <w:r>
              <w:rPr>
                <w:rFonts w:hint="eastAsia" w:ascii="宋体" w:hAnsi="宋体" w:cs="宋体"/>
                <w:color w:val="000000" w:themeColor="text1"/>
                <w:sz w:val="24"/>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p>
        </w:tc>
        <w:tc>
          <w:tcPr>
            <w:tcW w:w="8603" w:type="dxa"/>
            <w:vAlign w:val="center"/>
          </w:tcPr>
          <w:p>
            <w:pPr>
              <w:spacing w:line="360" w:lineRule="exact"/>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评标方法：</w:t>
            </w:r>
            <w:r>
              <w:rPr>
                <w:rFonts w:hint="eastAsia" w:ascii="宋体" w:hAnsi="宋体" w:cs="宋体"/>
                <w:color w:val="000000" w:themeColor="text1"/>
                <w:sz w:val="24"/>
                <w14:textFill>
                  <w14:solidFill>
                    <w14:schemeClr w14:val="tx1"/>
                  </w14:solidFill>
                </w14:textFill>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p>
        </w:tc>
        <w:tc>
          <w:tcPr>
            <w:tcW w:w="8603" w:type="dxa"/>
            <w:vAlign w:val="center"/>
          </w:tcPr>
          <w:p>
            <w:pPr>
              <w:spacing w:line="360" w:lineRule="exact"/>
              <w:rPr>
                <w:rFonts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本项目采购预算价为：</w:t>
            </w:r>
            <w:r>
              <w:rPr>
                <w:rFonts w:hint="eastAsia" w:ascii="宋体" w:hAnsi="宋体"/>
                <w:color w:val="000000" w:themeColor="text1"/>
                <w:sz w:val="24"/>
                <w:szCs w:val="32"/>
                <w14:textFill>
                  <w14:solidFill>
                    <w14:schemeClr w14:val="tx1"/>
                  </w14:solidFill>
                </w14:textFill>
              </w:rPr>
              <w:t>叁拾柒万贰仟元整（￥372</w:t>
            </w:r>
            <w:r>
              <w:rPr>
                <w:rFonts w:ascii="宋体" w:hAnsi="宋体"/>
                <w:color w:val="000000" w:themeColor="text1"/>
                <w:sz w:val="24"/>
                <w:szCs w:val="32"/>
                <w14:textFill>
                  <w14:solidFill>
                    <w14:schemeClr w14:val="tx1"/>
                  </w14:solidFill>
                </w14:textFill>
              </w:rPr>
              <w:t>,000</w:t>
            </w:r>
            <w:r>
              <w:rPr>
                <w:rFonts w:hint="eastAsia" w:ascii="宋体" w:hAnsi="宋体"/>
                <w:color w:val="000000" w:themeColor="text1"/>
                <w:sz w:val="24"/>
                <w:szCs w:val="32"/>
                <w14:textFill>
                  <w14:solidFill>
                    <w14:schemeClr w14:val="tx1"/>
                  </w14:solidFill>
                </w14:textFill>
              </w:rPr>
              <w:t>.00）</w:t>
            </w:r>
            <w:r>
              <w:rPr>
                <w:rFonts w:hint="eastAsia" w:ascii="宋体" w:hAnsi="宋体" w:cs="宋体"/>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w:t>
            </w:r>
          </w:p>
        </w:tc>
        <w:tc>
          <w:tcPr>
            <w:tcW w:w="8603" w:type="dxa"/>
            <w:vAlign w:val="center"/>
          </w:tcPr>
          <w:p>
            <w:pPr>
              <w:spacing w:line="3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rPr>
        <w:sectPr>
          <w:footerReference r:id="rId11" w:type="first"/>
          <w:headerReference r:id="rId7" w:type="default"/>
          <w:footerReference r:id="rId9" w:type="default"/>
          <w:headerReference r:id="rId8" w:type="even"/>
          <w:footerReference r:id="rId10" w:type="even"/>
          <w:pgSz w:w="11906" w:h="16838"/>
          <w:pgMar w:top="1134" w:right="1134" w:bottom="1134" w:left="1134" w:header="851" w:footer="851" w:gutter="0"/>
          <w:pgNumType w:start="3"/>
          <w:cols w:space="720" w:num="1"/>
          <w:docGrid w:linePitch="312" w:charSpace="0"/>
        </w:sectPr>
      </w:pPr>
    </w:p>
    <w:p>
      <w:pPr>
        <w:spacing w:before="48" w:beforeLines="20" w:after="48" w:afterLines="20" w:line="400" w:lineRule="exact"/>
        <w:jc w:val="center"/>
        <w:rPr>
          <w:rFonts w:ascii="宋体" w:hAnsi="宋体"/>
          <w:b/>
          <w:sz w:val="32"/>
          <w:szCs w:val="32"/>
        </w:rPr>
      </w:pPr>
      <w:r>
        <w:rPr>
          <w:rFonts w:hint="eastAsia" w:ascii="宋体" w:hAnsi="宋体"/>
          <w:b/>
          <w:sz w:val="28"/>
          <w:szCs w:val="32"/>
        </w:rPr>
        <w:t>报价人须知</w:t>
      </w:r>
    </w:p>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一、总　则</w:t>
      </w:r>
    </w:p>
    <w:p>
      <w:pPr>
        <w:spacing w:line="400" w:lineRule="exact"/>
        <w:ind w:firstLine="480" w:firstLineChars="200"/>
        <w:outlineLvl w:val="2"/>
        <w:rPr>
          <w:rFonts w:ascii="宋体" w:hAnsi="宋体" w:cs="宋体"/>
          <w:b/>
          <w:sz w:val="24"/>
        </w:rPr>
      </w:pPr>
      <w:r>
        <w:rPr>
          <w:rFonts w:hint="eastAsia" w:ascii="宋体" w:hAnsi="宋体" w:cs="宋体"/>
          <w:sz w:val="24"/>
        </w:rPr>
        <w:t>1.适用范围</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本文件仅适用于广西壮族自治区信息中心“</w:t>
      </w:r>
      <w:r>
        <w:rPr>
          <w:rFonts w:hint="eastAsia" w:ascii="宋体" w:hAnsi="宋体"/>
          <w:bCs/>
          <w:color w:val="000000" w:themeColor="text1"/>
          <w:sz w:val="24"/>
          <w14:textFill>
            <w14:solidFill>
              <w14:schemeClr w14:val="tx1"/>
            </w14:solidFill>
          </w14:textFill>
        </w:rPr>
        <w:t>广西自治区级公共安全视频监控建设联网应用项目第三方系统测评服务</w:t>
      </w:r>
      <w:r>
        <w:rPr>
          <w:rFonts w:hint="eastAsia" w:ascii="宋体" w:hAnsi="宋体" w:cs="宋体"/>
          <w:color w:val="000000" w:themeColor="text1"/>
          <w:sz w:val="24"/>
          <w14:textFill>
            <w14:solidFill>
              <w14:schemeClr w14:val="tx1"/>
            </w14:solidFill>
          </w14:textFill>
        </w:rPr>
        <w:t>”项目采购。</w:t>
      </w:r>
    </w:p>
    <w:p>
      <w:pPr>
        <w:spacing w:line="400" w:lineRule="exact"/>
        <w:ind w:firstLine="480" w:firstLineChars="200"/>
        <w:outlineLvl w:val="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定义</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2.1“采购人”：广西壮族自治区信息中心 。</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2.2“报价人”系指符合本次采购项目的提交响应文件的、参与报价的单位或自然人。</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rPr>
      </w:pPr>
      <w:r>
        <w:rPr>
          <w:rFonts w:hint="eastAsia" w:ascii="宋体" w:hAnsi="宋体" w:cs="宋体"/>
          <w:color w:val="000000" w:themeColor="text1"/>
          <w:sz w:val="24"/>
          <w14:textFill>
            <w14:solidFill>
              <w14:schemeClr w14:val="tx1"/>
            </w14:solidFill>
          </w14:textFill>
        </w:rPr>
        <w:t>2.4“服务”系指采购文件规定供应商须承担的</w:t>
      </w:r>
      <w:r>
        <w:rPr>
          <w:rFonts w:hint="eastAsia" w:ascii="宋体" w:hAnsi="宋体" w:cs="宋体"/>
          <w:sz w:val="24"/>
        </w:rPr>
        <w:t>设计开发、集成、安装、调试、技术协助、校准、培训、技术指导以及其他类似的义务。</w:t>
      </w:r>
    </w:p>
    <w:p>
      <w:pPr>
        <w:spacing w:line="400" w:lineRule="exact"/>
        <w:ind w:firstLine="480" w:firstLineChars="200"/>
        <w:rPr>
          <w:rFonts w:ascii="宋体" w:hAnsi="宋体" w:cs="宋体"/>
          <w:sz w:val="24"/>
        </w:rPr>
      </w:pPr>
      <w:r>
        <w:rPr>
          <w:rFonts w:hint="eastAsia" w:ascii="宋体" w:hAnsi="宋体" w:cs="宋体"/>
          <w:sz w:val="24"/>
        </w:rPr>
        <w:t>2.5“项目”系指供应商按采购文件规定向采购人提供的产品和服务。</w:t>
      </w:r>
    </w:p>
    <w:p>
      <w:pPr>
        <w:spacing w:line="400" w:lineRule="exact"/>
        <w:ind w:firstLine="480" w:firstLineChars="200"/>
        <w:rPr>
          <w:rFonts w:ascii="宋体" w:hAnsi="宋体" w:cs="宋体"/>
          <w:sz w:val="24"/>
        </w:rPr>
      </w:pPr>
      <w:r>
        <w:rPr>
          <w:rFonts w:hint="eastAsia" w:ascii="宋体" w:hAnsi="宋体" w:cs="宋体"/>
          <w:sz w:val="24"/>
        </w:rPr>
        <w:t>2.6“书面形式”包括信函、传真、电报等。</w:t>
      </w:r>
    </w:p>
    <w:p>
      <w:pPr>
        <w:spacing w:line="400" w:lineRule="exact"/>
        <w:ind w:firstLine="480" w:firstLineChars="200"/>
        <w:rPr>
          <w:rFonts w:ascii="宋体" w:hAnsi="宋体" w:cs="宋体"/>
          <w:sz w:val="24"/>
        </w:rPr>
      </w:pPr>
      <w:r>
        <w:rPr>
          <w:rFonts w:hint="eastAsia" w:ascii="宋体" w:hAnsi="宋体" w:cs="宋体"/>
          <w:sz w:val="24"/>
        </w:rPr>
        <w:t>2.7“▲”系指实质性要求条款。</w:t>
      </w:r>
    </w:p>
    <w:p>
      <w:pPr>
        <w:spacing w:line="400" w:lineRule="exact"/>
        <w:ind w:firstLine="480" w:firstLineChars="200"/>
        <w:outlineLvl w:val="2"/>
        <w:rPr>
          <w:rFonts w:ascii="宋体" w:hAnsi="宋体" w:cs="宋体"/>
          <w:sz w:val="24"/>
        </w:rPr>
      </w:pPr>
      <w:r>
        <w:rPr>
          <w:rFonts w:hint="eastAsia" w:ascii="宋体" w:hAnsi="宋体" w:cs="宋体"/>
          <w:sz w:val="24"/>
        </w:rPr>
        <w:t>3.报价人的基本条件</w:t>
      </w:r>
    </w:p>
    <w:p>
      <w:pPr>
        <w:spacing w:line="400" w:lineRule="exact"/>
        <w:ind w:firstLine="480" w:firstLineChars="200"/>
        <w:jc w:val="left"/>
        <w:rPr>
          <w:rFonts w:ascii="宋体" w:hAnsi="宋体" w:cs="宋体"/>
          <w:sz w:val="24"/>
        </w:rPr>
      </w:pPr>
      <w:r>
        <w:rPr>
          <w:rFonts w:hint="eastAsia" w:ascii="宋体" w:hAnsi="宋体" w:cs="宋体"/>
          <w:sz w:val="24"/>
        </w:rPr>
        <w:t>3.1 报价人资格及要求：</w:t>
      </w:r>
    </w:p>
    <w:p>
      <w:pPr>
        <w:spacing w:line="400" w:lineRule="exact"/>
        <w:ind w:firstLine="480" w:firstLineChars="200"/>
        <w:rPr>
          <w:rFonts w:ascii="宋体" w:hAnsi="宋体" w:cs="宋体"/>
          <w:kern w:val="0"/>
          <w:sz w:val="24"/>
        </w:rPr>
      </w:pPr>
      <w:r>
        <w:rPr>
          <w:rFonts w:hint="eastAsia" w:ascii="宋体" w:hAnsi="宋体" w:cs="宋体"/>
          <w:kern w:val="0"/>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cs="宋体"/>
          <w:kern w:val="0"/>
          <w:sz w:val="24"/>
        </w:rPr>
        <w:t>（2）</w:t>
      </w:r>
      <w:r>
        <w:rPr>
          <w:rFonts w:hint="eastAsia" w:ascii="宋体" w:hAnsi="宋体"/>
          <w:bCs/>
          <w:sz w:val="24"/>
        </w:rPr>
        <w:t>国内注册（指按国家有关规定要求注册的），提供本次采购服务，具备独立法人资格。</w:t>
      </w:r>
    </w:p>
    <w:p>
      <w:pPr>
        <w:spacing w:line="400" w:lineRule="exact"/>
        <w:ind w:firstLine="480" w:firstLineChars="200"/>
        <w:rPr>
          <w:rFonts w:ascii="宋体" w:hAnsi="宋体" w:cs="宋体"/>
          <w:kern w:val="0"/>
          <w:sz w:val="24"/>
        </w:rPr>
      </w:pPr>
      <w:r>
        <w:rPr>
          <w:rFonts w:hint="eastAsia" w:ascii="宋体" w:hAnsi="宋体" w:cs="宋体"/>
          <w:kern w:val="0"/>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pPr>
      <w:r>
        <w:rPr>
          <w:rFonts w:hint="eastAsia" w:ascii="宋体" w:hAnsi="宋体" w:cs="宋体"/>
          <w:kern w:val="0"/>
          <w:sz w:val="24"/>
        </w:rPr>
        <w:t xml:space="preserve">（4）本项目不接受联合体报价。   </w:t>
      </w:r>
    </w:p>
    <w:p>
      <w:pPr>
        <w:spacing w:line="400" w:lineRule="exact"/>
        <w:ind w:firstLine="480" w:firstLineChars="200"/>
        <w:outlineLvl w:val="2"/>
        <w:rPr>
          <w:rFonts w:ascii="宋体" w:hAnsi="宋体" w:cs="宋体"/>
          <w:sz w:val="24"/>
        </w:rPr>
      </w:pPr>
      <w:r>
        <w:rPr>
          <w:rFonts w:hint="eastAsia" w:ascii="宋体" w:hAnsi="宋体" w:cs="宋体"/>
          <w:sz w:val="24"/>
        </w:rPr>
        <w:t>4.费用</w:t>
      </w:r>
    </w:p>
    <w:p>
      <w:pPr>
        <w:spacing w:line="400" w:lineRule="exact"/>
        <w:ind w:firstLine="480" w:firstLineChars="200"/>
        <w:rPr>
          <w:rFonts w:ascii="宋体" w:hAnsi="宋体" w:cs="宋体"/>
          <w:sz w:val="24"/>
        </w:rPr>
      </w:pPr>
      <w:r>
        <w:rPr>
          <w:rFonts w:hint="eastAsia" w:ascii="宋体" w:hAnsi="宋体" w:cs="宋体"/>
          <w:bCs/>
          <w:sz w:val="24"/>
        </w:rPr>
        <w:t>报价人应自行承担所有与编写和提交报价文件有关的费用，不论采购结果如何，采购人在任何情况下无义务和责任承担此类费用。</w:t>
      </w:r>
    </w:p>
    <w:p>
      <w:pPr>
        <w:spacing w:line="400" w:lineRule="exact"/>
        <w:ind w:firstLine="480" w:firstLineChars="200"/>
        <w:outlineLvl w:val="2"/>
        <w:rPr>
          <w:rFonts w:ascii="宋体" w:hAnsi="宋体" w:cs="宋体"/>
          <w:sz w:val="24"/>
        </w:rPr>
      </w:pPr>
      <w:r>
        <w:rPr>
          <w:rFonts w:hint="eastAsia" w:ascii="宋体" w:hAnsi="宋体" w:cs="宋体"/>
          <w:sz w:val="24"/>
        </w:rPr>
        <w:t>5.联合体报价</w:t>
      </w:r>
    </w:p>
    <w:p>
      <w:pPr>
        <w:spacing w:line="400" w:lineRule="exact"/>
        <w:ind w:firstLine="480" w:firstLineChars="200"/>
        <w:rPr>
          <w:rFonts w:ascii="宋体" w:hAnsi="宋体" w:cs="宋体"/>
          <w:sz w:val="24"/>
        </w:rPr>
      </w:pPr>
      <w:r>
        <w:rPr>
          <w:rFonts w:hint="eastAsia" w:ascii="宋体" w:hAnsi="宋体" w:cs="宋体"/>
          <w:sz w:val="24"/>
        </w:rPr>
        <w:t xml:space="preserve">本项目不接受联合体报价。 </w:t>
      </w:r>
    </w:p>
    <w:p>
      <w:pPr>
        <w:spacing w:line="400" w:lineRule="exact"/>
        <w:ind w:firstLine="480" w:firstLineChars="200"/>
        <w:outlineLvl w:val="2"/>
        <w:rPr>
          <w:rFonts w:ascii="宋体" w:hAnsi="宋体" w:cs="宋体"/>
          <w:sz w:val="24"/>
        </w:rPr>
      </w:pPr>
      <w:r>
        <w:rPr>
          <w:rFonts w:hint="eastAsia" w:ascii="宋体" w:hAnsi="宋体" w:cs="宋体"/>
          <w:sz w:val="24"/>
        </w:rPr>
        <w:t>6.转包与分包</w:t>
      </w:r>
    </w:p>
    <w:p>
      <w:pPr>
        <w:spacing w:line="400" w:lineRule="exact"/>
        <w:ind w:firstLine="480" w:firstLineChars="200"/>
        <w:rPr>
          <w:rFonts w:ascii="宋体" w:hAnsi="宋体" w:cs="宋体"/>
          <w:sz w:val="24"/>
        </w:rPr>
      </w:pPr>
      <w:r>
        <w:rPr>
          <w:rFonts w:hint="eastAsia" w:ascii="宋体" w:hAnsi="宋体" w:cs="宋体"/>
          <w:sz w:val="24"/>
        </w:rPr>
        <w:t>6.1本项目不允许转包。</w:t>
      </w:r>
    </w:p>
    <w:p>
      <w:pPr>
        <w:spacing w:line="400" w:lineRule="exact"/>
        <w:ind w:firstLine="480" w:firstLineChars="200"/>
        <w:rPr>
          <w:rFonts w:ascii="宋体" w:hAnsi="宋体" w:cs="宋体"/>
          <w:sz w:val="24"/>
        </w:rPr>
      </w:pPr>
      <w:r>
        <w:rPr>
          <w:rFonts w:hint="eastAsia" w:ascii="宋体" w:hAnsi="宋体" w:cs="宋体"/>
          <w:sz w:val="24"/>
        </w:rPr>
        <w:t>6.2本项目不可以分包。</w:t>
      </w:r>
    </w:p>
    <w:p>
      <w:pPr>
        <w:pStyle w:val="15"/>
        <w:numPr>
          <w:ilvl w:val="255"/>
          <w:numId w:val="0"/>
        </w:numPr>
        <w:snapToGrid w:val="0"/>
        <w:spacing w:line="400" w:lineRule="exact"/>
        <w:ind w:firstLine="481" w:firstLineChars="200"/>
        <w:outlineLvl w:val="2"/>
        <w:rPr>
          <w:rFonts w:hAnsi="宋体" w:cs="宋体"/>
          <w:b/>
          <w:sz w:val="24"/>
        </w:rPr>
      </w:pPr>
      <w:bookmarkStart w:id="0" w:name="_Toc254970532"/>
      <w:bookmarkStart w:id="1" w:name="_Toc254970673"/>
      <w:r>
        <w:rPr>
          <w:rFonts w:hint="eastAsia" w:hAnsi="宋体" w:cs="宋体"/>
          <w:b/>
          <w:sz w:val="24"/>
        </w:rPr>
        <w:t xml:space="preserve">7.特别说明 </w:t>
      </w:r>
    </w:p>
    <w:bookmarkEnd w:id="0"/>
    <w:bookmarkEnd w:id="1"/>
    <w:p>
      <w:pPr>
        <w:pStyle w:val="15"/>
        <w:snapToGrid w:val="0"/>
        <w:spacing w:line="400" w:lineRule="exact"/>
        <w:ind w:firstLine="480" w:firstLineChars="200"/>
        <w:rPr>
          <w:rFonts w:hAnsi="宋体" w:cs="宋体"/>
          <w:sz w:val="24"/>
        </w:rPr>
      </w:pPr>
      <w:r>
        <w:rPr>
          <w:rFonts w:hint="eastAsia" w:hAnsi="宋体" w:cs="宋体"/>
          <w:sz w:val="24"/>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7.2报价人报价所使用的资格、信誉、荣誉、业绩与企业认证必须为本法人所拥有。报价人报价所使用的采购项目实施人员必须为本法人员工（或必须为本法人或控股公司正式员工）。</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7.3报价人应仔细阅读采购文件的所有内容，按照采购文件的要求提交响应文件，并对所提供的全部资料的真实性承担法律责任。</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7.4报价人提供任何虚假材料,其报价无效；成交后发现的,成交人须依照《中华人民共和国消费者权益保护法》第49条之规定双倍赔偿采购人，且民事赔偿并不免除违法报价人的行政与刑事责任。</w:t>
      </w:r>
    </w:p>
    <w:p>
      <w:pPr>
        <w:pStyle w:val="15"/>
        <w:snapToGrid w:val="0"/>
        <w:spacing w:before="48" w:beforeLines="20" w:after="48" w:afterLines="20" w:line="400" w:lineRule="exact"/>
        <w:jc w:val="center"/>
        <w:outlineLvl w:val="1"/>
        <w:rPr>
          <w:rFonts w:hAnsi="宋体" w:cs="宋体"/>
          <w:b/>
          <w:sz w:val="24"/>
          <w:szCs w:val="24"/>
        </w:rPr>
      </w:pPr>
      <w:r>
        <w:rPr>
          <w:rFonts w:hint="eastAsia" w:hAnsi="宋体" w:cs="宋体"/>
          <w:b/>
          <w:sz w:val="24"/>
          <w:szCs w:val="24"/>
        </w:rPr>
        <w:t>二、采购文件</w:t>
      </w:r>
    </w:p>
    <w:p>
      <w:pPr>
        <w:pStyle w:val="15"/>
        <w:snapToGrid w:val="0"/>
        <w:spacing w:line="400" w:lineRule="exact"/>
        <w:ind w:firstLine="481" w:firstLineChars="200"/>
        <w:outlineLvl w:val="2"/>
        <w:rPr>
          <w:rFonts w:hAnsi="宋体" w:cs="宋体"/>
          <w:b/>
          <w:sz w:val="24"/>
          <w:szCs w:val="24"/>
        </w:rPr>
      </w:pPr>
      <w:r>
        <w:rPr>
          <w:rFonts w:hint="eastAsia" w:hAnsi="宋体" w:cs="宋体"/>
          <w:b/>
          <w:sz w:val="24"/>
          <w:szCs w:val="24"/>
        </w:rPr>
        <w:t>8.采购文件构成</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8.1采购公告；</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8.2报价人须知及前附表；</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8.3项目服务需求及说明；</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8.4评审办法及成交标准；</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8.5响应文件格式。</w:t>
      </w:r>
    </w:p>
    <w:p>
      <w:pPr>
        <w:pStyle w:val="15"/>
        <w:spacing w:line="400" w:lineRule="exact"/>
        <w:ind w:firstLine="472" w:firstLineChars="196"/>
        <w:outlineLvl w:val="2"/>
        <w:rPr>
          <w:rFonts w:hAnsi="宋体" w:cs="宋体"/>
          <w:sz w:val="24"/>
          <w:szCs w:val="24"/>
        </w:rPr>
      </w:pPr>
      <w:r>
        <w:rPr>
          <w:rFonts w:hint="eastAsia" w:hAnsi="宋体" w:cs="宋体"/>
          <w:b/>
          <w:bCs/>
          <w:sz w:val="24"/>
          <w:szCs w:val="24"/>
        </w:rPr>
        <w:t>9.</w:t>
      </w:r>
      <w:r>
        <w:rPr>
          <w:rFonts w:hint="eastAsia" w:hAnsi="宋体" w:cs="宋体"/>
          <w:b/>
          <w:sz w:val="24"/>
          <w:szCs w:val="24"/>
        </w:rPr>
        <w:t>采购文件的澄清和修改</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9.3采购人对所有疑问的正式答复或是采购人认为必要修改的内容将以质疑答复公告或变更公告在原采购公告发布地址发布，电话通知提出疑问的报价人查阅公告，其余获取采购文件的报价人自行上网查看公告，但不说明问题的来源。该澄清或修改的内容为采购文件的组成部分。质疑答复公告或变更公告成功发布后将视为报价人收到答疑或补充通知，不需回复确认函。</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9.4特殊情况下，采购人可延长报价截止时间，并将变更时间以变更公告在原采购公告发布地址发布。</w:t>
      </w:r>
    </w:p>
    <w:p>
      <w:pPr>
        <w:pStyle w:val="15"/>
        <w:snapToGrid w:val="0"/>
        <w:spacing w:before="48" w:beforeLines="20" w:after="48" w:afterLines="20" w:line="400" w:lineRule="exact"/>
        <w:ind w:firstLine="481" w:firstLineChars="200"/>
        <w:jc w:val="center"/>
        <w:outlineLvl w:val="1"/>
        <w:rPr>
          <w:rFonts w:hAnsi="宋体" w:cs="宋体"/>
          <w:b/>
          <w:sz w:val="24"/>
          <w:szCs w:val="24"/>
        </w:rPr>
      </w:pPr>
      <w:r>
        <w:rPr>
          <w:rFonts w:hint="eastAsia" w:hAnsi="宋体" w:cs="宋体"/>
          <w:b/>
          <w:sz w:val="24"/>
          <w:szCs w:val="24"/>
        </w:rPr>
        <w:t>三、响应文件</w:t>
      </w:r>
    </w:p>
    <w:p>
      <w:pPr>
        <w:spacing w:line="400" w:lineRule="exact"/>
        <w:ind w:firstLine="481" w:firstLineChars="200"/>
        <w:outlineLvl w:val="2"/>
        <w:rPr>
          <w:rFonts w:ascii="宋体" w:hAnsi="宋体" w:cs="宋体"/>
          <w:b/>
          <w:sz w:val="24"/>
        </w:rPr>
      </w:pPr>
      <w:r>
        <w:rPr>
          <w:rFonts w:hint="eastAsia" w:ascii="宋体" w:hAnsi="宋体" w:cs="宋体"/>
          <w:b/>
          <w:sz w:val="24"/>
        </w:rPr>
        <w:t>10.响应文件的组成</w:t>
      </w:r>
    </w:p>
    <w:p>
      <w:pPr>
        <w:spacing w:line="400" w:lineRule="exact"/>
        <w:ind w:firstLine="480" w:firstLineChars="200"/>
        <w:rPr>
          <w:rFonts w:ascii="宋体" w:hAnsi="宋体" w:cs="宋体"/>
          <w:sz w:val="24"/>
        </w:rPr>
      </w:pPr>
      <w:r>
        <w:rPr>
          <w:rFonts w:hint="eastAsia" w:ascii="宋体" w:hAnsi="宋体" w:cs="宋体"/>
          <w:sz w:val="24"/>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rPr>
      </w:pPr>
      <w:r>
        <w:rPr>
          <w:rFonts w:hint="eastAsia" w:ascii="宋体" w:hAnsi="宋体" w:cs="宋体"/>
          <w:sz w:val="24"/>
        </w:rPr>
        <w:t>10.2资信/商务文件：</w:t>
      </w:r>
    </w:p>
    <w:p>
      <w:pPr>
        <w:spacing w:line="400" w:lineRule="exact"/>
        <w:ind w:firstLine="480" w:firstLineChars="200"/>
        <w:rPr>
          <w:rFonts w:ascii="宋体" w:hAnsi="宋体" w:cs="宋体"/>
          <w:color w:val="000000"/>
          <w:sz w:val="24"/>
        </w:rPr>
      </w:pPr>
      <w:r>
        <w:rPr>
          <w:rFonts w:hint="eastAsia" w:ascii="宋体" w:hAnsi="宋体" w:cs="宋体"/>
          <w:sz w:val="24"/>
        </w:rPr>
        <w:t>商务部分是证明报价人有资格参加报价和成交后有能力履行服务的文件，这些文件应能</w:t>
      </w:r>
      <w:r>
        <w:rPr>
          <w:rFonts w:hint="eastAsia" w:ascii="宋体" w:hAnsi="宋体" w:cs="宋体"/>
          <w:color w:val="000000"/>
          <w:sz w:val="24"/>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rPr>
      </w:pPr>
      <w:r>
        <w:rPr>
          <w:rFonts w:hint="eastAsia" w:ascii="宋体" w:hAnsi="宋体" w:cs="宋体"/>
          <w:color w:val="000000"/>
          <w:sz w:val="24"/>
        </w:rPr>
        <w:t>▲（1）报价声明书（格式见第五章）；</w:t>
      </w:r>
    </w:p>
    <w:p>
      <w:pPr>
        <w:spacing w:line="400" w:lineRule="exact"/>
        <w:ind w:firstLine="480" w:firstLineChars="200"/>
        <w:rPr>
          <w:rFonts w:ascii="宋体" w:hAnsi="宋体" w:cs="宋体"/>
          <w:color w:val="000000"/>
          <w:sz w:val="24"/>
        </w:rPr>
      </w:pPr>
      <w:r>
        <w:rPr>
          <w:rFonts w:hint="eastAsia" w:ascii="宋体" w:hAnsi="宋体" w:cs="宋体"/>
          <w:color w:val="000000"/>
          <w:sz w:val="24"/>
        </w:rPr>
        <w:t>▲（2）有效的营业执照副本复印件（对于有经营资质要求的，报价人必须提供有效的经营资质证书内页复印件；如报价人提供其他服务机构的服务时，还须提供其他服务机构的有效授权书原件）；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sz w:val="24"/>
        </w:rPr>
      </w:pPr>
      <w:r>
        <w:rPr>
          <w:rFonts w:hint="eastAsia" w:ascii="宋体" w:hAnsi="宋体" w:cs="宋体"/>
          <w:color w:val="000000"/>
          <w:sz w:val="24"/>
        </w:rPr>
        <w:t>▲（3）有效的法定代表人（负责人）身份证正反面复印件（如法定代表人（负责人）非中国国籍应提交护照复印件，要求证件有效并与营业执照中的法定代</w:t>
      </w:r>
      <w:r>
        <w:rPr>
          <w:rFonts w:hint="eastAsia" w:ascii="宋体" w:hAnsi="宋体" w:cs="宋体"/>
          <w:sz w:val="24"/>
        </w:rPr>
        <w:t>表人（负责人）相符，格式自拟）；</w:t>
      </w:r>
    </w:p>
    <w:p>
      <w:pPr>
        <w:spacing w:line="400" w:lineRule="exact"/>
        <w:ind w:firstLine="480" w:firstLineChars="200"/>
        <w:rPr>
          <w:rFonts w:ascii="宋体" w:hAnsi="宋体" w:cs="宋体"/>
          <w:sz w:val="24"/>
        </w:rPr>
      </w:pPr>
      <w:r>
        <w:rPr>
          <w:rFonts w:hint="eastAsia" w:ascii="宋体" w:hAnsi="宋体" w:cs="宋体"/>
          <w:sz w:val="24"/>
        </w:rPr>
        <w:t>▲（4）法定代表人（负责人）授权委托书（委托代理时提供，格式见第五章）；</w:t>
      </w:r>
    </w:p>
    <w:p>
      <w:pPr>
        <w:spacing w:line="400" w:lineRule="exact"/>
        <w:ind w:firstLine="480" w:firstLineChars="200"/>
        <w:rPr>
          <w:rFonts w:ascii="宋体" w:hAnsi="宋体" w:cs="宋体"/>
          <w:sz w:val="24"/>
        </w:rPr>
      </w:pPr>
      <w:r>
        <w:rPr>
          <w:rFonts w:hint="eastAsia" w:ascii="宋体" w:hAnsi="宋体" w:cs="宋体"/>
          <w:sz w:val="24"/>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rPr>
      </w:pPr>
      <w:r>
        <w:rPr>
          <w:rFonts w:hint="eastAsia" w:ascii="宋体" w:hAnsi="宋体" w:cs="宋体"/>
          <w:sz w:val="24"/>
        </w:rPr>
        <w:t xml:space="preserve">▲（6）响应文件递交截止之日前半年内报价人任意连续3个月的有效依法缴纳税费或依法免缴税费的证明（无纳税记录的，应提供由报价人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rPr>
      </w:pPr>
      <w:r>
        <w:rPr>
          <w:rFonts w:hint="eastAsia" w:ascii="宋体" w:hAnsi="宋体" w:cs="宋体"/>
          <w:sz w:val="24"/>
        </w:rPr>
        <w:t>▲（7）响应文件递交截止之日前半年内报价人任意连续3个月的有效依法缴纳社保费的缴费凭证（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rPr>
      </w:pPr>
      <w:r>
        <w:rPr>
          <w:rFonts w:hint="eastAsia" w:ascii="宋体" w:hAnsi="宋体" w:cs="宋体"/>
          <w:sz w:val="24"/>
        </w:rPr>
        <w:t>▲（8）响应文件递交截止之日前半年内任意连续3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sz w:val="24"/>
        </w:rPr>
      </w:pPr>
      <w:r>
        <w:rPr>
          <w:rFonts w:hint="eastAsia" w:ascii="宋体" w:hAnsi="宋体" w:cs="宋体"/>
          <w:sz w:val="24"/>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sz w:val="24"/>
        </w:rPr>
      </w:pPr>
      <w:r>
        <w:rPr>
          <w:rFonts w:hint="eastAsia" w:ascii="宋体" w:hAnsi="宋体" w:cs="宋体"/>
          <w:sz w:val="24"/>
        </w:rPr>
        <w:t>▲（10）报价人主体信用记录查询结果截图（加盖报价人单位公章）；</w:t>
      </w:r>
    </w:p>
    <w:p>
      <w:pPr>
        <w:spacing w:line="400" w:lineRule="exact"/>
        <w:ind w:firstLine="480" w:firstLineChars="200"/>
        <w:rPr>
          <w:rFonts w:ascii="宋体" w:hAnsi="宋体" w:cs="宋体"/>
          <w:sz w:val="24"/>
        </w:rPr>
      </w:pPr>
      <w:r>
        <w:rPr>
          <w:rFonts w:hint="eastAsia" w:ascii="宋体" w:hAnsi="宋体" w:cs="宋体"/>
          <w:sz w:val="24"/>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sz w:val="24"/>
        </w:rPr>
      </w:pPr>
      <w:r>
        <w:rPr>
          <w:rFonts w:hint="eastAsia" w:ascii="宋体" w:hAnsi="宋体" w:cs="宋体"/>
          <w:sz w:val="24"/>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sz w:val="24"/>
        </w:rPr>
      </w:pPr>
      <w:r>
        <w:rPr>
          <w:rFonts w:hint="eastAsia" w:ascii="宋体" w:hAnsi="宋体" w:cs="宋体"/>
          <w:sz w:val="24"/>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rPr>
      </w:pPr>
      <w:r>
        <w:rPr>
          <w:rFonts w:hint="eastAsia" w:ascii="宋体" w:hAnsi="宋体" w:cs="宋体"/>
          <w:sz w:val="24"/>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rPr>
      </w:pPr>
      <w:r>
        <w:rPr>
          <w:rFonts w:hint="eastAsia" w:ascii="宋体" w:hAnsi="宋体" w:cs="宋体"/>
          <w:sz w:val="24"/>
        </w:rPr>
        <w:t>▲（11）商务响应表（格式见第五章）；</w:t>
      </w:r>
    </w:p>
    <w:p>
      <w:pPr>
        <w:spacing w:line="400" w:lineRule="exact"/>
        <w:ind w:firstLine="480" w:firstLineChars="200"/>
        <w:rPr>
          <w:rFonts w:ascii="宋体" w:hAnsi="宋体" w:cs="宋体"/>
          <w:sz w:val="24"/>
        </w:rPr>
      </w:pPr>
      <w:r>
        <w:rPr>
          <w:rFonts w:hint="eastAsia" w:ascii="宋体" w:hAnsi="宋体" w:cs="宋体"/>
          <w:sz w:val="24"/>
        </w:rPr>
        <w:t>▲（12）服务承诺书（格式自拟）；</w:t>
      </w:r>
    </w:p>
    <w:p>
      <w:pPr>
        <w:spacing w:line="400" w:lineRule="exact"/>
        <w:ind w:firstLine="480" w:firstLineChars="200"/>
        <w:rPr>
          <w:rFonts w:ascii="宋体" w:hAnsi="宋体" w:cs="宋体"/>
          <w:sz w:val="24"/>
        </w:rPr>
      </w:pPr>
      <w:r>
        <w:rPr>
          <w:rFonts w:hint="eastAsia" w:ascii="宋体" w:hAnsi="宋体" w:cs="宋体"/>
          <w:sz w:val="24"/>
        </w:rPr>
        <w:t>可作为报价人资信评判的资质证明材料（如有）：</w:t>
      </w:r>
    </w:p>
    <w:p>
      <w:pPr>
        <w:spacing w:line="400" w:lineRule="exact"/>
        <w:ind w:firstLine="480" w:firstLineChars="200"/>
        <w:rPr>
          <w:rFonts w:ascii="宋体" w:hAnsi="宋体" w:cs="宋体"/>
          <w:sz w:val="24"/>
        </w:rPr>
      </w:pPr>
      <w:r>
        <w:rPr>
          <w:rFonts w:hint="eastAsia" w:ascii="宋体" w:hAnsi="宋体" w:cs="宋体"/>
          <w:sz w:val="24"/>
        </w:rPr>
        <w:t>（13）报价人的类似成功案例的业绩证明文件（报价人同类项目实施情况一览表、中标/成交通知书复印件或有效合同复印件并加盖单位公章，格式可自拟）；</w:t>
      </w:r>
    </w:p>
    <w:p>
      <w:pPr>
        <w:spacing w:line="400" w:lineRule="exact"/>
        <w:ind w:firstLine="480" w:firstLineChars="200"/>
        <w:rPr>
          <w:rFonts w:ascii="宋体" w:hAnsi="宋体" w:cs="宋体"/>
          <w:sz w:val="24"/>
        </w:rPr>
      </w:pPr>
      <w:r>
        <w:rPr>
          <w:rFonts w:hint="eastAsia" w:ascii="宋体" w:hAnsi="宋体" w:cs="宋体"/>
          <w:sz w:val="24"/>
        </w:rPr>
        <w:t>10.3技术文件：</w:t>
      </w:r>
    </w:p>
    <w:p>
      <w:pPr>
        <w:spacing w:line="400" w:lineRule="exact"/>
        <w:ind w:firstLine="480" w:firstLineChars="200"/>
        <w:rPr>
          <w:rFonts w:ascii="宋体" w:hAnsi="宋体" w:cs="宋体"/>
          <w:sz w:val="24"/>
        </w:rPr>
      </w:pPr>
      <w:r>
        <w:rPr>
          <w:rFonts w:hint="eastAsia" w:ascii="宋体" w:hAnsi="宋体" w:cs="宋体"/>
          <w:sz w:val="24"/>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▲（1）技术响应表（格式见第五章）；</w:t>
      </w:r>
    </w:p>
    <w:p>
      <w:pPr>
        <w:spacing w:line="400" w:lineRule="exact"/>
        <w:ind w:firstLine="480" w:firstLineChars="200"/>
        <w:rPr>
          <w:rFonts w:ascii="宋体" w:hAnsi="宋体" w:cs="宋体"/>
          <w:sz w:val="24"/>
        </w:rPr>
      </w:pPr>
      <w:r>
        <w:rPr>
          <w:rFonts w:hint="eastAsia" w:ascii="宋体" w:hAnsi="宋体" w:cs="宋体"/>
          <w:sz w:val="24"/>
        </w:rPr>
        <w:t>▲（2）服务方案（格式自拟）；</w:t>
      </w:r>
    </w:p>
    <w:p>
      <w:pPr>
        <w:spacing w:line="400" w:lineRule="exact"/>
        <w:ind w:firstLine="480" w:firstLineChars="200"/>
      </w:pPr>
      <w:r>
        <w:rPr>
          <w:rFonts w:hint="eastAsia" w:ascii="宋体" w:hAnsi="宋体" w:cs="宋体"/>
          <w:sz w:val="24"/>
        </w:rPr>
        <w:t>▲（</w:t>
      </w:r>
      <w:r>
        <w:rPr>
          <w:rFonts w:ascii="宋体" w:hAnsi="宋体" w:cs="宋体"/>
          <w:sz w:val="24"/>
        </w:rPr>
        <w:t>3</w:t>
      </w:r>
      <w:r>
        <w:rPr>
          <w:rFonts w:hint="eastAsia" w:ascii="宋体" w:hAnsi="宋体" w:cs="宋体"/>
          <w:sz w:val="24"/>
        </w:rPr>
        <w:t>）</w:t>
      </w:r>
      <w:r>
        <w:rPr>
          <w:rFonts w:ascii="宋体" w:hAnsi="宋体" w:cs="宋体"/>
          <w:sz w:val="24"/>
        </w:rPr>
        <w:t>质量方案</w:t>
      </w:r>
      <w:r>
        <w:rPr>
          <w:rFonts w:hint="eastAsia" w:ascii="宋体" w:hAnsi="宋体" w:cs="宋体"/>
          <w:sz w:val="24"/>
        </w:rPr>
        <w:t>（格式自拟）；</w:t>
      </w:r>
    </w:p>
    <w:p>
      <w:pPr>
        <w:spacing w:line="400" w:lineRule="exact"/>
        <w:ind w:firstLine="480" w:firstLineChars="200"/>
        <w:rPr>
          <w:rFonts w:ascii="宋体" w:hAnsi="宋体" w:cs="宋体"/>
          <w:sz w:val="24"/>
        </w:rPr>
      </w:pPr>
      <w:r>
        <w:rPr>
          <w:rFonts w:hint="eastAsia" w:ascii="宋体" w:hAnsi="宋体" w:cs="宋体"/>
          <w:sz w:val="24"/>
        </w:rPr>
        <w:t>▲（4）项目实施人员一览表（格式见第五章）；</w:t>
      </w:r>
    </w:p>
    <w:p>
      <w:pPr>
        <w:spacing w:line="400" w:lineRule="exact"/>
        <w:ind w:firstLine="480" w:firstLineChars="200"/>
        <w:rPr>
          <w:rFonts w:ascii="宋体" w:hAnsi="宋体" w:cs="宋体"/>
          <w:sz w:val="24"/>
        </w:rPr>
      </w:pPr>
      <w:r>
        <w:rPr>
          <w:rFonts w:hint="eastAsia" w:ascii="宋体" w:hAnsi="宋体" w:cs="宋体"/>
          <w:sz w:val="24"/>
        </w:rPr>
        <w:t>（5）报价人认为需要提供的其他证明材料（格式自拟）；</w:t>
      </w:r>
    </w:p>
    <w:p>
      <w:pPr>
        <w:spacing w:line="400" w:lineRule="exact"/>
        <w:ind w:firstLine="480" w:firstLineChars="200"/>
        <w:rPr>
          <w:rFonts w:ascii="宋体" w:hAnsi="宋体" w:cs="宋体"/>
          <w:sz w:val="24"/>
        </w:rPr>
      </w:pPr>
      <w:r>
        <w:rPr>
          <w:rFonts w:hint="eastAsia" w:ascii="宋体" w:hAnsi="宋体" w:cs="宋体"/>
          <w:sz w:val="24"/>
        </w:rPr>
        <w:t>10.4报价文件：</w:t>
      </w:r>
    </w:p>
    <w:p>
      <w:pPr>
        <w:spacing w:line="400" w:lineRule="exact"/>
        <w:ind w:firstLine="480" w:firstLineChars="200"/>
        <w:rPr>
          <w:rFonts w:ascii="宋体" w:hAnsi="宋体" w:cs="宋体"/>
          <w:sz w:val="24"/>
        </w:rPr>
      </w:pPr>
      <w:r>
        <w:rPr>
          <w:rFonts w:hint="eastAsia" w:ascii="宋体" w:hAnsi="宋体" w:cs="宋体"/>
          <w:sz w:val="24"/>
        </w:rPr>
        <w:t>▲（1）报价函（格式见第五章）；</w:t>
      </w:r>
    </w:p>
    <w:p>
      <w:pPr>
        <w:spacing w:line="400" w:lineRule="exact"/>
        <w:ind w:firstLine="480" w:firstLineChars="200"/>
        <w:rPr>
          <w:rFonts w:ascii="宋体" w:hAnsi="宋体" w:cs="宋体"/>
          <w:sz w:val="24"/>
        </w:rPr>
      </w:pPr>
      <w:r>
        <w:rPr>
          <w:rFonts w:hint="eastAsia" w:ascii="宋体" w:hAnsi="宋体" w:cs="宋体"/>
          <w:sz w:val="24"/>
        </w:rPr>
        <w:t>▲（2）报价表（格式见第五章）；</w:t>
      </w:r>
    </w:p>
    <w:p>
      <w:pPr>
        <w:spacing w:line="400" w:lineRule="exact"/>
        <w:ind w:firstLine="480" w:firstLineChars="200"/>
        <w:rPr>
          <w:rFonts w:ascii="宋体" w:hAnsi="宋体" w:cs="宋体"/>
          <w:sz w:val="24"/>
        </w:rPr>
      </w:pPr>
      <w:r>
        <w:rPr>
          <w:rFonts w:hint="eastAsia" w:ascii="宋体" w:hAnsi="宋体" w:cs="宋体"/>
          <w:sz w:val="24"/>
        </w:rPr>
        <w:t>（3）报价人针对报价需要说明的其他文件和说明（格式自拟）。</w:t>
      </w:r>
    </w:p>
    <w:p>
      <w:pPr>
        <w:spacing w:line="400" w:lineRule="exact"/>
        <w:ind w:firstLine="480" w:firstLineChars="200"/>
        <w:rPr>
          <w:rFonts w:ascii="宋体" w:hAnsi="宋体" w:cs="宋体"/>
          <w:sz w:val="24"/>
        </w:rPr>
      </w:pPr>
      <w:r>
        <w:rPr>
          <w:rFonts w:hint="eastAsia" w:ascii="宋体" w:hAnsi="宋体" w:cs="宋体"/>
          <w:sz w:val="24"/>
        </w:rPr>
        <w:t>▲注：所提供的以上任一材料，均须加盖报价人公章且按采购文件格式要求签字，否则视为无效材料。</w:t>
      </w:r>
    </w:p>
    <w:p>
      <w:pPr>
        <w:pStyle w:val="36"/>
        <w:spacing w:line="400" w:lineRule="exact"/>
        <w:outlineLvl w:val="1"/>
        <w:rPr>
          <w:rFonts w:ascii="宋体" w:hAnsi="宋体"/>
          <w:b/>
        </w:rPr>
      </w:pPr>
      <w:r>
        <w:rPr>
          <w:rFonts w:hint="eastAsia"/>
        </w:rPr>
        <w:t xml:space="preserve">   </w:t>
      </w:r>
      <w:r>
        <w:rPr>
          <w:rFonts w:hint="eastAsia" w:ascii="宋体" w:hAnsi="宋体"/>
        </w:rPr>
        <w:t xml:space="preserve"> </w:t>
      </w:r>
      <w:r>
        <w:rPr>
          <w:rFonts w:hint="eastAsia" w:ascii="宋体" w:hAnsi="宋体"/>
          <w:b/>
        </w:rPr>
        <w:t>11. 响应文件编制基本要求</w:t>
      </w:r>
    </w:p>
    <w:p>
      <w:pPr>
        <w:spacing w:line="400" w:lineRule="exact"/>
        <w:ind w:firstLine="480" w:firstLineChars="200"/>
        <w:rPr>
          <w:rFonts w:ascii="宋体" w:hAnsi="宋体" w:cs="宋体"/>
          <w:sz w:val="24"/>
        </w:rPr>
      </w:pPr>
      <w:r>
        <w:rPr>
          <w:rFonts w:hint="eastAsia" w:ascii="宋体" w:hAnsi="宋体" w:cs="宋体"/>
          <w:sz w:val="24"/>
        </w:rPr>
        <w:t>11.1报价人对响应文件的编制应按要求装订和封装。</w:t>
      </w:r>
    </w:p>
    <w:p>
      <w:pPr>
        <w:spacing w:line="400" w:lineRule="exact"/>
        <w:ind w:firstLine="480" w:firstLineChars="200"/>
        <w:rPr>
          <w:rFonts w:ascii="宋体" w:hAnsi="宋体" w:cs="宋体"/>
          <w:sz w:val="24"/>
        </w:rPr>
      </w:pPr>
      <w:r>
        <w:rPr>
          <w:rFonts w:hint="eastAsia" w:ascii="宋体" w:hAnsi="宋体" w:cs="宋体"/>
          <w:sz w:val="24"/>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rPr>
      </w:pPr>
      <w:r>
        <w:rPr>
          <w:rFonts w:hint="eastAsia" w:ascii="宋体" w:hAnsi="宋体" w:cs="宋体"/>
          <w:sz w:val="24"/>
        </w:rPr>
        <w:t>11.3报价人应认真阅读并充分理解本文件的全部内容（包括所有的补充通知和修改内容），承诺并履行本文件中各项条款的规定及要求。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rPr>
      </w:pPr>
      <w:r>
        <w:rPr>
          <w:rFonts w:hint="eastAsia" w:ascii="宋体" w:hAnsi="宋体" w:cs="宋体"/>
          <w:sz w:val="24"/>
        </w:rPr>
        <w:t>11.4响应文件必须按本文件的全部内容，包括所有的补充通知、修改内容及附件进行编制。</w:t>
      </w:r>
    </w:p>
    <w:p>
      <w:pPr>
        <w:spacing w:line="400" w:lineRule="exact"/>
        <w:ind w:firstLine="480" w:firstLineChars="200"/>
      </w:pPr>
      <w:r>
        <w:rPr>
          <w:rFonts w:hint="eastAsia" w:ascii="宋体" w:hAnsi="宋体" w:cs="宋体"/>
          <w:sz w:val="24"/>
        </w:rPr>
        <w:t>11.5如因报价人只填写和提供了本文件要求的部分内容和附件，而给评审造成困难，其可能导致的结果和责任由报价人自行承担。</w:t>
      </w:r>
    </w:p>
    <w:p>
      <w:pPr>
        <w:spacing w:line="400" w:lineRule="exact"/>
        <w:ind w:firstLine="481" w:firstLineChars="200"/>
        <w:outlineLvl w:val="2"/>
        <w:rPr>
          <w:rFonts w:ascii="宋体" w:hAnsi="宋体" w:cs="宋体"/>
          <w:b/>
          <w:sz w:val="24"/>
        </w:rPr>
      </w:pPr>
      <w:r>
        <w:rPr>
          <w:rFonts w:hint="eastAsia" w:ascii="宋体" w:hAnsi="宋体" w:cs="宋体"/>
          <w:b/>
          <w:sz w:val="24"/>
        </w:rPr>
        <w:t>12.响应文件的语言及计量</w:t>
      </w:r>
    </w:p>
    <w:p>
      <w:pPr>
        <w:spacing w:line="400" w:lineRule="exact"/>
        <w:ind w:firstLine="480" w:firstLineChars="200"/>
        <w:rPr>
          <w:rFonts w:ascii="宋体" w:hAnsi="宋体" w:cs="宋体"/>
          <w:sz w:val="24"/>
        </w:rPr>
      </w:pPr>
      <w:r>
        <w:rPr>
          <w:rFonts w:hint="eastAsia" w:ascii="宋体" w:hAnsi="宋体" w:cs="宋体"/>
          <w:sz w:val="24"/>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rPr>
      </w:pPr>
      <w:r>
        <w:rPr>
          <w:rFonts w:hint="eastAsia" w:ascii="宋体" w:hAnsi="宋体" w:cs="宋体"/>
          <w:sz w:val="24"/>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1" w:firstLineChars="200"/>
        <w:outlineLvl w:val="2"/>
        <w:rPr>
          <w:rFonts w:ascii="宋体" w:hAnsi="宋体" w:cs="宋体"/>
          <w:b/>
          <w:sz w:val="24"/>
        </w:rPr>
      </w:pPr>
      <w:r>
        <w:rPr>
          <w:rFonts w:hint="eastAsia" w:ascii="宋体" w:hAnsi="宋体" w:cs="宋体"/>
          <w:b/>
          <w:sz w:val="24"/>
        </w:rPr>
        <w:t>13.报价</w:t>
      </w:r>
    </w:p>
    <w:p>
      <w:pPr>
        <w:spacing w:line="400" w:lineRule="exact"/>
        <w:ind w:firstLine="480" w:firstLineChars="200"/>
        <w:rPr>
          <w:rFonts w:ascii="宋体" w:hAnsi="宋体" w:cs="宋体"/>
          <w:sz w:val="24"/>
        </w:rPr>
      </w:pPr>
      <w:r>
        <w:rPr>
          <w:rFonts w:hint="eastAsia" w:ascii="宋体" w:hAnsi="宋体" w:cs="宋体"/>
          <w:sz w:val="24"/>
        </w:rPr>
        <w:t>13.1报价应按采购文件中相关附表格式填写。</w:t>
      </w:r>
    </w:p>
    <w:p>
      <w:pPr>
        <w:spacing w:line="400" w:lineRule="exact"/>
        <w:ind w:firstLine="480" w:firstLineChars="200"/>
        <w:rPr>
          <w:rFonts w:ascii="宋体" w:hAnsi="宋体" w:cs="宋体"/>
          <w:sz w:val="24"/>
        </w:rPr>
      </w:pPr>
      <w:r>
        <w:rPr>
          <w:rFonts w:hint="eastAsia" w:ascii="宋体" w:hAnsi="宋体" w:cs="宋体"/>
          <w:sz w:val="24"/>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rPr>
      </w:pPr>
      <w:r>
        <w:rPr>
          <w:rFonts w:hint="eastAsia" w:ascii="宋体" w:hAnsi="宋体" w:cs="宋体"/>
          <w:sz w:val="24"/>
        </w:rPr>
        <w:t>▲13.3响应文件只允许有一个报价，有选择的或有条件的报价将不予接受。</w:t>
      </w:r>
    </w:p>
    <w:p>
      <w:pPr>
        <w:spacing w:line="400" w:lineRule="exact"/>
        <w:ind w:firstLine="480" w:firstLineChars="200"/>
        <w:rPr>
          <w:rFonts w:ascii="宋体" w:hAnsi="宋体" w:cs="宋体"/>
          <w:sz w:val="24"/>
        </w:rPr>
      </w:pPr>
      <w:r>
        <w:rPr>
          <w:rFonts w:hint="eastAsia" w:ascii="宋体" w:hAnsi="宋体" w:cs="宋体"/>
          <w:sz w:val="24"/>
        </w:rPr>
        <w:t>13.4报价人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sz w:val="24"/>
        </w:rPr>
      </w:pPr>
      <w:r>
        <w:rPr>
          <w:rFonts w:hint="eastAsia" w:ascii="宋体" w:hAnsi="宋体" w:cs="宋体"/>
          <w:sz w:val="24"/>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5"/>
        <w:snapToGrid w:val="0"/>
        <w:spacing w:before="48" w:beforeLines="20" w:after="48" w:afterLines="20" w:line="400" w:lineRule="exact"/>
        <w:jc w:val="center"/>
        <w:outlineLvl w:val="1"/>
        <w:rPr>
          <w:rFonts w:hAnsi="宋体" w:cs="宋体"/>
          <w:b/>
          <w:sz w:val="24"/>
          <w:szCs w:val="24"/>
        </w:rPr>
      </w:pPr>
      <w:r>
        <w:rPr>
          <w:rFonts w:hint="eastAsia" w:hAnsi="宋体" w:cs="宋体"/>
          <w:b/>
          <w:sz w:val="24"/>
          <w:szCs w:val="24"/>
        </w:rPr>
        <w:t>四、响应文件的递交</w:t>
      </w:r>
    </w:p>
    <w:p>
      <w:pPr>
        <w:spacing w:line="400" w:lineRule="exact"/>
        <w:ind w:firstLine="481" w:firstLineChars="200"/>
        <w:outlineLvl w:val="2"/>
        <w:rPr>
          <w:rFonts w:ascii="宋体" w:hAnsi="宋体" w:cs="宋体"/>
          <w:b/>
          <w:sz w:val="24"/>
        </w:rPr>
      </w:pPr>
      <w:r>
        <w:rPr>
          <w:rFonts w:ascii="宋体" w:hAnsi="宋体" w:cs="宋体"/>
          <w:b/>
          <w:sz w:val="24"/>
        </w:rPr>
        <w:t>14</w:t>
      </w:r>
      <w:r>
        <w:rPr>
          <w:rFonts w:hint="eastAsia" w:ascii="宋体" w:hAnsi="宋体" w:cs="宋体"/>
          <w:b/>
          <w:sz w:val="24"/>
        </w:rPr>
        <w:t>.响应文件的递交</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.1所有响应文件须按采购公告规定的时间前递交到指定地点。</w:t>
      </w:r>
    </w:p>
    <w:p>
      <w:pPr>
        <w:spacing w:line="400" w:lineRule="exact"/>
        <w:ind w:firstLine="481" w:firstLineChars="200"/>
        <w:outlineLvl w:val="2"/>
        <w:rPr>
          <w:rFonts w:ascii="宋体" w:hAnsi="宋体" w:cs="宋体"/>
          <w:b/>
          <w:sz w:val="24"/>
        </w:rPr>
      </w:pPr>
      <w:r>
        <w:rPr>
          <w:rFonts w:ascii="宋体" w:hAnsi="宋体" w:cs="宋体"/>
          <w:b/>
          <w:sz w:val="24"/>
        </w:rPr>
        <w:t>15</w:t>
      </w:r>
      <w:r>
        <w:rPr>
          <w:rFonts w:hint="eastAsia" w:ascii="宋体" w:hAnsi="宋体" w:cs="宋体"/>
          <w:b/>
          <w:sz w:val="24"/>
        </w:rPr>
        <w:t>.迟交的响应文件</w:t>
      </w:r>
    </w:p>
    <w:p>
      <w:pPr>
        <w:spacing w:line="400" w:lineRule="exact"/>
        <w:ind w:firstLine="480" w:firstLineChars="200"/>
      </w:pPr>
      <w:r>
        <w:rPr>
          <w:rFonts w:hint="eastAsia" w:ascii="宋体" w:hAnsi="宋体" w:cs="宋体"/>
          <w:sz w:val="24"/>
        </w:rPr>
        <w:t>按《中华人民共和国政府采购法》的规定，采购人将拒绝或原封退回在其规定的递交响应文件截止时间之后收到的任何响应文件。</w:t>
      </w:r>
    </w:p>
    <w:p>
      <w:pPr>
        <w:pStyle w:val="15"/>
        <w:snapToGrid w:val="0"/>
        <w:spacing w:before="48" w:beforeLines="20" w:after="48" w:afterLines="20" w:line="400" w:lineRule="exact"/>
        <w:jc w:val="center"/>
        <w:outlineLvl w:val="1"/>
        <w:rPr>
          <w:rFonts w:hAnsi="宋体" w:cs="宋体"/>
          <w:b/>
          <w:sz w:val="24"/>
          <w:szCs w:val="24"/>
        </w:rPr>
      </w:pPr>
      <w:r>
        <w:rPr>
          <w:rFonts w:hint="eastAsia" w:hAnsi="宋体" w:cs="宋体"/>
          <w:b/>
          <w:sz w:val="24"/>
          <w:szCs w:val="24"/>
        </w:rPr>
        <w:t>五、项目评审</w:t>
      </w:r>
    </w:p>
    <w:p>
      <w:pPr>
        <w:spacing w:line="400" w:lineRule="exact"/>
        <w:ind w:firstLine="481" w:firstLineChars="200"/>
        <w:outlineLvl w:val="2"/>
        <w:rPr>
          <w:rFonts w:ascii="宋体" w:hAnsi="宋体" w:cs="宋体"/>
          <w:b/>
          <w:sz w:val="24"/>
        </w:rPr>
      </w:pPr>
      <w:bookmarkStart w:id="2" w:name="_Toc304876596"/>
      <w:r>
        <w:rPr>
          <w:rFonts w:ascii="宋体" w:hAnsi="宋体" w:cs="宋体"/>
          <w:b/>
          <w:sz w:val="24"/>
        </w:rPr>
        <w:t>16</w:t>
      </w:r>
      <w:r>
        <w:rPr>
          <w:rFonts w:hint="eastAsia" w:ascii="宋体" w:hAnsi="宋体" w:cs="宋体"/>
          <w:b/>
          <w:sz w:val="24"/>
        </w:rPr>
        <w:t>.报价无效的情形</w:t>
      </w:r>
    </w:p>
    <w:p>
      <w:pPr>
        <w:spacing w:line="400" w:lineRule="exact"/>
        <w:ind w:firstLine="480" w:firstLineChars="200"/>
        <w:rPr>
          <w:rFonts w:ascii="宋体" w:hAnsi="宋体" w:cs="宋体"/>
          <w:sz w:val="24"/>
        </w:rPr>
      </w:pPr>
      <w:r>
        <w:rPr>
          <w:rFonts w:hint="eastAsia" w:ascii="宋体" w:hAnsi="宋体" w:cs="宋体"/>
          <w:sz w:val="24"/>
        </w:rPr>
        <w:t>实质上没有响应采购文件要求的将被视为无效报价。报价人不得通过修正或撤销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sz w:val="24"/>
        </w:rPr>
      </w:pPr>
      <w:r>
        <w:rPr>
          <w:rFonts w:ascii="宋体" w:hAnsi="宋体" w:cs="宋体"/>
          <w:sz w:val="24"/>
        </w:rPr>
        <w:t>16</w:t>
      </w:r>
      <w:r>
        <w:rPr>
          <w:rFonts w:hint="eastAsia" w:ascii="宋体" w:hAnsi="宋体" w:cs="宋体"/>
          <w:sz w:val="24"/>
        </w:rPr>
        <w:t>.1在资格和符合性审查时，如发现下列情形之一的，响应文件将被视为无效：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（1）超越了按照法律法规规定必须获得行政许可或者行政审批的经营范围的；</w:t>
      </w:r>
    </w:p>
    <w:p>
      <w:pPr>
        <w:spacing w:line="400" w:lineRule="exact"/>
        <w:ind w:firstLine="480" w:firstLineChars="200"/>
        <w:rPr>
          <w:rFonts w:ascii="宋体" w:hAnsi="宋体" w:cs="宋体"/>
          <w:sz w:val="24"/>
        </w:rPr>
      </w:pPr>
      <w:r>
        <w:rPr>
          <w:rFonts w:hint="eastAsia" w:ascii="宋体" w:hAnsi="宋体" w:cs="宋体"/>
          <w:sz w:val="24"/>
        </w:rPr>
        <w:t>（2）资格证明文件不全的，或者不符合采购文件标明的资格要求的；</w:t>
      </w:r>
    </w:p>
    <w:p>
      <w:pPr>
        <w:spacing w:line="400" w:lineRule="exact"/>
        <w:ind w:firstLine="480" w:firstLineChars="200"/>
        <w:rPr>
          <w:rFonts w:ascii="宋体" w:hAnsi="宋体" w:cs="宋体"/>
          <w:sz w:val="24"/>
        </w:rPr>
      </w:pPr>
      <w:r>
        <w:rPr>
          <w:rFonts w:hint="eastAsia" w:ascii="宋体" w:hAnsi="宋体" w:cs="宋体"/>
          <w:sz w:val="24"/>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rPr>
      </w:pPr>
      <w:r>
        <w:rPr>
          <w:rFonts w:hint="eastAsia" w:ascii="宋体" w:hAnsi="宋体" w:cs="宋体"/>
          <w:sz w:val="24"/>
        </w:rPr>
        <w:t>（4）未按采购文件规定要求密封、签署、盖章的；</w:t>
      </w:r>
    </w:p>
    <w:p>
      <w:pPr>
        <w:spacing w:line="400" w:lineRule="exact"/>
        <w:ind w:firstLine="480" w:firstLineChars="200"/>
        <w:rPr>
          <w:rFonts w:ascii="宋体" w:hAnsi="宋体" w:cs="宋体"/>
          <w:sz w:val="24"/>
        </w:rPr>
      </w:pPr>
      <w:r>
        <w:rPr>
          <w:rFonts w:hint="eastAsia" w:ascii="宋体" w:hAnsi="宋体" w:cs="宋体"/>
          <w:sz w:val="24"/>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rPr>
      </w:pPr>
      <w:r>
        <w:rPr>
          <w:rFonts w:hint="eastAsia" w:ascii="宋体" w:hAnsi="宋体" w:cs="宋体"/>
          <w:sz w:val="24"/>
        </w:rPr>
        <w:t>（6）项目不齐全或者内容虚假的；</w:t>
      </w:r>
    </w:p>
    <w:p>
      <w:pPr>
        <w:spacing w:line="400" w:lineRule="exact"/>
        <w:ind w:firstLine="480" w:firstLineChars="200"/>
        <w:rPr>
          <w:rFonts w:ascii="宋体" w:hAnsi="宋体" w:cs="宋体"/>
          <w:sz w:val="24"/>
        </w:rPr>
      </w:pPr>
      <w:r>
        <w:rPr>
          <w:rFonts w:hint="eastAsia" w:ascii="宋体" w:hAnsi="宋体" w:cs="宋体"/>
          <w:sz w:val="24"/>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rPr>
      </w:pPr>
      <w:r>
        <w:rPr>
          <w:rFonts w:hint="eastAsia" w:ascii="宋体" w:hAnsi="宋体" w:cs="宋体"/>
          <w:sz w:val="24"/>
        </w:rPr>
        <w:t>（8）未实质性响应采购文件标“▲”条款要求或响应情况与事实不符的；</w:t>
      </w:r>
    </w:p>
    <w:p>
      <w:pPr>
        <w:spacing w:line="400" w:lineRule="exact"/>
        <w:ind w:firstLine="480" w:firstLineChars="200"/>
        <w:rPr>
          <w:rFonts w:ascii="宋体" w:hAnsi="宋体" w:cs="宋体"/>
          <w:sz w:val="24"/>
        </w:rPr>
      </w:pPr>
      <w:r>
        <w:rPr>
          <w:rFonts w:hint="eastAsia" w:ascii="宋体" w:hAnsi="宋体" w:cs="宋体"/>
          <w:sz w:val="24"/>
        </w:rPr>
        <w:t>（9）服务期、质保期等商务条款不能满足采购文件要求的；</w:t>
      </w:r>
    </w:p>
    <w:p>
      <w:pPr>
        <w:spacing w:line="400" w:lineRule="exact"/>
        <w:ind w:firstLine="480" w:firstLineChars="200"/>
        <w:rPr>
          <w:rFonts w:ascii="宋体" w:hAnsi="宋体" w:cs="宋体"/>
          <w:sz w:val="24"/>
        </w:rPr>
      </w:pPr>
      <w:r>
        <w:rPr>
          <w:rFonts w:hint="eastAsia" w:ascii="宋体" w:hAnsi="宋体" w:cs="宋体"/>
          <w:sz w:val="24"/>
        </w:rPr>
        <w:t>（10）响应文件有采购人不能接受的附加条件的。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6.2在技术评审时，如发现下列情形之一的，响应文件将被视为无效：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rPr>
      </w:pPr>
      <w:r>
        <w:rPr>
          <w:rFonts w:hint="eastAsia" w:ascii="宋体" w:hAnsi="宋体" w:cs="宋体"/>
          <w:sz w:val="24"/>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rPr>
      </w:pPr>
      <w:r>
        <w:rPr>
          <w:rFonts w:hint="eastAsia" w:ascii="宋体" w:hAnsi="宋体" w:cs="宋体"/>
          <w:sz w:val="24"/>
        </w:rPr>
        <w:t>（3）与其他参加本次报价的报价人的响应文件（技术文件）的差错相同二处以上的。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6.3在报价评审时，如发现下列情形之一的，响应文件将被视为无效：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（1）未采用人民币报价或者未按照采购文件标明的币种报价的；</w:t>
      </w:r>
    </w:p>
    <w:p>
      <w:pPr>
        <w:spacing w:line="400" w:lineRule="exact"/>
        <w:ind w:firstLine="480" w:firstLineChars="200"/>
        <w:rPr>
          <w:rFonts w:ascii="宋体" w:hAnsi="宋体" w:cs="宋体"/>
          <w:sz w:val="24"/>
        </w:rPr>
      </w:pPr>
      <w:r>
        <w:rPr>
          <w:rFonts w:hint="eastAsia" w:ascii="宋体" w:hAnsi="宋体" w:cs="宋体"/>
          <w:sz w:val="24"/>
        </w:rPr>
        <w:t>（2）最终报价超出最高限价，或者超出采购预算金额，采购人不能支付的；</w:t>
      </w:r>
    </w:p>
    <w:p>
      <w:pPr>
        <w:spacing w:line="400" w:lineRule="exact"/>
        <w:ind w:firstLine="480" w:firstLineChars="200"/>
        <w:rPr>
          <w:rFonts w:ascii="宋体" w:hAnsi="宋体" w:cs="宋体"/>
          <w:sz w:val="24"/>
        </w:rPr>
      </w:pPr>
      <w:r>
        <w:rPr>
          <w:rFonts w:hint="eastAsia" w:ascii="宋体" w:hAnsi="宋体" w:cs="宋体"/>
          <w:sz w:val="24"/>
        </w:rPr>
        <w:t>（3）报价具有选择性，或者开标价格与响应文件承诺的优惠（折扣）价格不一致的；</w:t>
      </w:r>
    </w:p>
    <w:p>
      <w:pPr>
        <w:spacing w:line="400" w:lineRule="exact"/>
        <w:ind w:firstLine="480" w:firstLineChars="200"/>
        <w:rPr>
          <w:rFonts w:ascii="宋体" w:hAnsi="宋体" w:cs="宋体"/>
          <w:sz w:val="24"/>
        </w:rPr>
      </w:pPr>
      <w:r>
        <w:rPr>
          <w:rFonts w:hint="eastAsia" w:ascii="宋体" w:hAnsi="宋体" w:cs="宋体"/>
          <w:sz w:val="24"/>
        </w:rPr>
        <w:t>（4）报价人未就全部内容作完整唯一报价的，或有漏项报价的或有选择的或有条件的报价的。</w:t>
      </w:r>
    </w:p>
    <w:bookmarkEnd w:id="2"/>
    <w:p>
      <w:pPr>
        <w:pStyle w:val="15"/>
        <w:snapToGrid w:val="0"/>
        <w:spacing w:before="48" w:beforeLines="20" w:after="48" w:afterLines="20" w:line="400" w:lineRule="exact"/>
        <w:jc w:val="center"/>
        <w:outlineLvl w:val="1"/>
        <w:rPr>
          <w:rFonts w:hAnsi="宋体" w:cs="宋体"/>
          <w:b/>
          <w:sz w:val="24"/>
          <w:szCs w:val="24"/>
        </w:rPr>
      </w:pPr>
      <w:r>
        <w:rPr>
          <w:rFonts w:hint="eastAsia" w:hAnsi="宋体" w:cs="宋体"/>
          <w:b/>
          <w:sz w:val="24"/>
          <w:szCs w:val="24"/>
        </w:rPr>
        <w:t>六、其他事项</w:t>
      </w:r>
    </w:p>
    <w:p>
      <w:pPr>
        <w:pStyle w:val="15"/>
        <w:spacing w:line="400" w:lineRule="exact"/>
        <w:ind w:firstLine="420"/>
        <w:outlineLvl w:val="2"/>
        <w:rPr>
          <w:rFonts w:hAnsi="宋体" w:cs="宋体"/>
          <w:b/>
          <w:sz w:val="24"/>
          <w:szCs w:val="24"/>
        </w:rPr>
      </w:pPr>
      <w:r>
        <w:rPr>
          <w:rFonts w:hAnsi="宋体" w:cs="宋体"/>
          <w:b/>
          <w:sz w:val="24"/>
          <w:szCs w:val="24"/>
        </w:rPr>
        <w:t>1</w:t>
      </w:r>
      <w:r>
        <w:rPr>
          <w:rFonts w:hint="eastAsia" w:hAnsi="宋体" w:cs="宋体"/>
          <w:b/>
          <w:sz w:val="24"/>
          <w:szCs w:val="24"/>
        </w:rPr>
        <w:t>7.适用法律</w:t>
      </w:r>
    </w:p>
    <w:p>
      <w:pPr>
        <w:pStyle w:val="15"/>
        <w:spacing w:line="400" w:lineRule="exact"/>
        <w:ind w:firstLine="420"/>
        <w:rPr>
          <w:rFonts w:hAnsi="宋体" w:cs="宋体"/>
          <w:sz w:val="24"/>
          <w:szCs w:val="24"/>
        </w:rPr>
      </w:pPr>
      <w:r>
        <w:rPr>
          <w:rFonts w:hAnsi="宋体" w:cs="宋体"/>
          <w:b/>
          <w:sz w:val="24"/>
          <w:szCs w:val="24"/>
        </w:rPr>
        <w:t>1</w:t>
      </w:r>
      <w:r>
        <w:rPr>
          <w:rFonts w:hint="eastAsia" w:hAnsi="宋体" w:cs="宋体"/>
          <w:b/>
          <w:sz w:val="24"/>
          <w:szCs w:val="24"/>
        </w:rPr>
        <w:t>7.1</w:t>
      </w:r>
      <w:r>
        <w:rPr>
          <w:rFonts w:hint="eastAsia" w:hAnsi="宋体" w:cs="宋体"/>
          <w:sz w:val="24"/>
          <w:szCs w:val="24"/>
        </w:rPr>
        <w:t>采购当事人的一切活动均适用于《中华人民共和国政府采购法》及相关规定。</w:t>
      </w:r>
    </w:p>
    <w:p>
      <w:pPr>
        <w:pStyle w:val="15"/>
        <w:snapToGrid w:val="0"/>
        <w:spacing w:line="400" w:lineRule="exact"/>
        <w:jc w:val="center"/>
        <w:outlineLvl w:val="0"/>
        <w:rPr>
          <w:rFonts w:hAnsi="宋体"/>
          <w:b/>
          <w:sz w:val="32"/>
          <w:szCs w:val="32"/>
        </w:rPr>
      </w:pPr>
      <w:r>
        <w:rPr>
          <w:rFonts w:hint="eastAsia" w:hAnsi="宋体"/>
          <w:b/>
          <w:sz w:val="28"/>
          <w:szCs w:val="32"/>
        </w:rPr>
        <w:br w:type="textWrapping"/>
      </w:r>
      <w:r>
        <w:rPr>
          <w:rFonts w:hint="eastAsia" w:hAnsi="宋体"/>
          <w:b/>
          <w:sz w:val="28"/>
          <w:szCs w:val="32"/>
        </w:rPr>
        <w:br w:type="page"/>
      </w:r>
      <w:r>
        <w:rPr>
          <w:rFonts w:hint="eastAsia" w:hAnsi="宋体"/>
          <w:b/>
          <w:sz w:val="28"/>
          <w:szCs w:val="32"/>
        </w:rPr>
        <w:t>第三章 服务需求及说明</w:t>
      </w:r>
    </w:p>
    <w:p>
      <w:pPr>
        <w:pStyle w:val="15"/>
        <w:spacing w:line="400" w:lineRule="exact"/>
        <w:ind w:firstLine="420"/>
        <w:outlineLvl w:val="1"/>
        <w:rPr>
          <w:rFonts w:hAnsi="宋体" w:cs="宋体"/>
          <w:sz w:val="24"/>
          <w:szCs w:val="24"/>
        </w:rPr>
      </w:pPr>
      <w:r>
        <w:rPr>
          <w:rFonts w:hAnsi="宋体" w:cs="宋体"/>
          <w:sz w:val="24"/>
          <w:szCs w:val="24"/>
        </w:rPr>
        <w:t>一、说明：</w:t>
      </w:r>
    </w:p>
    <w:p>
      <w:pPr>
        <w:pStyle w:val="15"/>
        <w:spacing w:line="400" w:lineRule="exact"/>
        <w:ind w:firstLine="420"/>
        <w:rPr>
          <w:rFonts w:hAnsi="宋体" w:cs="宋体"/>
          <w:sz w:val="24"/>
          <w:szCs w:val="24"/>
        </w:rPr>
      </w:pPr>
      <w:r>
        <w:rPr>
          <w:rFonts w:hAnsi="宋体" w:cs="宋体"/>
          <w:sz w:val="24"/>
          <w:szCs w:val="24"/>
        </w:rPr>
        <w:t>1.标“▲”为实质性参数要求和条件，</w:t>
      </w:r>
      <w:r>
        <w:rPr>
          <w:rFonts w:hint="eastAsia" w:hAnsi="宋体" w:cs="宋体"/>
          <w:sz w:val="24"/>
          <w:szCs w:val="24"/>
        </w:rPr>
        <w:t>报价人</w:t>
      </w:r>
      <w:r>
        <w:rPr>
          <w:rFonts w:hAnsi="宋体" w:cs="宋体"/>
          <w:sz w:val="24"/>
          <w:szCs w:val="24"/>
        </w:rPr>
        <w:t>必须满足并在响应文件中如实作出响应，否则</w:t>
      </w:r>
      <w:r>
        <w:rPr>
          <w:rFonts w:hint="eastAsia" w:hAnsi="宋体" w:cs="宋体"/>
          <w:sz w:val="24"/>
          <w:szCs w:val="24"/>
        </w:rPr>
        <w:t>视为</w:t>
      </w:r>
      <w:r>
        <w:rPr>
          <w:rFonts w:hAnsi="宋体" w:cs="宋体"/>
          <w:sz w:val="24"/>
          <w:szCs w:val="24"/>
        </w:rPr>
        <w:t>无效。</w:t>
      </w:r>
    </w:p>
    <w:p>
      <w:pPr>
        <w:pStyle w:val="15"/>
        <w:spacing w:line="400" w:lineRule="exact"/>
        <w:ind w:firstLine="420"/>
        <w:rPr>
          <w:rFonts w:hAnsi="宋体" w:cs="宋体"/>
          <w:sz w:val="24"/>
          <w:szCs w:val="24"/>
        </w:rPr>
      </w:pPr>
      <w:r>
        <w:rPr>
          <w:rFonts w:hAnsi="宋体" w:cs="宋体"/>
          <w:sz w:val="24"/>
          <w:szCs w:val="24"/>
        </w:rPr>
        <w:t>2.</w:t>
      </w:r>
      <w:r>
        <w:rPr>
          <w:rFonts w:hint="eastAsia" w:hAnsi="宋体" w:cs="宋体"/>
          <w:sz w:val="24"/>
          <w:szCs w:val="24"/>
        </w:rPr>
        <w:t>报价人</w:t>
      </w:r>
      <w:r>
        <w:rPr>
          <w:rFonts w:hAnsi="宋体" w:cs="宋体"/>
          <w:sz w:val="24"/>
          <w:szCs w:val="24"/>
        </w:rPr>
        <w:t>应在响应文件中对项目要求及技术需求、</w:t>
      </w:r>
      <w:r>
        <w:rPr>
          <w:rFonts w:hint="eastAsia" w:hAnsi="宋体" w:cs="宋体"/>
          <w:sz w:val="24"/>
          <w:szCs w:val="24"/>
        </w:rPr>
        <w:t>采购</w:t>
      </w:r>
      <w:r>
        <w:rPr>
          <w:rFonts w:hAnsi="宋体" w:cs="宋体"/>
          <w:sz w:val="24"/>
          <w:szCs w:val="24"/>
        </w:rPr>
        <w:t>要求、商务要求及附件内容（如有）中所有内容逐条响应并一一对应。</w:t>
      </w:r>
    </w:p>
    <w:p>
      <w:pPr>
        <w:pStyle w:val="15"/>
        <w:spacing w:line="400" w:lineRule="exact"/>
        <w:ind w:firstLine="420"/>
        <w:outlineLvl w:val="1"/>
        <w:rPr>
          <w:rFonts w:hAnsi="宋体" w:cs="宋体"/>
          <w:sz w:val="24"/>
          <w:szCs w:val="24"/>
        </w:rPr>
      </w:pPr>
      <w:r>
        <w:rPr>
          <w:rFonts w:hAnsi="宋体" w:cs="宋体"/>
          <w:sz w:val="24"/>
          <w:szCs w:val="24"/>
        </w:rPr>
        <w:t>二、采购内容：</w:t>
      </w:r>
    </w:p>
    <w:tbl>
      <w:tblPr>
        <w:tblStyle w:val="34"/>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672"/>
        <w:gridCol w:w="520"/>
        <w:gridCol w:w="1107"/>
        <w:gridCol w:w="1090"/>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54" w:type="dxa"/>
            <w:gridSpan w:val="6"/>
            <w:vAlign w:val="center"/>
          </w:tcPr>
          <w:p>
            <w:pPr>
              <w:spacing w:line="400" w:lineRule="exact"/>
              <w:rPr>
                <w:rFonts w:ascii="仿宋_GB2312" w:eastAsia="仿宋_GB2312"/>
                <w:b/>
                <w:sz w:val="24"/>
              </w:rPr>
            </w:pPr>
            <w:r>
              <w:rPr>
                <w:rFonts w:hint="eastAsia" w:ascii="仿宋_GB2312" w:eastAsia="仿宋_GB2312"/>
                <w:b/>
                <w:sz w:val="24"/>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2" w:type="dxa"/>
            <w:vAlign w:val="center"/>
          </w:tcPr>
          <w:p>
            <w:pPr>
              <w:spacing w:line="400" w:lineRule="exact"/>
              <w:jc w:val="center"/>
              <w:rPr>
                <w:rFonts w:ascii="仿宋_GB2312" w:eastAsia="仿宋_GB2312"/>
                <w:sz w:val="24"/>
              </w:rPr>
            </w:pPr>
            <w:r>
              <w:rPr>
                <w:rFonts w:hint="eastAsia" w:ascii="仿宋_GB2312" w:eastAsia="仿宋_GB2312"/>
                <w:sz w:val="24"/>
              </w:rPr>
              <w:t>项号</w:t>
            </w:r>
          </w:p>
        </w:tc>
        <w:tc>
          <w:tcPr>
            <w:tcW w:w="1192" w:type="dxa"/>
            <w:gridSpan w:val="2"/>
            <w:vAlign w:val="center"/>
          </w:tcPr>
          <w:p>
            <w:pPr>
              <w:spacing w:line="400" w:lineRule="exact"/>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项目名称</w:t>
            </w:r>
          </w:p>
        </w:tc>
        <w:tc>
          <w:tcPr>
            <w:tcW w:w="1107" w:type="dxa"/>
            <w:vAlign w:val="center"/>
          </w:tcPr>
          <w:p>
            <w:pPr>
              <w:spacing w:line="400" w:lineRule="exact"/>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数量</w:t>
            </w:r>
          </w:p>
        </w:tc>
        <w:tc>
          <w:tcPr>
            <w:tcW w:w="1090" w:type="dxa"/>
            <w:vAlign w:val="center"/>
          </w:tcPr>
          <w:p>
            <w:pPr>
              <w:spacing w:line="400" w:lineRule="exact"/>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单位</w:t>
            </w:r>
          </w:p>
        </w:tc>
        <w:tc>
          <w:tcPr>
            <w:tcW w:w="5943" w:type="dxa"/>
            <w:vAlign w:val="center"/>
          </w:tcPr>
          <w:p>
            <w:pPr>
              <w:spacing w:line="400" w:lineRule="exact"/>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2" w:type="dxa"/>
            <w:vAlign w:val="center"/>
          </w:tcPr>
          <w:p>
            <w:pPr>
              <w:spacing w:line="400" w:lineRule="exact"/>
              <w:jc w:val="center"/>
              <w:rPr>
                <w:rFonts w:ascii="仿宋_GB2312" w:eastAsia="仿宋_GB2312"/>
                <w:sz w:val="24"/>
              </w:rPr>
            </w:pPr>
            <w:r>
              <w:rPr>
                <w:rFonts w:hint="eastAsia" w:ascii="仿宋_GB2312" w:eastAsia="仿宋_GB2312"/>
                <w:sz w:val="24"/>
              </w:rPr>
              <w:t>1</w:t>
            </w:r>
          </w:p>
        </w:tc>
        <w:tc>
          <w:tcPr>
            <w:tcW w:w="1192" w:type="dxa"/>
            <w:gridSpan w:val="2"/>
            <w:vAlign w:val="center"/>
          </w:tcPr>
          <w:p>
            <w:pPr>
              <w:spacing w:line="400" w:lineRule="exact"/>
              <w:jc w:val="left"/>
              <w:rPr>
                <w:rFonts w:ascii="仿宋_GB2312" w:eastAsia="仿宋_GB2312"/>
                <w:color w:val="000000" w:themeColor="text1"/>
                <w:kern w:val="0"/>
                <w:sz w:val="24"/>
                <w:lang w:val="en"/>
                <w14:textFill>
                  <w14:solidFill>
                    <w14:schemeClr w14:val="tx1"/>
                  </w14:solidFill>
                </w14:textFill>
              </w:rPr>
            </w:pPr>
            <w:r>
              <w:rPr>
                <w:rFonts w:hint="eastAsia" w:eastAsia="仿宋"/>
                <w:color w:val="000000" w:themeColor="text1"/>
                <w:sz w:val="24"/>
                <w14:textFill>
                  <w14:solidFill>
                    <w14:schemeClr w14:val="tx1"/>
                  </w14:solidFill>
                </w14:textFill>
              </w:rPr>
              <w:t>广西自治区级公共安全视频监控建设联网应用项目第三方系统测评服务</w:t>
            </w:r>
          </w:p>
        </w:tc>
        <w:tc>
          <w:tcPr>
            <w:tcW w:w="1107" w:type="dxa"/>
            <w:vAlign w:val="center"/>
          </w:tcPr>
          <w:p>
            <w:pPr>
              <w:spacing w:line="400" w:lineRule="exact"/>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1</w:t>
            </w:r>
          </w:p>
        </w:tc>
        <w:tc>
          <w:tcPr>
            <w:tcW w:w="1090" w:type="dxa"/>
            <w:vAlign w:val="center"/>
          </w:tcPr>
          <w:p>
            <w:pPr>
              <w:spacing w:line="400" w:lineRule="exact"/>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项</w:t>
            </w:r>
          </w:p>
        </w:tc>
        <w:tc>
          <w:tcPr>
            <w:tcW w:w="5943" w:type="dxa"/>
            <w:vAlign w:val="center"/>
          </w:tcPr>
          <w:p>
            <w:pPr>
              <w:pStyle w:val="15"/>
              <w:spacing w:line="400" w:lineRule="exact"/>
              <w:ind w:firstLine="42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一、项目背景</w:t>
            </w:r>
          </w:p>
          <w:p>
            <w:pPr>
              <w:pStyle w:val="15"/>
              <w:spacing w:line="400" w:lineRule="exact"/>
              <w:ind w:firstLine="420"/>
              <w:rPr>
                <w:rFonts w:hAnsi="宋体" w:cs="宋体"/>
                <w:color w:val="000000" w:themeColor="text1"/>
                <w:sz w:val="21"/>
                <w14:textFill>
                  <w14:solidFill>
                    <w14:schemeClr w14:val="tx1"/>
                  </w14:solidFill>
                </w14:textFill>
              </w:rPr>
            </w:pPr>
            <w:r>
              <w:rPr>
                <w:rFonts w:hAnsi="宋体" w:cs="宋体"/>
                <w:color w:val="000000" w:themeColor="text1"/>
                <w:sz w:val="21"/>
                <w14:textFill>
                  <w14:solidFill>
                    <w14:schemeClr w14:val="tx1"/>
                  </w14:solidFill>
                </w14:textFill>
              </w:rPr>
              <w:t>广西自治区级公共安全视频监控建设联网应用项目</w:t>
            </w:r>
            <w:r>
              <w:rPr>
                <w:rFonts w:hint="eastAsia" w:hAnsi="宋体" w:cs="宋体"/>
                <w:color w:val="000000" w:themeColor="text1"/>
                <w:sz w:val="21"/>
                <w14:textFill>
                  <w14:solidFill>
                    <w14:schemeClr w14:val="tx1"/>
                  </w14:solidFill>
                </w14:textFill>
              </w:rPr>
              <w:t>（以下简称“雪亮工程”项目）</w:t>
            </w:r>
            <w:r>
              <w:rPr>
                <w:rFonts w:hAnsi="宋体" w:cs="宋体"/>
                <w:color w:val="000000" w:themeColor="text1"/>
                <w:sz w:val="21"/>
                <w14:textFill>
                  <w14:solidFill>
                    <w14:schemeClr w14:val="tx1"/>
                  </w14:solidFill>
                </w14:textFill>
              </w:rPr>
              <w:t>的建设内容中包含自治区级视频共享交换平台、自治区政法边界应用系统、自治区公安边界交换系统，系统含有的功能多，含有大量定制开发内容，定制要求高。为保证和提高项目开发质量、代码安全，需要开展第三方系统测评。</w:t>
            </w:r>
          </w:p>
          <w:p>
            <w:pPr>
              <w:pStyle w:val="15"/>
              <w:spacing w:line="400" w:lineRule="exact"/>
              <w:ind w:firstLine="420"/>
              <w:rPr>
                <w:rFonts w:hAnsi="宋体" w:cs="宋体"/>
                <w:color w:val="000000" w:themeColor="text1"/>
                <w:sz w:val="21"/>
                <w14:textFill>
                  <w14:solidFill>
                    <w14:schemeClr w14:val="tx1"/>
                  </w14:solidFill>
                </w14:textFill>
              </w:rPr>
            </w:pPr>
            <w:r>
              <w:rPr>
                <w:rFonts w:hAnsi="宋体" w:cs="宋体"/>
                <w:color w:val="000000" w:themeColor="text1"/>
                <w:sz w:val="21"/>
                <w14:textFill>
                  <w14:solidFill>
                    <w14:schemeClr w14:val="tx1"/>
                  </w14:solidFill>
                </w14:textFill>
              </w:rPr>
              <w:t>▲</w:t>
            </w:r>
            <w:r>
              <w:rPr>
                <w:rFonts w:hint="eastAsia" w:hAnsi="宋体" w:cs="宋体"/>
                <w:color w:val="000000" w:themeColor="text1"/>
                <w:sz w:val="21"/>
                <w14:textFill>
                  <w14:solidFill>
                    <w14:schemeClr w14:val="tx1"/>
                  </w14:solidFill>
                </w14:textFill>
              </w:rPr>
              <w:t>二、</w:t>
            </w:r>
            <w:r>
              <w:rPr>
                <w:rFonts w:hAnsi="宋体" w:cs="宋体"/>
                <w:color w:val="000000" w:themeColor="text1"/>
                <w:sz w:val="21"/>
                <w14:textFill>
                  <w14:solidFill>
                    <w14:schemeClr w14:val="tx1"/>
                  </w14:solidFill>
                </w14:textFill>
              </w:rPr>
              <w:t>服务内容及要求</w:t>
            </w:r>
          </w:p>
          <w:p>
            <w:pPr>
              <w:pStyle w:val="15"/>
              <w:spacing w:line="400" w:lineRule="exact"/>
              <w:ind w:firstLine="42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（一）</w:t>
            </w:r>
            <w:r>
              <w:rPr>
                <w:rFonts w:hAnsi="宋体" w:cs="宋体"/>
                <w:color w:val="000000" w:themeColor="text1"/>
                <w:sz w:val="21"/>
                <w14:textFill>
                  <w14:solidFill>
                    <w14:schemeClr w14:val="tx1"/>
                  </w14:solidFill>
                </w14:textFill>
              </w:rPr>
              <w:t>项目目标</w:t>
            </w:r>
          </w:p>
          <w:p>
            <w:pPr>
              <w:pStyle w:val="15"/>
              <w:spacing w:line="400" w:lineRule="exact"/>
              <w:ind w:firstLine="42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本项目将根据国家有关标准、工程承包协议等要求对广西自治区级公共安全视频监控建设联网应用项目的质量情况开展检验检测服务，以确保系统运行安全、可靠，符合设计建设要求。</w:t>
            </w:r>
          </w:p>
          <w:p>
            <w:pPr>
              <w:pStyle w:val="15"/>
              <w:spacing w:line="400" w:lineRule="exact"/>
              <w:ind w:firstLine="42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（二）检验检测范围</w:t>
            </w:r>
          </w:p>
          <w:p>
            <w:pPr>
              <w:pStyle w:val="15"/>
              <w:spacing w:line="400" w:lineRule="exact"/>
              <w:ind w:firstLine="420"/>
              <w:rPr>
                <w:rFonts w:hint="eastAsia"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覆盖</w:t>
            </w:r>
            <w:r>
              <w:rPr>
                <w:rFonts w:hAnsi="宋体" w:cs="宋体"/>
                <w:color w:val="000000" w:themeColor="text1"/>
                <w:sz w:val="21"/>
                <w14:textFill>
                  <w14:solidFill>
                    <w14:schemeClr w14:val="tx1"/>
                  </w14:solidFill>
                </w14:textFill>
              </w:rPr>
              <w:t>广西自治区级公共安全视频监控建设联网应用项目</w:t>
            </w:r>
            <w:r>
              <w:rPr>
                <w:rFonts w:hint="eastAsia" w:hAnsi="宋体" w:cs="宋体"/>
                <w:color w:val="000000" w:themeColor="text1"/>
                <w:sz w:val="21"/>
                <w14:textFill>
                  <w14:solidFill>
                    <w14:schemeClr w14:val="tx1"/>
                  </w14:solidFill>
                </w14:textFill>
              </w:rPr>
              <w:t>（以下简称“雪亮工程”项目）</w:t>
            </w:r>
            <w:r>
              <w:rPr>
                <w:rFonts w:hAnsi="宋体" w:cs="宋体"/>
                <w:color w:val="000000" w:themeColor="text1"/>
                <w:sz w:val="21"/>
                <w14:textFill>
                  <w14:solidFill>
                    <w14:schemeClr w14:val="tx1"/>
                  </w14:solidFill>
                </w14:textFill>
              </w:rPr>
              <w:t>的建设内容中包含自治区级视频共享交换平台、自治区政法边界应用系统、自治区公安边界交换系统</w:t>
            </w:r>
            <w:r>
              <w:rPr>
                <w:rFonts w:hint="eastAsia" w:hAnsi="宋体" w:cs="宋体"/>
                <w:color w:val="000000" w:themeColor="text1"/>
                <w:sz w:val="21"/>
                <w14:textFill>
                  <w14:solidFill>
                    <w14:schemeClr w14:val="tx1"/>
                  </w14:solidFill>
                </w14:textFill>
              </w:rPr>
              <w:t>相关内容。具体包括：</w:t>
            </w:r>
          </w:p>
          <w:p>
            <w:pPr>
              <w:pStyle w:val="15"/>
              <w:spacing w:line="400" w:lineRule="exact"/>
              <w:ind w:firstLine="420"/>
              <w:rPr>
                <w:rFonts w:hAnsi="宋体" w:cs="宋体"/>
                <w:color w:val="000000" w:themeColor="text1"/>
                <w:sz w:val="21"/>
                <w14:textFill>
                  <w14:solidFill>
                    <w14:schemeClr w14:val="tx1"/>
                  </w14:solidFill>
                </w14:textFill>
              </w:rPr>
            </w:pPr>
            <w:r>
              <w:rPr>
                <w:rFonts w:hAnsi="宋体" w:cs="宋体"/>
                <w:color w:val="000000" w:themeColor="text1"/>
                <w:sz w:val="21"/>
                <w14:textFill>
                  <w14:solidFill>
                    <w14:schemeClr w14:val="tx1"/>
                  </w14:solidFill>
                </w14:textFill>
              </w:rPr>
              <w:t>1.</w:t>
            </w:r>
            <w:r>
              <w:rPr>
                <w:rFonts w:hint="eastAsia" w:hAnsi="宋体" w:cs="宋体"/>
                <w:color w:val="000000" w:themeColor="text1"/>
                <w:sz w:val="21"/>
                <w14:textFill>
                  <w14:solidFill>
                    <w14:schemeClr w14:val="tx1"/>
                  </w14:solidFill>
                </w14:textFill>
              </w:rPr>
              <w:t>自治区级视频共享交换平台：包括基础支撑平台、应用支撑平台、视频图像基础功能平台、视频图像信息应用平台、运维管理平台等；</w:t>
            </w:r>
          </w:p>
          <w:p>
            <w:pPr>
              <w:pStyle w:val="15"/>
              <w:spacing w:line="400" w:lineRule="exact"/>
              <w:ind w:firstLine="420"/>
              <w:rPr>
                <w:rFonts w:hAnsi="宋体" w:cs="宋体"/>
                <w:color w:val="000000" w:themeColor="text1"/>
                <w:sz w:val="21"/>
                <w14:textFill>
                  <w14:solidFill>
                    <w14:schemeClr w14:val="tx1"/>
                  </w14:solidFill>
                </w14:textFill>
              </w:rPr>
            </w:pPr>
            <w:r>
              <w:rPr>
                <w:rFonts w:hAnsi="宋体" w:cs="宋体"/>
                <w:color w:val="000000" w:themeColor="text1"/>
                <w:sz w:val="21"/>
                <w14:textFill>
                  <w14:solidFill>
                    <w14:schemeClr w14:val="tx1"/>
                  </w14:solidFill>
                </w14:textFill>
              </w:rPr>
              <w:t>2.</w:t>
            </w:r>
            <w:r>
              <w:rPr>
                <w:rFonts w:hint="eastAsia" w:hAnsi="宋体" w:cs="宋体"/>
                <w:color w:val="000000" w:themeColor="text1"/>
                <w:sz w:val="21"/>
                <w14:textFill>
                  <w14:solidFill>
                    <w14:schemeClr w14:val="tx1"/>
                  </w14:solidFill>
                </w14:textFill>
              </w:rPr>
              <w:t>自治区政法边界应用系统：包括扩容视频服务平台，升级政法网络指挥中心视频会议系统建设广西区党委政法委综治中心智能管控系统等；</w:t>
            </w:r>
          </w:p>
          <w:p>
            <w:pPr>
              <w:pStyle w:val="15"/>
              <w:spacing w:line="400" w:lineRule="exact"/>
              <w:ind w:firstLine="42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3</w:t>
            </w:r>
            <w:r>
              <w:rPr>
                <w:rFonts w:hAnsi="宋体" w:cs="宋体"/>
                <w:color w:val="000000" w:themeColor="text1"/>
                <w:sz w:val="21"/>
                <w14:textFill>
                  <w14:solidFill>
                    <w14:schemeClr w14:val="tx1"/>
                  </w14:solidFill>
                </w14:textFill>
              </w:rPr>
              <w:t>.</w:t>
            </w:r>
            <w:r>
              <w:rPr>
                <w:rFonts w:hint="eastAsia" w:hAnsi="宋体" w:cs="宋体"/>
                <w:color w:val="000000" w:themeColor="text1"/>
                <w:sz w:val="21"/>
                <w14:textFill>
                  <w14:solidFill>
                    <w14:schemeClr w14:val="tx1"/>
                  </w14:solidFill>
                </w14:textFill>
              </w:rPr>
              <w:t>自治区公安边界交换系统。</w:t>
            </w:r>
          </w:p>
          <w:p>
            <w:pPr>
              <w:pStyle w:val="15"/>
              <w:spacing w:line="400" w:lineRule="exact"/>
              <w:ind w:firstLine="42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本项目将根据国家有关标准、工程承包协议等要求对广西自治区级公共安全视频监控建设联网应用项目的质量情况开展检验检测服务，以确保系统运行安全、可靠，符合设计建设要求。</w:t>
            </w:r>
          </w:p>
          <w:p>
            <w:pPr>
              <w:pStyle w:val="24"/>
              <w:spacing w:line="240" w:lineRule="auto"/>
              <w:ind w:firstLine="420" w:firstLineChars="200"/>
              <w:outlineLvl w:val="2"/>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（三）</w:t>
            </w:r>
            <w:r>
              <w:rPr>
                <w:rFonts w:ascii="宋体" w:hAnsi="宋体" w:cs="宋体"/>
                <w:color w:val="000000" w:themeColor="text1"/>
                <w:sz w:val="21"/>
                <w:szCs w:val="21"/>
                <w14:textFill>
                  <w14:solidFill>
                    <w14:schemeClr w14:val="tx1"/>
                  </w14:solidFill>
                </w14:textFill>
              </w:rPr>
              <w:t xml:space="preserve">测评标准 </w:t>
            </w:r>
          </w:p>
          <w:p>
            <w:pPr>
              <w:pStyle w:val="24"/>
              <w:spacing w:line="240" w:lineRule="auto"/>
              <w:ind w:firstLine="420" w:firstLineChars="200"/>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按照《系统与软件工程 系统与软件质量要求和评价（SQuaRE） 第51部分：就绪可用软件产品（RUSP）的质量要求和测试细则》GB/T 25000.51-2016、《公共安全视频监控联网系统信息传输、交换、控制技术要求》GB/T 28181-2016、《安全防范工程技术规范》GB50348-2018、《视频监控系统工程设计规范》GB50395-2007、《会议电视会场工程施工及验收规范》GB50793-2012、项目建设合同、项目设计说明书、项目建设方案、项目设备清单、项目工程图纸等规范和资料中的技术要求进行检测。</w:t>
            </w:r>
          </w:p>
          <w:p>
            <w:pPr>
              <w:pStyle w:val="24"/>
              <w:spacing w:line="240" w:lineRule="auto"/>
              <w:ind w:firstLine="420" w:firstLineChars="200"/>
              <w:outlineLvl w:val="2"/>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（四）</w:t>
            </w:r>
            <w:r>
              <w:rPr>
                <w:rFonts w:ascii="宋体" w:hAnsi="宋体" w:cs="宋体"/>
                <w:color w:val="000000" w:themeColor="text1"/>
                <w:sz w:val="21"/>
                <w:szCs w:val="21"/>
                <w14:textFill>
                  <w14:solidFill>
                    <w14:schemeClr w14:val="tx1"/>
                  </w14:solidFill>
                </w14:textFill>
              </w:rPr>
              <w:t>测评服务原则</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公平原则：实施方应遵循“面向应用、保证质量、客观公正、诚信守诺”的原则开展软件测试工作。</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标准性原则：实施方应依据相关国家标准、行业标准和本采购文件规定的测评标准开展测试工作。本测试要求所使用的标准和规范如与实施方所执行的标准不一致时，按较高标准执行。</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优质服务原则：本测试要求实施方提供的是最低限度的要求，实施方应保证提供符合本测试要求和有关标准的优质服务，并确保测试报告符合项目验收的所有要求。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保密原则：对测试服务过程中接触到的各种信息，不得</w:t>
            </w:r>
            <w:r>
              <w:rPr>
                <w:rFonts w:hint="eastAsia" w:ascii="宋体" w:hAnsi="宋体" w:cs="宋体"/>
                <w:color w:val="000000" w:themeColor="text1"/>
                <w:kern w:val="0"/>
                <w:szCs w:val="21"/>
                <w14:textFill>
                  <w14:solidFill>
                    <w14:schemeClr w14:val="tx1"/>
                  </w14:solidFill>
                </w14:textFill>
              </w:rPr>
              <w:t>泄露</w:t>
            </w:r>
            <w:r>
              <w:rPr>
                <w:rFonts w:ascii="宋体" w:hAnsi="宋体" w:cs="宋体"/>
                <w:color w:val="000000" w:themeColor="text1"/>
                <w:kern w:val="0"/>
                <w:szCs w:val="21"/>
                <w14:textFill>
                  <w14:solidFill>
                    <w14:schemeClr w14:val="tx1"/>
                  </w14:solidFill>
                </w14:textFill>
              </w:rPr>
              <w:t>给任何单位和个人，未经允许不得利用这些信息从事与服务无关的活动。</w:t>
            </w:r>
          </w:p>
          <w:p>
            <w:pPr>
              <w:pStyle w:val="24"/>
              <w:spacing w:line="240" w:lineRule="auto"/>
              <w:ind w:firstLine="420" w:firstLineChars="200"/>
              <w:outlineLvl w:val="2"/>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（五）</w:t>
            </w:r>
            <w:r>
              <w:rPr>
                <w:rFonts w:ascii="宋体" w:hAnsi="宋体" w:cs="宋体"/>
                <w:color w:val="000000" w:themeColor="text1"/>
                <w:sz w:val="21"/>
                <w:szCs w:val="21"/>
                <w14:textFill>
                  <w14:solidFill>
                    <w14:schemeClr w14:val="tx1"/>
                  </w14:solidFill>
                </w14:textFill>
              </w:rPr>
              <w:t>测评主要要求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1）规范各系统文档资料，协调测试计划时间安排，组织完成测试业务需求分析、编写测试方案计划，并组织实施测试。根据测试结果，编写并提交测试报告，保证测试内容与测试方案一致；</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2）严格管理项目参加人员，把控方案、计划、实施工作，确保测试工作按时保质完成，根据各雪亮工程系统上线和部署要求，合理安排软件测试计划；</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3）根据雪亮工程系统需求、系统设计编写测试方案、测试计划、测试用例、测试报告等相关文档，确保文档质量；</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4）在测试过程中报告发现的缺陷并实时提出优化建议，在承建方完成整改后进行回归测试，验证缺陷和优化建议已得到正确处理且未引入新的缺陷；要求每次测试至少含一轮回归测试；为提高测试效率，应提供现场测试服务。</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5）系统测试内容除《系统与软件工程 系统与软件质量要求和评价（SQuaRE） 第51部分：就绪可用软件产品（RUSP）的质量要求和测试细则》GB/T 25000.51-2016外，还应充分考虑到雪亮工程系统的安全要求，包括网络安全等级保护测评、商用密码应用安全性评估、风险评估、渗透性测试等。</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6）通过实施系统测试，发现和找出系统开发阶段未满足项目设计要求并且影响上线使用的开发设计缺陷，对被测试系统进行评估，为系统上线并最后总体验收使用提供质量保证；</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7）根据项目各系统建设情况和系统测试目标,注重性能测试在整个测试过程中的重要性，需将雪亮工程设计文档、雪亮工程建设单位能够出具的相关行业标准和其他具体要求列为测试依据，避免遗漏部分功能。</w:t>
            </w:r>
          </w:p>
          <w:p>
            <w:pPr>
              <w:snapToGrid w:val="0"/>
              <w:ind w:firstLine="420" w:firstLineChars="200"/>
              <w:outlineLvl w:val="2"/>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w:t>
            </w:r>
            <w:r>
              <w:rPr>
                <w:rFonts w:ascii="宋体" w:hAnsi="宋体" w:cs="宋体"/>
                <w:color w:val="000000" w:themeColor="text1"/>
                <w:kern w:val="0"/>
                <w:szCs w:val="21"/>
                <w14:textFill>
                  <w14:solidFill>
                    <w14:schemeClr w14:val="tx1"/>
                  </w14:solidFill>
                </w14:textFill>
              </w:rPr>
              <w:t>测评服务内容</w:t>
            </w:r>
          </w:p>
          <w:p>
            <w:pPr>
              <w:snapToGrid w:val="0"/>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测评服务应包含以下内容：</w:t>
            </w:r>
          </w:p>
          <w:p>
            <w:pPr>
              <w:snapToGrid w:val="0"/>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平台系统软件功能测评。对雪亮工程中的自治区级视频共享交换平台中的基础支撑平台、应用支撑平台、视频图像基础功能平台、视频图像信息应用平台、运维管理系统以及自治区公安边界交换系统和自治区政法边界应用系统中的所有功能和模块进行测评。</w:t>
            </w:r>
          </w:p>
          <w:p>
            <w:pPr>
              <w:snapToGrid w:val="0"/>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r>
              <w:rPr>
                <w:rFonts w:ascii="宋体" w:hAnsi="宋体" w:cs="宋体"/>
                <w:color w:val="000000" w:themeColor="text1"/>
                <w:kern w:val="0"/>
                <w:szCs w:val="21"/>
                <w14:textFill>
                  <w14:solidFill>
                    <w14:schemeClr w14:val="tx1"/>
                  </w14:solidFill>
                </w14:textFill>
              </w:rPr>
              <w:t>.设备配置核查。对</w:t>
            </w:r>
            <w:r>
              <w:rPr>
                <w:rFonts w:ascii="宋体" w:hAnsi="宋体" w:cs="宋体"/>
                <w:color w:val="000000" w:themeColor="text1"/>
                <w:szCs w:val="21"/>
                <w14:textFill>
                  <w14:solidFill>
                    <w14:schemeClr w14:val="tx1"/>
                  </w14:solidFill>
                </w14:textFill>
              </w:rPr>
              <w:t>雪亮工程中的</w:t>
            </w:r>
            <w:r>
              <w:rPr>
                <w:rFonts w:ascii="宋体" w:hAnsi="宋体" w:cs="宋体"/>
                <w:color w:val="000000" w:themeColor="text1"/>
                <w:kern w:val="0"/>
                <w:szCs w:val="21"/>
                <w14:textFill>
                  <w14:solidFill>
                    <w14:schemeClr w14:val="tx1"/>
                  </w14:solidFill>
                </w14:textFill>
              </w:rPr>
              <w:t>自治区级视频共享交换平台、自治区公安边界交换系统和自治区政法边界应用系统以及项目中其他使用的相关设备型号、数量、品牌、设备参数、策略配置、存储参数进行核查。</w:t>
            </w:r>
          </w:p>
          <w:p>
            <w:pPr>
              <w:snapToGrid w:val="0"/>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r>
              <w:rPr>
                <w:rFonts w:ascii="宋体" w:hAnsi="宋体" w:cs="宋体"/>
                <w:color w:val="000000" w:themeColor="text1"/>
                <w:kern w:val="0"/>
                <w:szCs w:val="21"/>
                <w14:textFill>
                  <w14:solidFill>
                    <w14:schemeClr w14:val="tx1"/>
                  </w14:solidFill>
                </w14:textFill>
              </w:rPr>
              <w:t>.平台视频功能测评。对</w:t>
            </w:r>
            <w:r>
              <w:rPr>
                <w:rFonts w:ascii="宋体" w:hAnsi="宋体" w:cs="宋体"/>
                <w:color w:val="000000" w:themeColor="text1"/>
                <w:szCs w:val="21"/>
                <w14:textFill>
                  <w14:solidFill>
                    <w14:schemeClr w14:val="tx1"/>
                  </w14:solidFill>
                </w14:textFill>
              </w:rPr>
              <w:t>雪亮工程中的</w:t>
            </w:r>
            <w:r>
              <w:rPr>
                <w:rFonts w:ascii="宋体" w:hAnsi="宋体" w:cs="宋体"/>
                <w:color w:val="000000" w:themeColor="text1"/>
                <w:kern w:val="0"/>
                <w:szCs w:val="21"/>
                <w14:textFill>
                  <w14:solidFill>
                    <w14:schemeClr w14:val="tx1"/>
                  </w14:solidFill>
                </w14:textFill>
              </w:rPr>
              <w:t>自治区级视频共享交换平台、自治区公安边界交换系统和自治区政法边界应用系统中的视频播放相关功能进行测评，包括系统控制功能、监视功能、显示功能、记录功能、回放功能、下载功能、图像丢失报警功能等。</w:t>
            </w:r>
          </w:p>
          <w:p>
            <w:pPr>
              <w:snapToGrid w:val="0"/>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r>
              <w:rPr>
                <w:rFonts w:ascii="宋体" w:hAnsi="宋体" w:cs="宋体"/>
                <w:color w:val="000000" w:themeColor="text1"/>
                <w:kern w:val="0"/>
                <w:szCs w:val="21"/>
                <w14:textFill>
                  <w14:solidFill>
                    <w14:schemeClr w14:val="tx1"/>
                  </w14:solidFill>
                </w14:textFill>
              </w:rPr>
              <w:t>.平台GB/T 28181联网符合性测评。对</w:t>
            </w:r>
            <w:r>
              <w:rPr>
                <w:rFonts w:ascii="宋体" w:hAnsi="宋体" w:cs="宋体"/>
                <w:color w:val="000000" w:themeColor="text1"/>
                <w:szCs w:val="21"/>
                <w14:textFill>
                  <w14:solidFill>
                    <w14:schemeClr w14:val="tx1"/>
                  </w14:solidFill>
                </w14:textFill>
              </w:rPr>
              <w:t>雪亮工程中的</w:t>
            </w:r>
            <w:r>
              <w:rPr>
                <w:rFonts w:ascii="宋体" w:hAnsi="宋体" w:cs="宋体"/>
                <w:color w:val="000000" w:themeColor="text1"/>
                <w:kern w:val="0"/>
                <w:szCs w:val="21"/>
                <w14:textFill>
                  <w14:solidFill>
                    <w14:schemeClr w14:val="tx1"/>
                  </w14:solidFill>
                </w14:textFill>
              </w:rPr>
              <w:t>自治区级视频共享交换平台、自治区公安边界交换系统和自治区政法边界应用系统中的硬件、软件和相关功能是否满足</w:t>
            </w:r>
            <w:r>
              <w:rPr>
                <w:rFonts w:ascii="宋体" w:hAnsi="宋体" w:cs="宋体"/>
                <w:color w:val="000000" w:themeColor="text1"/>
                <w:szCs w:val="21"/>
                <w14:textFill>
                  <w14:solidFill>
                    <w14:schemeClr w14:val="tx1"/>
                  </w14:solidFill>
                </w14:textFill>
              </w:rPr>
              <w:t>《公共安全视频监控联网系统信息传输、交换、控制技术要求》GB/T 28181-2016的要求进行测评。</w:t>
            </w:r>
          </w:p>
          <w:p>
            <w:pPr>
              <w:pStyle w:val="24"/>
              <w:spacing w:line="240" w:lineRule="auto"/>
              <w:ind w:left="480"/>
              <w:outlineLvl w:val="2"/>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（六）</w:t>
            </w:r>
            <w:r>
              <w:rPr>
                <w:rFonts w:ascii="宋体" w:hAnsi="宋体" w:cs="宋体"/>
                <w:color w:val="000000" w:themeColor="text1"/>
                <w:sz w:val="21"/>
                <w:szCs w:val="21"/>
                <w14:textFill>
                  <w14:solidFill>
                    <w14:schemeClr w14:val="tx1"/>
                  </w14:solidFill>
                </w14:textFill>
              </w:rPr>
              <w:t>软件测试内容概要</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依据相关国家标准及项目设计文档等的要求，检验雪亮工程系统是否满足用户需求，保证雪亮工程系统工程质量。通过评估系统的需求符合性，对系统功能、可靠性、效率等方面进行专业的测试，</w:t>
            </w:r>
            <w:r>
              <w:rPr>
                <w:rFonts w:hint="eastAsia" w:ascii="宋体" w:hAnsi="宋体" w:cs="宋体"/>
                <w:color w:val="000000" w:themeColor="text1"/>
                <w:kern w:val="0"/>
                <w:szCs w:val="21"/>
                <w14:textFill>
                  <w14:solidFill>
                    <w14:schemeClr w14:val="tx1"/>
                  </w14:solidFill>
                </w14:textFill>
              </w:rPr>
              <w:t>输出测评报告，</w:t>
            </w:r>
            <w:r>
              <w:rPr>
                <w:rFonts w:ascii="宋体" w:hAnsi="宋体" w:cs="宋体"/>
                <w:color w:val="000000" w:themeColor="text1"/>
                <w:kern w:val="0"/>
                <w:szCs w:val="21"/>
                <w14:textFill>
                  <w14:solidFill>
                    <w14:schemeClr w14:val="tx1"/>
                  </w14:solidFill>
                </w14:textFill>
              </w:rPr>
              <w:t>为雪亮工程验收提供重要依据。为了保证软件质量，投标方应从平台的功能、性能效率、信息安全性、兼容性、可移植性、可维护性、易用性、可靠性、用户文档集等质量特性和内容开展软件测试，测试内容及描述具体如下：</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1）功能测试</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功能测试是通过设计测试用例、执行用例、获取结果，对系统的功能、业务流程等分别进行测试，保证系统功能正常使用，保证系统功能符合相关标准的要求。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2）性能效率测试</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依据雪亮工程招标文件、应标文件中对相关平台性能要求的描述，考查雪亮工程系统关键业务在正常工作量、预期的峰值工作量下的效率情况，主要考虑系统容量特性、时间特性及资源利用状况等效率指标是否符合用户需求，并据此对系统的性能做出全面的评价：</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分析系统用户行为，依据性能需求验证分级部署的雪亮工程系统支持高并发处理业务的能力；</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系统的关键业务，诸如数据采集、数据同步、数据统计等，具备快速响应能力；</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系统资源利用在合理的数值范围，不超过资源指标的预警值；</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测试在大用户量、大并发、大数据量和长时间连续运行等条件下，系统的响应时间和稳定运行情况。</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3）信息安全性测试</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对于信息化平台，使用安全扫描工具结合人工渗透测试对应用系统进行信息安全性检测,验证身份认证、用户账户及弱口令、传输安全、安全审计、资源控制、数据安全、容错性等，是否存在潜在的安全性缺陷，包括SQL注入漏洞，跨站脚本漏洞，文件上传漏洞，越权漏洞，敏感信息泄漏漏洞，失效的身份认证和会话管理漏洞，安全配置错误漏洞，未验证的重定向和转发漏洞等。</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4）兼容性</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审查产品、系统或组件与其他产品、系统或组件交换信息、执行所需功能的适应能力、获取信息的程度。</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5）可移植性</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审查系统对不同操作系统、浏览器（含国产化操作系统、浏览器）、</w:t>
            </w:r>
            <w:r>
              <w:rPr>
                <w:rFonts w:hint="eastAsia" w:ascii="宋体" w:hAnsi="宋体" w:cs="宋体"/>
                <w:color w:val="000000" w:themeColor="text1"/>
                <w:kern w:val="0"/>
                <w:szCs w:val="21"/>
                <w14:textFill>
                  <w14:solidFill>
                    <w14:schemeClr w14:val="tx1"/>
                  </w14:solidFill>
                </w14:textFill>
              </w:rPr>
              <w:t>网络环境、</w:t>
            </w:r>
            <w:r>
              <w:rPr>
                <w:rFonts w:ascii="宋体" w:hAnsi="宋体" w:cs="宋体"/>
                <w:color w:val="000000" w:themeColor="text1"/>
                <w:kern w:val="0"/>
                <w:szCs w:val="21"/>
                <w14:textFill>
                  <w14:solidFill>
                    <w14:schemeClr w14:val="tx1"/>
                  </w14:solidFill>
                </w14:textFill>
              </w:rPr>
              <w:t>分辨率等的适应能力；测试软件安装的工作量、安装的可定制性、安装设计的完备性、安装卸载操作的简易性。</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6）可维护性</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测试产品或系统在原有模块的基础上扩展、删减能力，测试系统参数可维护性；软件产品的多运行环境测试。</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7）易用性检测</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软件的易用程度直接关系用户的最终体验，应围绕可辨识性、易学性、易操作性、用户差错防御性、用户界面舒适性、易访问性等方面开展测评。</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8）可靠性检测</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验证软件产品在规定的条件下和规定的时间区间完成规定功能的能力，从软件产品的成熟性、可用性、容错性、易恢复性等方面开展测评。</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9）用户文档集检测</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针对雪亮工程承建单位交付的用户手册集（包括但不限于软件操作手册、管理员手册、运维手册等）进行评审，确保此类文档可为用户提供准确的使用指导，从完备性、正确、一致性、易理解性、易学性开展检测。</w:t>
            </w:r>
          </w:p>
          <w:p>
            <w:pPr>
              <w:tabs>
                <w:tab w:val="left" w:pos="312"/>
              </w:tabs>
              <w:spacing w:after="5"/>
              <w:ind w:left="48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（七）</w:t>
            </w:r>
            <w:r>
              <w:rPr>
                <w:rFonts w:ascii="宋体" w:hAnsi="宋体" w:cs="宋体"/>
                <w:color w:val="000000" w:themeColor="text1"/>
                <w:kern w:val="0"/>
                <w:szCs w:val="21"/>
                <w14:textFill>
                  <w14:solidFill>
                    <w14:schemeClr w14:val="tx1"/>
                  </w14:solidFill>
                </w14:textFill>
              </w:rPr>
              <w:t>服务方案要求</w:t>
            </w:r>
          </w:p>
          <w:p>
            <w:pPr>
              <w:spacing w:after="5"/>
              <w:ind w:firstLine="420" w:firstLineChars="200"/>
              <w:outlineLvl w:val="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 测试方案总体要求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针对雪亮工程项目总体情况、各子项目进度计划情况和测试工作要求，制定整体测试工作方案，方案内容包括但不限于：测试背景、测试标准、测试流程、采用的测试方法及工具、测试质量保障、参与各方的职责。</w:t>
            </w:r>
          </w:p>
          <w:p>
            <w:pPr>
              <w:spacing w:after="5"/>
              <w:ind w:firstLine="420" w:firstLineChars="200"/>
              <w:outlineLvl w:val="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2.测试实施计划要求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针对项目情况，制定整体测试工作计划，测试计划中需规定被测试的对象、明确测试需求、被测试项目的特性、应完成的测试任务、人员职责及风险等，确定要完成的测试活动，评估完成活动所需要的时间和资源，设计测试组织和岗位职权，进行活动安排和资源分配，安排跟踪和控制测试过程的活动。</w:t>
            </w:r>
          </w:p>
          <w:p>
            <w:pPr>
              <w:spacing w:after="5"/>
              <w:ind w:firstLine="420" w:firstLineChars="200"/>
              <w:outlineLvl w:val="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3.测试用例要求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根据测试范围设计科学合理有效的测试用例及测试脚本，并对测试用例和脚本统一管理，要求测试用例具有可重复性、有组织性、可回溯性和可操作性。</w:t>
            </w:r>
          </w:p>
          <w:p>
            <w:pPr>
              <w:spacing w:after="5"/>
              <w:ind w:firstLine="420" w:firstLineChars="200"/>
              <w:outlineLvl w:val="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4.缺陷管理要求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在测试过程中，应制定缺陷管理方案，及时提交缺陷报告。</w:t>
            </w:r>
          </w:p>
          <w:p>
            <w:pPr>
              <w:spacing w:after="5"/>
              <w:ind w:firstLine="420" w:firstLineChars="200"/>
              <w:outlineLvl w:val="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5.测试执行及评估要求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将获得的运行结果与预期结果进行比较和分析，记录、跟踪和管理系统缺陷，测试后对测试过程进行分析评估，对各系统的缺陷进行分析评估并提出改进意见，最终提交测试报告。</w:t>
            </w:r>
          </w:p>
          <w:p>
            <w:pPr>
              <w:spacing w:after="5"/>
              <w:ind w:firstLine="420" w:firstLineChars="200"/>
              <w:outlineLvl w:val="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6. 测试报告要求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测试报告和测试结果应包含但不局限于测试结果描述。</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按实际工作需要，应提交一正一副贰份测试总结报告。报告内容包含测试背景,测试概述,测试结果,测试结论等。</w:t>
            </w:r>
          </w:p>
          <w:p>
            <w:pPr>
              <w:spacing w:after="5"/>
              <w:ind w:firstLine="420" w:firstLineChars="200"/>
              <w:outlineLvl w:val="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7.通过测试的要求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为保证雪亮工程系统测试质量，应满足以下要求，方可认定通过测试：</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1）应覆盖《系统与软件工程 系统与软件质量要求和评价（SQuaRE） 第51部分：就绪可用软件产品（RUSP）的质量要求和测试细则》GB/T 25000.51-2016、《公共安全视频监控联网系统信息传输、交换、控制技术要求》GB/T 28181-2016、《安全防范工程技术规范》GB50348-2018、《视频监控系统工程设计规范》GB50395-2007、《会议电视会场工程施工及验收规范》GB50793-2012、项目建设合同、项目设计说明书、项目建设方案、项目设备清单、项目工程图纸等规范和资料的相关要求中规定的所有功能和系统相关指标。</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2)测试用例执行率应达到100%。</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3)回归测试时，测试用例通过率超过90%、且无严重技术缺陷和错误。</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r>
              <w:rPr>
                <w:rFonts w:ascii="宋体" w:hAnsi="宋体" w:cs="宋体"/>
                <w:color w:val="000000" w:themeColor="text1"/>
                <w:kern w:val="0"/>
                <w:szCs w:val="21"/>
                <w14:textFill>
                  <w14:solidFill>
                    <w14:schemeClr w14:val="tx1"/>
                  </w14:solidFill>
                </w14:textFill>
              </w:rPr>
              <w:t>.软件测试项目管理要求</w:t>
            </w:r>
          </w:p>
          <w:p>
            <w:pPr>
              <w:spacing w:after="5"/>
              <w:ind w:firstLine="420" w:firstLineChars="200"/>
              <w:outlineLvl w:val="2"/>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r>
              <w:rPr>
                <w:rFonts w:ascii="宋体" w:hAnsi="宋体" w:cs="宋体"/>
                <w:color w:val="000000" w:themeColor="text1"/>
                <w:kern w:val="0"/>
                <w:szCs w:val="21"/>
                <w14:textFill>
                  <w14:solidFill>
                    <w14:schemeClr w14:val="tx1"/>
                  </w14:solidFill>
                </w14:textFill>
              </w:rPr>
              <w:t>.1软件测试服务项目团队要求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投标方应组织一个专业化的团队来执行本项目，并向采购人提供拟参与本项目的各人员的有效联系方式（包括手机、办公电话、电子邮箱等），所有测评人员需提供驻场服务，驻场人员需提供投标人为其缴纳社保的证明复印件。上述人员应当具有3年以上软件测评经验。</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 该团队应自觉遵守采购人制定的相关管理办法和规定。</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3）该团队必须具备相关经验的测试工程师，充分理解应用系统需求；熟悉软件测试；具有相应的信息技术软件检测基础理论的专业知识；具备知识产权意识，确保采购人利益和机密不被泄漏。</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4）投标方必须指定一名项目总负责人，全程负责本项目测试工作。未经采购人同意，项目总负责人不得更换。</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5）测试团队一经创建，不得轻易变更，如测评人员因特殊原因在测试过程中确需更换的，应书面征得采购人的同意。</w:t>
            </w:r>
          </w:p>
          <w:p>
            <w:pPr>
              <w:pStyle w:val="36"/>
              <w:rPr>
                <w:rFonts w:ascii="宋体" w:hAnsi="宋体" w:cs="宋体"/>
                <w:bCs w:val="0"/>
                <w:color w:val="000000" w:themeColor="text1"/>
                <w:spacing w:val="0"/>
                <w:sz w:val="21"/>
                <w:szCs w:val="21"/>
                <w14:textFill>
                  <w14:solidFill>
                    <w14:schemeClr w14:val="tx1"/>
                  </w14:solidFill>
                </w14:textFill>
              </w:rPr>
            </w:pPr>
          </w:p>
          <w:p>
            <w:pPr>
              <w:spacing w:after="5"/>
              <w:ind w:firstLine="420" w:firstLineChars="200"/>
              <w:outlineLvl w:val="2"/>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（八）</w:t>
            </w:r>
            <w:r>
              <w:rPr>
                <w:rFonts w:ascii="宋体" w:hAnsi="宋体" w:cs="宋体"/>
                <w:color w:val="000000" w:themeColor="text1"/>
                <w:kern w:val="0"/>
                <w:szCs w:val="21"/>
                <w14:textFill>
                  <w14:solidFill>
                    <w14:schemeClr w14:val="tx1"/>
                  </w14:solidFill>
                </w14:textFill>
              </w:rPr>
              <w:t>软件测试服务项目管理要求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投标方应严格按照项目管理制度保障测试工作按质按量按时实施。</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1）测试项目管理</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完成测试项目的进度计划管理、测试问题管理、项目会议管理，以及与建设方、承建方及测试方的沟通、协调等管理。</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投标方应根据系统实施的特性，制定与项目开发相适应的完整的测试方案和测试实施计划。</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2）测试资产管理</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实现对测试资产（包括测试分析、测试用例、测试缺陷和各种测试文档等）的管理，项目过程产生的所有测试资产应进行妥善保管。</w:t>
            </w:r>
          </w:p>
          <w:p>
            <w:pPr>
              <w:numPr>
                <w:ilvl w:val="0"/>
                <w:numId w:val="3"/>
              </w:num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测试方案：测试计划（含人员、进度计划、里程碑等）、测试用例、测试数据、测试脚本、项目管理报告</w:t>
            </w:r>
          </w:p>
          <w:p>
            <w:pPr>
              <w:pStyle w:val="2"/>
              <w:ind w:firstLine="420" w:firstLineChars="200"/>
              <w:jc w:val="both"/>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5.评测流程</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投标人应根据上述测试内容要求进行测试实施，测试过程中应制定详细的测试计划、编写测试用例，执行测试，并提交缺陷报告和最终测试报告。</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1）测试计划要求</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针对项目情况，制定整体测试工作计划，测试计划中需规定被测试的对象、明确测试需求、被测试项目的特性、应完成的测试任务、人员职责及风险等，确定要完成的测试活动，评估完成活动所需要的时间和资源，设计测试组织和岗位职权，进行活动安排和资源分配。</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2）测试用例要求</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根据测试范围设计科学合理有效的测试用例及测试脚本，并对测试用例和脚本统一管理，要求测试用例具有可重复性、有组织性、可回溯性和可操作性。</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经评审通过的测试用例，方可作为最终测试用例。招标单位有权根据需求变更，要求测试方增补测试用例。</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3）缺陷管理要求</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测试过程中，对发现的测试问题划分问题类别和问题级别，对测试过程中发现的问题进行分析汇总，提交研制方进行问题确认。研制方根据处理意见对软件进行更改，测试方对更改后的软件完成更改确认和回归测试。</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4）测试执行及评估要求</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将获得的运行结果与预期结果进行比较和分析，记录、跟踪和管理系统缺陷，测试后对测试过程进行分析评估，对各系统的缺陷进行分析评估并提出改进意见，最终提交测试报告。</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5）测试报告要求</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测试报告和测试结果应包含但不局限于测试结果描述。</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按实际工作需要，应提交纸质版一份测试总结报告。</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测试报告的内容包括：</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ab/>
            </w:r>
            <w:r>
              <w:rPr>
                <w:rFonts w:hint="eastAsia" w:ascii="宋体" w:hAnsi="宋体" w:cs="宋体"/>
                <w:color w:val="000000" w:themeColor="text1"/>
                <w:kern w:val="0"/>
                <w:szCs w:val="21"/>
                <w14:textFill>
                  <w14:solidFill>
                    <w14:schemeClr w14:val="tx1"/>
                  </w14:solidFill>
                </w14:textFill>
              </w:rPr>
              <w:t>1）测试过程</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ab/>
            </w:r>
            <w:r>
              <w:rPr>
                <w:rFonts w:hint="eastAsia" w:ascii="宋体" w:hAnsi="宋体" w:cs="宋体"/>
                <w:color w:val="000000" w:themeColor="text1"/>
                <w:kern w:val="0"/>
                <w:szCs w:val="21"/>
                <w14:textFill>
                  <w14:solidFill>
                    <w14:schemeClr w14:val="tx1"/>
                  </w14:solidFill>
                </w14:textFill>
              </w:rPr>
              <w:t>2）首轮及回归测试内容</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ab/>
            </w:r>
            <w:r>
              <w:rPr>
                <w:rFonts w:hint="eastAsia" w:ascii="宋体" w:hAnsi="宋体" w:cs="宋体"/>
                <w:color w:val="000000" w:themeColor="text1"/>
                <w:kern w:val="0"/>
                <w:szCs w:val="21"/>
                <w14:textFill>
                  <w14:solidFill>
                    <w14:schemeClr w14:val="tx1"/>
                  </w14:solidFill>
                </w14:textFill>
              </w:rPr>
              <w:t>3）测试结果</w:t>
            </w:r>
          </w:p>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ab/>
            </w:r>
            <w:r>
              <w:rPr>
                <w:rFonts w:hint="eastAsia" w:ascii="宋体" w:hAnsi="宋体" w:cs="宋体"/>
                <w:color w:val="000000" w:themeColor="text1"/>
                <w:kern w:val="0"/>
                <w:szCs w:val="21"/>
                <w14:textFill>
                  <w14:solidFill>
                    <w14:schemeClr w14:val="tx1"/>
                  </w14:solidFill>
                </w14:textFill>
              </w:rPr>
              <w:t>4）测试结论</w:t>
            </w:r>
          </w:p>
          <w:p>
            <w:pPr>
              <w:pStyle w:val="24"/>
              <w:spacing w:line="240" w:lineRule="auto"/>
              <w:ind w:left="480"/>
              <w:outlineLvl w:val="1"/>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（九）</w:t>
            </w:r>
            <w:r>
              <w:rPr>
                <w:rFonts w:ascii="宋体" w:hAnsi="宋体" w:cs="宋体"/>
                <w:color w:val="000000" w:themeColor="text1"/>
                <w:sz w:val="21"/>
                <w:szCs w:val="21"/>
                <w14:textFill>
                  <w14:solidFill>
                    <w14:schemeClr w14:val="tx1"/>
                  </w14:solidFill>
                </w14:textFill>
              </w:rPr>
              <w:t>成果提交</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在合同规定时间内，评测过程中必须严格遵循测评相关要求，如实完整地编写测试过程文档，文档的内容与格式必须符合测评相关要求。依据项目实际情况，在项目各测试阶段出具测试计划、测试用例、测试记录、问题清单，向采购方提供本项目所测试信息系统的测试报告</w:t>
            </w:r>
            <w:r>
              <w:rPr>
                <w:rFonts w:hint="eastAsia" w:ascii="宋体" w:hAnsi="宋体" w:cs="宋体"/>
                <w:color w:val="000000" w:themeColor="text1"/>
                <w:kern w:val="0"/>
                <w:szCs w:val="21"/>
                <w:lang w:eastAsia="zh-CN"/>
                <w14:textFill>
                  <w14:solidFill>
                    <w14:schemeClr w14:val="tx1"/>
                  </w14:solidFill>
                </w14:textFill>
              </w:rPr>
              <w:t>（包括自治区级公共安全视频监控建设联网应用项目总体功能测试报告和性能测试报告、</w:t>
            </w:r>
            <w:r>
              <w:rPr>
                <w:rFonts w:hint="eastAsia" w:hAnsi="宋体" w:cs="宋体"/>
                <w:color w:val="000000" w:themeColor="text1"/>
                <w:sz w:val="21"/>
                <w14:textFill>
                  <w14:solidFill>
                    <w14:schemeClr w14:val="tx1"/>
                  </w14:solidFill>
                </w14:textFill>
              </w:rPr>
              <w:t>自治区级视频共享交换平台</w:t>
            </w:r>
            <w:r>
              <w:rPr>
                <w:rFonts w:hint="eastAsia" w:hAnsi="宋体" w:cs="宋体"/>
                <w:color w:val="000000" w:themeColor="text1"/>
                <w:sz w:val="21"/>
                <w:lang w:eastAsia="zh-CN"/>
                <w14:textFill>
                  <w14:solidFill>
                    <w14:schemeClr w14:val="tx1"/>
                  </w14:solidFill>
                </w14:textFill>
              </w:rPr>
              <w:t>功能测试报告和性能测试报告、</w:t>
            </w:r>
            <w:r>
              <w:rPr>
                <w:rFonts w:hint="eastAsia" w:hAnsi="宋体" w:cs="宋体"/>
                <w:color w:val="000000" w:themeColor="text1"/>
                <w:sz w:val="21"/>
                <w14:textFill>
                  <w14:solidFill>
                    <w14:schemeClr w14:val="tx1"/>
                  </w14:solidFill>
                </w14:textFill>
              </w:rPr>
              <w:t>自治区政法边界应用系统</w:t>
            </w:r>
            <w:r>
              <w:rPr>
                <w:rFonts w:hint="eastAsia" w:hAnsi="宋体" w:cs="宋体"/>
                <w:color w:val="000000" w:themeColor="text1"/>
                <w:sz w:val="21"/>
                <w:lang w:eastAsia="zh-CN"/>
                <w14:textFill>
                  <w14:solidFill>
                    <w14:schemeClr w14:val="tx1"/>
                  </w14:solidFill>
                </w14:textFill>
              </w:rPr>
              <w:t>功能测试报告和性能测试报告、</w:t>
            </w:r>
            <w:r>
              <w:rPr>
                <w:rFonts w:hint="eastAsia" w:hAnsi="宋体" w:cs="宋体"/>
                <w:color w:val="000000" w:themeColor="text1"/>
                <w:sz w:val="21"/>
                <w14:textFill>
                  <w14:solidFill>
                    <w14:schemeClr w14:val="tx1"/>
                  </w14:solidFill>
                </w14:textFill>
              </w:rPr>
              <w:t>自治区公安边界交换系统</w:t>
            </w:r>
            <w:r>
              <w:rPr>
                <w:rFonts w:hint="eastAsia" w:hAnsi="宋体" w:cs="宋体"/>
                <w:color w:val="000000" w:themeColor="text1"/>
                <w:sz w:val="21"/>
                <w:lang w:eastAsia="zh-CN"/>
                <w14:textFill>
                  <w14:solidFill>
                    <w14:schemeClr w14:val="tx1"/>
                  </w14:solidFill>
                </w14:textFill>
              </w:rPr>
              <w:t>功能测试报告和性能测试报告</w:t>
            </w:r>
            <w:r>
              <w:rPr>
                <w:rFonts w:hint="eastAsia" w:ascii="宋体" w:hAnsi="宋体" w:cs="宋体"/>
                <w:color w:val="000000" w:themeColor="text1"/>
                <w:kern w:val="0"/>
                <w:szCs w:val="21"/>
                <w:lang w:eastAsia="zh-CN"/>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。包括但不限于以下</w:t>
            </w:r>
            <w:r>
              <w:rPr>
                <w:rFonts w:hint="eastAsia" w:ascii="宋体" w:hAnsi="宋体" w:cs="宋体"/>
                <w:color w:val="000000" w:themeColor="text1"/>
                <w:kern w:val="0"/>
                <w:szCs w:val="21"/>
                <w:lang w:eastAsia="zh-CN"/>
                <w14:textFill>
                  <w14:solidFill>
                    <w14:schemeClr w14:val="tx1"/>
                  </w14:solidFill>
                </w14:textFill>
              </w:rPr>
              <w:t>的</w:t>
            </w:r>
            <w:r>
              <w:rPr>
                <w:rFonts w:hint="eastAsia" w:ascii="宋体" w:hAnsi="宋体" w:cs="宋体"/>
                <w:color w:val="000000" w:themeColor="text1"/>
                <w:kern w:val="0"/>
                <w:szCs w:val="21"/>
                <w14:textFill>
                  <w14:solidFill>
                    <w14:schemeClr w14:val="tx1"/>
                  </w14:solidFill>
                </w14:textFill>
              </w:rPr>
              <w:t>报告：</w:t>
            </w:r>
          </w:p>
          <w:tbl>
            <w:tblPr>
              <w:tblStyle w:val="34"/>
              <w:tblW w:w="5712"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
            <w:tblGrid>
              <w:gridCol w:w="456"/>
              <w:gridCol w:w="3147"/>
              <w:gridCol w:w="1171"/>
              <w:gridCol w:w="93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336" w:hRule="atLeast"/>
                <w:tblCellSpacing w:w="0" w:type="dxa"/>
                <w:jc w:val="center"/>
              </w:trPr>
              <w:tc>
                <w:tcPr>
                  <w:tcW w:w="456"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26"/>
                    <w:spacing w:line="240" w:lineRule="atLeast"/>
                    <w:jc w:val="center"/>
                    <w:rPr>
                      <w:rFonts w:hint="default" w:cs="宋体"/>
                      <w:color w:val="000000" w:themeColor="text1"/>
                      <w:sz w:val="21"/>
                      <w:szCs w:val="21"/>
                      <w14:textFill>
                        <w14:solidFill>
                          <w14:schemeClr w14:val="tx1"/>
                        </w14:solidFill>
                      </w14:textFill>
                    </w:rPr>
                  </w:pPr>
                  <w:r>
                    <w:rPr>
                      <w:rFonts w:cs="宋体"/>
                      <w:color w:val="000000" w:themeColor="text1"/>
                      <w:sz w:val="21"/>
                      <w:szCs w:val="21"/>
                      <w14:textFill>
                        <w14:solidFill>
                          <w14:schemeClr w14:val="tx1"/>
                        </w14:solidFill>
                      </w14:textFill>
                    </w:rPr>
                    <w:t>序号</w:t>
                  </w:r>
                </w:p>
              </w:tc>
              <w:tc>
                <w:tcPr>
                  <w:tcW w:w="3147"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26"/>
                    <w:spacing w:line="240" w:lineRule="atLeast"/>
                    <w:jc w:val="center"/>
                    <w:rPr>
                      <w:rFonts w:hint="default" w:cs="宋体"/>
                      <w:color w:val="000000" w:themeColor="text1"/>
                      <w:sz w:val="21"/>
                      <w:szCs w:val="21"/>
                      <w14:textFill>
                        <w14:solidFill>
                          <w14:schemeClr w14:val="tx1"/>
                        </w14:solidFill>
                      </w14:textFill>
                    </w:rPr>
                  </w:pPr>
                  <w:r>
                    <w:rPr>
                      <w:rFonts w:cs="宋体"/>
                      <w:color w:val="000000" w:themeColor="text1"/>
                      <w:sz w:val="21"/>
                      <w:szCs w:val="21"/>
                      <w14:textFill>
                        <w14:solidFill>
                          <w14:schemeClr w14:val="tx1"/>
                        </w14:solidFill>
                      </w14:textFill>
                    </w:rPr>
                    <w:t>报告名称</w:t>
                  </w:r>
                </w:p>
              </w:tc>
              <w:tc>
                <w:tcPr>
                  <w:tcW w:w="1171"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26"/>
                    <w:spacing w:line="240" w:lineRule="atLeast"/>
                    <w:jc w:val="center"/>
                    <w:rPr>
                      <w:rFonts w:hint="default" w:cs="宋体"/>
                      <w:color w:val="000000" w:themeColor="text1"/>
                      <w:sz w:val="21"/>
                      <w:szCs w:val="21"/>
                      <w14:textFill>
                        <w14:solidFill>
                          <w14:schemeClr w14:val="tx1"/>
                        </w14:solidFill>
                      </w14:textFill>
                    </w:rPr>
                  </w:pPr>
                  <w:r>
                    <w:rPr>
                      <w:rFonts w:cs="宋体"/>
                      <w:color w:val="000000" w:themeColor="text1"/>
                      <w:sz w:val="21"/>
                      <w:szCs w:val="21"/>
                      <w14:textFill>
                        <w14:solidFill>
                          <w14:schemeClr w14:val="tx1"/>
                        </w14:solidFill>
                      </w14:textFill>
                    </w:rPr>
                    <w:t>交付形式</w:t>
                  </w:r>
                </w:p>
              </w:tc>
              <w:tc>
                <w:tcPr>
                  <w:tcW w:w="938"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26"/>
                    <w:spacing w:line="240" w:lineRule="atLeast"/>
                    <w:jc w:val="center"/>
                    <w:rPr>
                      <w:rFonts w:hint="default" w:cs="宋体"/>
                      <w:color w:val="000000" w:themeColor="text1"/>
                      <w:sz w:val="21"/>
                      <w:szCs w:val="21"/>
                      <w14:textFill>
                        <w14:solidFill>
                          <w14:schemeClr w14:val="tx1"/>
                        </w14:solidFill>
                      </w14:textFill>
                    </w:rPr>
                  </w:pPr>
                  <w:r>
                    <w:rPr>
                      <w:rFonts w:cs="宋体"/>
                      <w:color w:val="000000" w:themeColor="text1"/>
                      <w:sz w:val="21"/>
                      <w:szCs w:val="21"/>
                      <w14:textFill>
                        <w14:solidFill>
                          <w14:schemeClr w14:val="tx1"/>
                        </w14:solidFill>
                      </w14:textFill>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353" w:hRule="atLeast"/>
                <w:tblCellSpacing w:w="0" w:type="dxa"/>
                <w:jc w:val="center"/>
              </w:trPr>
              <w:tc>
                <w:tcPr>
                  <w:tcW w:w="456" w:type="dxa"/>
                  <w:tcBorders>
                    <w:top w:val="outset" w:color="auto" w:sz="6" w:space="0"/>
                    <w:left w:val="outset" w:color="auto" w:sz="6" w:space="0"/>
                    <w:bottom w:val="outset" w:color="auto" w:sz="6" w:space="0"/>
                    <w:right w:val="outset" w:color="auto" w:sz="6" w:space="0"/>
                  </w:tcBorders>
                  <w:vAlign w:val="center"/>
                </w:tcPr>
                <w:p>
                  <w:pPr>
                    <w:pStyle w:val="91"/>
                    <w:keepNext w:val="0"/>
                    <w:keepLines w:val="0"/>
                    <w:pageBreakBefore w:val="0"/>
                    <w:widowControl/>
                    <w:numPr>
                      <w:ilvl w:val="0"/>
                      <w:numId w:val="4"/>
                    </w:numPr>
                    <w:kinsoku/>
                    <w:wordWrap/>
                    <w:overflowPunct/>
                    <w:topLinePunct w:val="0"/>
                    <w:autoSpaceDE/>
                    <w:autoSpaceDN/>
                    <w:bidi w:val="0"/>
                    <w:adjustRightInd/>
                    <w:snapToGrid/>
                    <w:spacing w:line="360" w:lineRule="auto"/>
                    <w:ind w:left="0" w:firstLine="0" w:firstLineChars="0"/>
                    <w:jc w:val="center"/>
                    <w:textAlignment w:val="auto"/>
                    <w:rPr>
                      <w:rFonts w:ascii="宋体" w:hAnsi="宋体" w:cs="宋体"/>
                      <w:color w:val="000000" w:themeColor="text1"/>
                      <w:sz w:val="21"/>
                      <w:szCs w:val="21"/>
                      <w14:textFill>
                        <w14:solidFill>
                          <w14:schemeClr w14:val="tx1"/>
                        </w14:solidFill>
                      </w14:textFill>
                    </w:rPr>
                  </w:pPr>
                </w:p>
              </w:tc>
              <w:tc>
                <w:tcPr>
                  <w:tcW w:w="3147" w:type="dxa"/>
                  <w:tcBorders>
                    <w:top w:val="outset" w:color="auto" w:sz="6" w:space="0"/>
                    <w:left w:val="outset" w:color="auto" w:sz="6" w:space="0"/>
                    <w:bottom w:val="outset" w:color="auto" w:sz="6" w:space="0"/>
                    <w:right w:val="outset" w:color="auto" w:sz="6" w:space="0"/>
                  </w:tcBorders>
                  <w:vAlign w:val="center"/>
                </w:tcPr>
                <w:p>
                  <w:pPr>
                    <w:pStyle w:val="26"/>
                    <w:spacing w:line="360" w:lineRule="auto"/>
                    <w:jc w:val="center"/>
                    <w:rPr>
                      <w:rFonts w:hint="eastAsia"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自治区级公共安全视频监控建设联网应用项目总体功能测试报告</w:t>
                  </w:r>
                </w:p>
              </w:tc>
              <w:tc>
                <w:tcPr>
                  <w:tcW w:w="1171" w:type="dxa"/>
                  <w:vMerge w:val="restart"/>
                  <w:tcBorders>
                    <w:top w:val="outset" w:color="auto" w:sz="6" w:space="0"/>
                    <w:left w:val="outset" w:color="auto" w:sz="6" w:space="0"/>
                    <w:right w:val="outset" w:color="auto" w:sz="6" w:space="0"/>
                  </w:tcBorders>
                  <w:vAlign w:val="center"/>
                </w:tcPr>
                <w:p>
                  <w:pPr>
                    <w:spacing w:line="360"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电子版和</w:t>
                  </w:r>
                </w:p>
                <w:p>
                  <w:pPr>
                    <w:spacing w:line="360"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纸质版</w:t>
                  </w:r>
                </w:p>
              </w:tc>
              <w:tc>
                <w:tcPr>
                  <w:tcW w:w="938" w:type="dxa"/>
                  <w:vMerge w:val="restart"/>
                  <w:tcBorders>
                    <w:top w:val="outset" w:color="auto" w:sz="6" w:space="0"/>
                    <w:left w:val="outset" w:color="auto" w:sz="6" w:space="0"/>
                    <w:right w:val="outset" w:color="auto" w:sz="6" w:space="0"/>
                  </w:tcBorders>
                  <w:vAlign w:val="center"/>
                </w:tcPr>
                <w:p>
                  <w:pPr>
                    <w:spacing w:line="360"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第三方检测报告应具备CNAS及CMA印章。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825" w:hRule="atLeast"/>
                <w:tblCellSpacing w:w="0" w:type="dxa"/>
                <w:jc w:val="center"/>
              </w:trPr>
              <w:tc>
                <w:tcPr>
                  <w:tcW w:w="456" w:type="dxa"/>
                  <w:tcBorders>
                    <w:top w:val="outset" w:color="auto" w:sz="6" w:space="0"/>
                    <w:left w:val="outset" w:color="auto" w:sz="6" w:space="0"/>
                    <w:bottom w:val="outset" w:color="auto" w:sz="6" w:space="0"/>
                    <w:right w:val="outset" w:color="auto" w:sz="6" w:space="0"/>
                  </w:tcBorders>
                  <w:vAlign w:val="center"/>
                </w:tcPr>
                <w:p>
                  <w:pPr>
                    <w:pStyle w:val="91"/>
                    <w:keepNext w:val="0"/>
                    <w:keepLines w:val="0"/>
                    <w:pageBreakBefore w:val="0"/>
                    <w:widowControl/>
                    <w:numPr>
                      <w:ilvl w:val="0"/>
                      <w:numId w:val="4"/>
                    </w:numPr>
                    <w:kinsoku/>
                    <w:wordWrap/>
                    <w:overflowPunct/>
                    <w:topLinePunct w:val="0"/>
                    <w:autoSpaceDE/>
                    <w:autoSpaceDN/>
                    <w:bidi w:val="0"/>
                    <w:adjustRightInd/>
                    <w:snapToGrid/>
                    <w:spacing w:line="360" w:lineRule="auto"/>
                    <w:ind w:left="0" w:firstLine="0" w:firstLineChars="0"/>
                    <w:jc w:val="center"/>
                    <w:textAlignment w:val="auto"/>
                    <w:rPr>
                      <w:rFonts w:ascii="宋体" w:hAnsi="宋体" w:cs="宋体"/>
                      <w:color w:val="000000" w:themeColor="text1"/>
                      <w:sz w:val="21"/>
                      <w:szCs w:val="21"/>
                      <w14:textFill>
                        <w14:solidFill>
                          <w14:schemeClr w14:val="tx1"/>
                        </w14:solidFill>
                      </w14:textFill>
                    </w:rPr>
                  </w:pPr>
                </w:p>
              </w:tc>
              <w:tc>
                <w:tcPr>
                  <w:tcW w:w="3147" w:type="dxa"/>
                  <w:tcBorders>
                    <w:top w:val="outset" w:color="auto" w:sz="6" w:space="0"/>
                    <w:left w:val="outset" w:color="auto" w:sz="6" w:space="0"/>
                    <w:bottom w:val="outset" w:color="auto" w:sz="6" w:space="0"/>
                    <w:right w:val="outset" w:color="auto" w:sz="6" w:space="0"/>
                  </w:tcBorders>
                  <w:vAlign w:val="center"/>
                </w:tcPr>
                <w:p>
                  <w:pPr>
                    <w:pStyle w:val="26"/>
                    <w:spacing w:line="360" w:lineRule="auto"/>
                    <w:jc w:val="center"/>
                    <w:rPr>
                      <w:rFonts w:hint="default" w:cs="宋体"/>
                      <w:color w:val="000000" w:themeColor="text1"/>
                      <w:sz w:val="21"/>
                      <w:szCs w:val="21"/>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自治区级公共安全视频监控建设联网应用项目总体性能测试报告</w:t>
                  </w:r>
                </w:p>
              </w:tc>
              <w:tc>
                <w:tcPr>
                  <w:tcW w:w="1171" w:type="dxa"/>
                  <w:vMerge w:val="continue"/>
                  <w:tcBorders>
                    <w:left w:val="outset" w:color="auto" w:sz="6" w:space="0"/>
                    <w:right w:val="outset" w:color="auto" w:sz="6" w:space="0"/>
                  </w:tcBorders>
                  <w:vAlign w:val="center"/>
                </w:tcPr>
                <w:p>
                  <w:pPr>
                    <w:widowControl/>
                    <w:jc w:val="center"/>
                    <w:rPr>
                      <w:rFonts w:ascii="宋体" w:hAnsi="宋体" w:cs="宋体"/>
                      <w:color w:val="000000" w:themeColor="text1"/>
                      <w:kern w:val="0"/>
                      <w:szCs w:val="21"/>
                      <w14:textFill>
                        <w14:solidFill>
                          <w14:schemeClr w14:val="tx1"/>
                        </w14:solidFill>
                      </w14:textFill>
                    </w:rPr>
                  </w:pPr>
                </w:p>
              </w:tc>
              <w:tc>
                <w:tcPr>
                  <w:tcW w:w="938" w:type="dxa"/>
                  <w:vMerge w:val="continue"/>
                  <w:tcBorders>
                    <w:left w:val="outset" w:color="auto" w:sz="6" w:space="0"/>
                    <w:right w:val="outset" w:color="auto" w:sz="6" w:space="0"/>
                  </w:tcBorders>
                  <w:vAlign w:val="center"/>
                </w:tcPr>
                <w:p>
                  <w:pPr>
                    <w:widowControl/>
                    <w:jc w:val="center"/>
                    <w:rPr>
                      <w:rFonts w:ascii="宋体" w:hAnsi="宋体" w:cs="宋体"/>
                      <w:color w:val="000000" w:themeColor="text1"/>
                      <w:kern w:val="0"/>
                      <w:szCs w:val="21"/>
                      <w14:textFill>
                        <w14:solidFill>
                          <w14:schemeClr w14:val="tx1"/>
                        </w14:solidFill>
                      </w14:textFill>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1638" w:hRule="atLeast"/>
                <w:tblCellSpacing w:w="0" w:type="dxa"/>
                <w:jc w:val="center"/>
              </w:trPr>
              <w:tc>
                <w:tcPr>
                  <w:tcW w:w="456" w:type="dxa"/>
                  <w:tcBorders>
                    <w:top w:val="outset" w:color="auto" w:sz="6" w:space="0"/>
                    <w:left w:val="outset" w:color="auto" w:sz="6" w:space="0"/>
                    <w:bottom w:val="outset" w:color="auto" w:sz="6" w:space="0"/>
                    <w:right w:val="outset" w:color="auto" w:sz="6" w:space="0"/>
                  </w:tcBorders>
                  <w:vAlign w:val="center"/>
                </w:tcPr>
                <w:p>
                  <w:pPr>
                    <w:pStyle w:val="91"/>
                    <w:keepNext w:val="0"/>
                    <w:keepLines w:val="0"/>
                    <w:pageBreakBefore w:val="0"/>
                    <w:widowControl/>
                    <w:numPr>
                      <w:ilvl w:val="0"/>
                      <w:numId w:val="4"/>
                    </w:numPr>
                    <w:kinsoku/>
                    <w:wordWrap/>
                    <w:overflowPunct/>
                    <w:topLinePunct w:val="0"/>
                    <w:autoSpaceDE/>
                    <w:autoSpaceDN/>
                    <w:bidi w:val="0"/>
                    <w:adjustRightInd/>
                    <w:snapToGrid/>
                    <w:spacing w:line="360" w:lineRule="auto"/>
                    <w:ind w:left="0" w:firstLine="0" w:firstLineChars="0"/>
                    <w:jc w:val="center"/>
                    <w:textAlignment w:val="auto"/>
                    <w:rPr>
                      <w:rFonts w:ascii="宋体" w:hAnsi="宋体" w:cs="宋体"/>
                      <w:color w:val="000000" w:themeColor="text1"/>
                      <w:sz w:val="21"/>
                      <w:szCs w:val="21"/>
                      <w14:textFill>
                        <w14:solidFill>
                          <w14:schemeClr w14:val="tx1"/>
                        </w14:solidFill>
                      </w14:textFill>
                    </w:rPr>
                  </w:pPr>
                </w:p>
              </w:tc>
              <w:tc>
                <w:tcPr>
                  <w:tcW w:w="3147" w:type="dxa"/>
                  <w:tcBorders>
                    <w:top w:val="outset" w:color="auto" w:sz="6" w:space="0"/>
                    <w:left w:val="outset" w:color="auto" w:sz="6" w:space="0"/>
                    <w:bottom w:val="outset" w:color="auto" w:sz="6" w:space="0"/>
                    <w:right w:val="outset" w:color="auto" w:sz="6" w:space="0"/>
                  </w:tcBorders>
                  <w:vAlign w:val="center"/>
                </w:tcPr>
                <w:p>
                  <w:pPr>
                    <w:pStyle w:val="26"/>
                    <w:spacing w:line="360" w:lineRule="auto"/>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（系统名称）功能测试报告</w:t>
                  </w:r>
                </w:p>
              </w:tc>
              <w:tc>
                <w:tcPr>
                  <w:tcW w:w="1171" w:type="dxa"/>
                  <w:vMerge w:val="continue"/>
                  <w:tcBorders>
                    <w:left w:val="outset" w:color="auto" w:sz="6" w:space="0"/>
                    <w:right w:val="outset" w:color="auto" w:sz="6" w:space="0"/>
                  </w:tcBorders>
                  <w:vAlign w:val="center"/>
                </w:tcPr>
                <w:p>
                  <w:pPr>
                    <w:widowControl/>
                    <w:jc w:val="center"/>
                    <w:rPr>
                      <w:rFonts w:ascii="宋体" w:hAnsi="宋体" w:cs="宋体"/>
                      <w:color w:val="000000" w:themeColor="text1"/>
                      <w:kern w:val="0"/>
                      <w:szCs w:val="21"/>
                      <w14:textFill>
                        <w14:solidFill>
                          <w14:schemeClr w14:val="tx1"/>
                        </w14:solidFill>
                      </w14:textFill>
                    </w:rPr>
                  </w:pPr>
                </w:p>
              </w:tc>
              <w:tc>
                <w:tcPr>
                  <w:tcW w:w="938" w:type="dxa"/>
                  <w:vMerge w:val="continue"/>
                  <w:tcBorders>
                    <w:left w:val="outset" w:color="auto" w:sz="6" w:space="0"/>
                    <w:right w:val="outset" w:color="auto" w:sz="6" w:space="0"/>
                  </w:tcBorders>
                  <w:vAlign w:val="center"/>
                </w:tcPr>
                <w:p>
                  <w:pPr>
                    <w:widowControl/>
                    <w:jc w:val="center"/>
                    <w:rPr>
                      <w:rFonts w:ascii="宋体" w:hAnsi="宋体" w:cs="宋体"/>
                      <w:color w:val="000000" w:themeColor="text1"/>
                      <w:kern w:val="0"/>
                      <w:szCs w:val="21"/>
                      <w14:textFill>
                        <w14:solidFill>
                          <w14:schemeClr w14:val="tx1"/>
                        </w14:solidFill>
                      </w14:textFill>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1638" w:hRule="atLeast"/>
                <w:tblCellSpacing w:w="0" w:type="dxa"/>
                <w:jc w:val="center"/>
              </w:trPr>
              <w:tc>
                <w:tcPr>
                  <w:tcW w:w="456" w:type="dxa"/>
                  <w:tcBorders>
                    <w:top w:val="outset" w:color="auto" w:sz="6" w:space="0"/>
                    <w:left w:val="outset" w:color="auto" w:sz="6" w:space="0"/>
                    <w:bottom w:val="outset" w:color="auto" w:sz="6" w:space="0"/>
                    <w:right w:val="outset" w:color="auto" w:sz="6" w:space="0"/>
                  </w:tcBorders>
                  <w:vAlign w:val="center"/>
                </w:tcPr>
                <w:p>
                  <w:pPr>
                    <w:pStyle w:val="91"/>
                    <w:keepNext w:val="0"/>
                    <w:keepLines w:val="0"/>
                    <w:pageBreakBefore w:val="0"/>
                    <w:widowControl/>
                    <w:numPr>
                      <w:ilvl w:val="0"/>
                      <w:numId w:val="4"/>
                    </w:numPr>
                    <w:kinsoku/>
                    <w:wordWrap/>
                    <w:overflowPunct/>
                    <w:topLinePunct w:val="0"/>
                    <w:autoSpaceDE/>
                    <w:autoSpaceDN/>
                    <w:bidi w:val="0"/>
                    <w:adjustRightInd/>
                    <w:snapToGrid/>
                    <w:spacing w:line="360" w:lineRule="auto"/>
                    <w:ind w:left="0" w:firstLine="0" w:firstLineChars="0"/>
                    <w:jc w:val="center"/>
                    <w:textAlignment w:val="auto"/>
                    <w:rPr>
                      <w:rFonts w:ascii="宋体" w:hAnsi="宋体" w:cs="宋体"/>
                      <w:color w:val="000000" w:themeColor="text1"/>
                      <w:sz w:val="21"/>
                      <w:szCs w:val="21"/>
                      <w14:textFill>
                        <w14:solidFill>
                          <w14:schemeClr w14:val="tx1"/>
                        </w14:solidFill>
                      </w14:textFill>
                    </w:rPr>
                  </w:pPr>
                </w:p>
              </w:tc>
              <w:tc>
                <w:tcPr>
                  <w:tcW w:w="3147" w:type="dxa"/>
                  <w:tcBorders>
                    <w:top w:val="outset" w:color="auto" w:sz="6" w:space="0"/>
                    <w:left w:val="outset" w:color="auto" w:sz="6" w:space="0"/>
                    <w:bottom w:val="outset" w:color="auto" w:sz="6" w:space="0"/>
                    <w:right w:val="outset" w:color="auto" w:sz="6" w:space="0"/>
                  </w:tcBorders>
                  <w:vAlign w:val="center"/>
                </w:tcPr>
                <w:p>
                  <w:pPr>
                    <w:pStyle w:val="26"/>
                    <w:spacing w:line="360" w:lineRule="auto"/>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（系统名称）性能测试报告</w:t>
                  </w:r>
                </w:p>
              </w:tc>
              <w:tc>
                <w:tcPr>
                  <w:tcW w:w="1171" w:type="dxa"/>
                  <w:vMerge w:val="continue"/>
                  <w:tcBorders>
                    <w:left w:val="outset" w:color="auto" w:sz="6" w:space="0"/>
                    <w:right w:val="outset" w:color="auto" w:sz="6" w:space="0"/>
                  </w:tcBorders>
                  <w:vAlign w:val="center"/>
                </w:tcPr>
                <w:p>
                  <w:pPr>
                    <w:widowControl/>
                    <w:jc w:val="center"/>
                    <w:rPr>
                      <w:rFonts w:ascii="宋体" w:hAnsi="宋体" w:cs="宋体"/>
                      <w:color w:val="000000" w:themeColor="text1"/>
                      <w:kern w:val="0"/>
                      <w:szCs w:val="21"/>
                      <w14:textFill>
                        <w14:solidFill>
                          <w14:schemeClr w14:val="tx1"/>
                        </w14:solidFill>
                      </w14:textFill>
                    </w:rPr>
                  </w:pPr>
                </w:p>
              </w:tc>
              <w:tc>
                <w:tcPr>
                  <w:tcW w:w="938" w:type="dxa"/>
                  <w:vMerge w:val="continue"/>
                  <w:tcBorders>
                    <w:left w:val="outset" w:color="auto" w:sz="6" w:space="0"/>
                    <w:right w:val="outset" w:color="auto" w:sz="6" w:space="0"/>
                  </w:tcBorders>
                  <w:vAlign w:val="center"/>
                </w:tcPr>
                <w:p>
                  <w:pPr>
                    <w:widowControl/>
                    <w:jc w:val="center"/>
                    <w:rPr>
                      <w:rFonts w:ascii="宋体" w:hAnsi="宋体" w:cs="宋体"/>
                      <w:color w:val="000000" w:themeColor="text1"/>
                      <w:kern w:val="0"/>
                      <w:szCs w:val="21"/>
                      <w14:textFill>
                        <w14:solidFill>
                          <w14:schemeClr w14:val="tx1"/>
                        </w14:solidFill>
                      </w14:textFill>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1638" w:hRule="atLeast"/>
                <w:tblCellSpacing w:w="0" w:type="dxa"/>
                <w:jc w:val="center"/>
              </w:trPr>
              <w:tc>
                <w:tcPr>
                  <w:tcW w:w="456" w:type="dxa"/>
                  <w:tcBorders>
                    <w:top w:val="outset" w:color="auto" w:sz="6" w:space="0"/>
                    <w:left w:val="outset" w:color="auto" w:sz="6" w:space="0"/>
                    <w:bottom w:val="outset" w:color="auto" w:sz="6" w:space="0"/>
                    <w:right w:val="outset" w:color="auto" w:sz="6" w:space="0"/>
                  </w:tcBorders>
                  <w:vAlign w:val="center"/>
                </w:tcPr>
                <w:p>
                  <w:pPr>
                    <w:pStyle w:val="91"/>
                    <w:keepNext w:val="0"/>
                    <w:keepLines w:val="0"/>
                    <w:pageBreakBefore w:val="0"/>
                    <w:widowControl/>
                    <w:numPr>
                      <w:ilvl w:val="0"/>
                      <w:numId w:val="4"/>
                    </w:numPr>
                    <w:kinsoku/>
                    <w:wordWrap/>
                    <w:overflowPunct/>
                    <w:topLinePunct w:val="0"/>
                    <w:autoSpaceDE/>
                    <w:autoSpaceDN/>
                    <w:bidi w:val="0"/>
                    <w:adjustRightInd/>
                    <w:snapToGrid/>
                    <w:spacing w:line="360" w:lineRule="auto"/>
                    <w:ind w:left="0" w:firstLine="0" w:firstLineChars="0"/>
                    <w:jc w:val="center"/>
                    <w:textAlignment w:val="auto"/>
                    <w:rPr>
                      <w:rFonts w:ascii="宋体" w:hAnsi="宋体" w:cs="宋体"/>
                      <w:color w:val="000000" w:themeColor="text1"/>
                      <w:sz w:val="21"/>
                      <w:szCs w:val="21"/>
                      <w14:textFill>
                        <w14:solidFill>
                          <w14:schemeClr w14:val="tx1"/>
                        </w14:solidFill>
                      </w14:textFill>
                    </w:rPr>
                  </w:pPr>
                </w:p>
              </w:tc>
              <w:tc>
                <w:tcPr>
                  <w:tcW w:w="3147" w:type="dxa"/>
                  <w:tcBorders>
                    <w:top w:val="outset" w:color="auto" w:sz="6" w:space="0"/>
                    <w:left w:val="outset" w:color="auto" w:sz="6" w:space="0"/>
                    <w:bottom w:val="outset" w:color="auto" w:sz="6" w:space="0"/>
                    <w:right w:val="outset" w:color="auto" w:sz="6" w:space="0"/>
                  </w:tcBorders>
                  <w:vAlign w:val="center"/>
                </w:tcPr>
                <w:p>
                  <w:pPr>
                    <w:pStyle w:val="26"/>
                    <w:spacing w:line="360" w:lineRule="auto"/>
                    <w:jc w:val="center"/>
                    <w:rPr>
                      <w:rFonts w:cs="宋体"/>
                      <w:color w:val="000000" w:themeColor="text1"/>
                      <w:sz w:val="21"/>
                      <w:szCs w:val="21"/>
                      <w14:textFill>
                        <w14:solidFill>
                          <w14:schemeClr w14:val="tx1"/>
                        </w14:solidFill>
                      </w14:textFill>
                    </w:rPr>
                  </w:pPr>
                  <w:r>
                    <w:rPr>
                      <w:rFonts w:cs="宋体"/>
                      <w:color w:val="000000" w:themeColor="text1"/>
                      <w:sz w:val="21"/>
                      <w:szCs w:val="21"/>
                      <w14:textFill>
                        <w14:solidFill>
                          <w14:schemeClr w14:val="tx1"/>
                        </w14:solidFill>
                      </w14:textFill>
                    </w:rPr>
                    <w:t>测试实施方案、其他测试计划、测试用例、测试记录、问题清单、缺陷报告、技术和管理整改意见等过程文件或交付成果</w:t>
                  </w:r>
                </w:p>
              </w:tc>
              <w:tc>
                <w:tcPr>
                  <w:tcW w:w="1171" w:type="dxa"/>
                  <w:vMerge w:val="continue"/>
                  <w:tcBorders>
                    <w:left w:val="outset" w:color="auto" w:sz="6" w:space="0"/>
                    <w:bottom w:val="outset" w:color="auto" w:sz="6" w:space="0"/>
                    <w:right w:val="outset" w:color="auto" w:sz="6" w:space="0"/>
                  </w:tcBorders>
                  <w:vAlign w:val="center"/>
                </w:tcPr>
                <w:p>
                  <w:pPr>
                    <w:widowControl/>
                    <w:jc w:val="center"/>
                    <w:rPr>
                      <w:rFonts w:ascii="宋体" w:hAnsi="宋体" w:cs="宋体"/>
                      <w:color w:val="000000" w:themeColor="text1"/>
                      <w:kern w:val="0"/>
                      <w:szCs w:val="21"/>
                      <w14:textFill>
                        <w14:solidFill>
                          <w14:schemeClr w14:val="tx1"/>
                        </w14:solidFill>
                      </w14:textFill>
                    </w:rPr>
                  </w:pPr>
                </w:p>
              </w:tc>
              <w:tc>
                <w:tcPr>
                  <w:tcW w:w="938" w:type="dxa"/>
                  <w:vMerge w:val="continue"/>
                  <w:tcBorders>
                    <w:left w:val="outset" w:color="auto" w:sz="6" w:space="0"/>
                    <w:bottom w:val="outset" w:color="auto" w:sz="6" w:space="0"/>
                    <w:right w:val="outset" w:color="auto" w:sz="6" w:space="0"/>
                  </w:tcBorders>
                  <w:vAlign w:val="center"/>
                </w:tcPr>
                <w:p>
                  <w:pPr>
                    <w:widowControl/>
                    <w:jc w:val="center"/>
                    <w:rPr>
                      <w:rFonts w:ascii="宋体" w:hAnsi="宋体" w:cs="宋体"/>
                      <w:color w:val="000000" w:themeColor="text1"/>
                      <w:kern w:val="0"/>
                      <w:szCs w:val="21"/>
                      <w14:textFill>
                        <w14:solidFill>
                          <w14:schemeClr w14:val="tx1"/>
                        </w14:solidFill>
                      </w14:textFill>
                    </w:rPr>
                  </w:pPr>
                </w:p>
              </w:tc>
            </w:tr>
          </w:tbl>
          <w:p>
            <w:pPr>
              <w:spacing w:after="5"/>
              <w:ind w:firstLine="420" w:firstLineChars="200"/>
              <w:outlineLvl w:val="1"/>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（十）</w:t>
            </w:r>
            <w:r>
              <w:rPr>
                <w:rFonts w:ascii="宋体" w:hAnsi="宋体" w:cs="宋体"/>
                <w:color w:val="000000" w:themeColor="text1"/>
                <w:kern w:val="0"/>
                <w:szCs w:val="21"/>
                <w14:textFill>
                  <w14:solidFill>
                    <w14:schemeClr w14:val="tx1"/>
                  </w14:solidFill>
                </w14:textFill>
              </w:rPr>
              <w:t>测试</w:t>
            </w:r>
            <w:r>
              <w:rPr>
                <w:rFonts w:hint="eastAsia" w:ascii="宋体" w:hAnsi="宋体" w:cs="宋体"/>
                <w:color w:val="000000" w:themeColor="text1"/>
                <w:kern w:val="0"/>
                <w:szCs w:val="21"/>
                <w14:textFill>
                  <w14:solidFill>
                    <w14:schemeClr w14:val="tx1"/>
                  </w14:solidFill>
                </w14:textFill>
              </w:rPr>
              <w:t>成果</w:t>
            </w:r>
            <w:r>
              <w:rPr>
                <w:rFonts w:ascii="宋体" w:hAnsi="宋体" w:cs="宋体"/>
                <w:color w:val="000000" w:themeColor="text1"/>
                <w:kern w:val="0"/>
                <w:szCs w:val="21"/>
                <w14:textFill>
                  <w14:solidFill>
                    <w14:schemeClr w14:val="tx1"/>
                  </w14:solidFill>
                </w14:textFill>
              </w:rPr>
              <w:t>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投标方应根据整体工作计划和安排完成软件测试的验收工作，测试验收包含但不限于以下要求：</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 xml:space="preserve">1）完成所有测试工作； </w:t>
            </w:r>
          </w:p>
          <w:p>
            <w:pPr>
              <w:spacing w:after="5"/>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 xml:space="preserve">2）项目交付物齐全，符合项目要求及有关标准的规定； </w:t>
            </w:r>
          </w:p>
          <w:p>
            <w:pPr>
              <w:spacing w:after="5"/>
              <w:ind w:firstLine="420" w:firstLineChars="200"/>
              <w:rPr>
                <w:rFonts w:hAnsi="宋体" w:cs="宋体"/>
                <w:color w:val="000000" w:themeColor="text1"/>
                <w14:textFill>
                  <w14:solidFill>
                    <w14:schemeClr w14:val="tx1"/>
                  </w14:solidFill>
                </w14:textFill>
              </w:rPr>
            </w:pPr>
            <w:r>
              <w:rPr>
                <w:rFonts w:ascii="宋体" w:hAnsi="宋体" w:cs="宋体"/>
                <w:color w:val="000000" w:themeColor="text1"/>
                <w:kern w:val="0"/>
                <w:szCs w:val="21"/>
                <w14:textFill>
                  <w14:solidFill>
                    <w14:schemeClr w14:val="tx1"/>
                  </w14:solidFill>
                </w14:textFill>
              </w:rPr>
              <w:t>3）测试报告详实、客观、有法律效力，为雪亮工程系统上线和验收提供准确指导，使系统达到使用和验收要求。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54" w:type="dxa"/>
            <w:gridSpan w:val="6"/>
            <w:vAlign w:val="center"/>
          </w:tcPr>
          <w:p>
            <w:pPr>
              <w:spacing w:line="400" w:lineRule="exact"/>
              <w:rPr>
                <w:rFonts w:ascii="仿宋_GB2312" w:eastAsia="仿宋_GB2312"/>
                <w:b/>
                <w:kern w:val="0"/>
                <w:sz w:val="24"/>
              </w:rPr>
            </w:pPr>
            <w:bookmarkStart w:id="3" w:name="_Toc254970548"/>
            <w:bookmarkStart w:id="4" w:name="_Toc254970689"/>
            <w:r>
              <w:rPr>
                <w:rFonts w:hint="eastAsia" w:ascii="仿宋_GB2312" w:eastAsia="仿宋_GB2312"/>
                <w:b/>
                <w:kern w:val="0"/>
                <w:sz w:val="24"/>
              </w:rPr>
              <w:t>（二）</w:t>
            </w:r>
            <w:r>
              <w:rPr>
                <w:rFonts w:hint="eastAsia" w:ascii="仿宋_GB2312" w:eastAsia="仿宋_GB2312"/>
                <w:b/>
                <w:sz w:val="24"/>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jc w:val="center"/>
              <w:rPr>
                <w:rFonts w:ascii="仿宋_GB2312" w:eastAsia="仿宋_GB2312"/>
                <w:sz w:val="24"/>
              </w:rPr>
            </w:pPr>
            <w:r>
              <w:rPr>
                <w:rFonts w:hint="eastAsia" w:ascii="仿宋_GB2312" w:eastAsia="仿宋_GB2312"/>
                <w:b/>
                <w:sz w:val="24"/>
              </w:rPr>
              <w:t>▲</w:t>
            </w:r>
            <w:r>
              <w:rPr>
                <w:rFonts w:hint="eastAsia" w:ascii="仿宋_GB2312" w:eastAsia="仿宋_GB2312"/>
                <w:sz w:val="24"/>
              </w:rPr>
              <w:t>报价要求</w:t>
            </w:r>
          </w:p>
        </w:tc>
        <w:tc>
          <w:tcPr>
            <w:tcW w:w="8660" w:type="dxa"/>
            <w:gridSpan w:val="4"/>
            <w:vAlign w:val="center"/>
          </w:tcPr>
          <w:p>
            <w:pPr>
              <w:pStyle w:val="15"/>
              <w:snapToGrid w:val="0"/>
              <w:spacing w:line="400" w:lineRule="exact"/>
              <w:outlineLvl w:val="0"/>
              <w:rPr>
                <w:sz w:val="21"/>
              </w:rPr>
            </w:pPr>
            <w:r>
              <w:rPr>
                <w:rFonts w:hint="eastAsia"/>
                <w:sz w:val="21"/>
              </w:rPr>
              <w:t>本项目报价为完成采购人指定内容的整体包干价，包含但不限于实施和完成本项目全部工作所需的劳务费、技术服务费、评审费、交通、通讯、保险、税费和利润等项目有关一切费用。</w:t>
            </w:r>
          </w:p>
          <w:p>
            <w:pPr>
              <w:pStyle w:val="15"/>
              <w:snapToGrid w:val="0"/>
              <w:spacing w:line="400" w:lineRule="exact"/>
              <w:outlineLvl w:val="0"/>
              <w:rPr>
                <w:sz w:val="21"/>
              </w:rPr>
            </w:pPr>
            <w:r>
              <w:rPr>
                <w:rFonts w:hint="eastAsia"/>
                <w:sz w:val="21"/>
              </w:rPr>
              <w:t>供应商的报价≤采购预算（人民币37.2万元）。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rPr>
                <w:rFonts w:ascii="仿宋_GB2312" w:eastAsia="仿宋_GB2312"/>
                <w:sz w:val="24"/>
              </w:rPr>
            </w:pPr>
            <w:r>
              <w:rPr>
                <w:rFonts w:hint="eastAsia" w:ascii="仿宋_GB2312" w:hAnsi="仿宋_GB2312" w:eastAsia="仿宋_GB2312" w:cs="仿宋_GB2312"/>
                <w:bCs/>
                <w:kern w:val="0"/>
                <w:sz w:val="24"/>
              </w:rPr>
              <w:t>▲服务期</w:t>
            </w:r>
          </w:p>
        </w:tc>
        <w:tc>
          <w:tcPr>
            <w:tcW w:w="8660" w:type="dxa"/>
            <w:gridSpan w:val="4"/>
            <w:vAlign w:val="center"/>
          </w:tcPr>
          <w:p>
            <w:pPr>
              <w:pStyle w:val="15"/>
              <w:snapToGrid w:val="0"/>
              <w:spacing w:line="400" w:lineRule="exact"/>
              <w:outlineLvl w:val="0"/>
              <w:rPr>
                <w:sz w:val="21"/>
              </w:rPr>
            </w:pPr>
            <w:r>
              <w:rPr>
                <w:rFonts w:hint="eastAsia"/>
                <w:sz w:val="21"/>
              </w:rPr>
              <w:t>服务期：自合同签订之日起至以上所列项目完成检测服务之</w:t>
            </w:r>
            <w:r>
              <w:rPr>
                <w:rFonts w:hint="eastAsia"/>
                <w:sz w:val="21"/>
                <w:lang w:eastAsia="zh-CN"/>
              </w:rPr>
              <w:t>日</w:t>
            </w:r>
            <w:r>
              <w:rPr>
                <w:rFonts w:hint="eastAsia"/>
                <w:sz w:val="21"/>
              </w:rPr>
              <w:t>，</w:t>
            </w:r>
            <w:r>
              <w:rPr>
                <w:rFonts w:hint="eastAsia"/>
                <w:sz w:val="21"/>
                <w:lang w:eastAsia="zh-CN"/>
              </w:rPr>
              <w:t>并且</w:t>
            </w:r>
            <w:r>
              <w:rPr>
                <w:rFonts w:hint="eastAsia"/>
                <w:sz w:val="21"/>
              </w:rPr>
              <w:t>雪亮工程项目整体通过最终验收；检测</w:t>
            </w:r>
            <w:r>
              <w:rPr>
                <w:rFonts w:hint="eastAsia"/>
                <w:sz w:val="21"/>
                <w:lang w:eastAsia="zh-CN"/>
              </w:rPr>
              <w:t>服务</w:t>
            </w:r>
            <w:r>
              <w:rPr>
                <w:rFonts w:hint="eastAsia"/>
                <w:sz w:val="21"/>
              </w:rPr>
              <w:t>成果如不合格或</w:t>
            </w:r>
            <w:r>
              <w:rPr>
                <w:rFonts w:hint="eastAsia"/>
                <w:sz w:val="21"/>
                <w:lang w:eastAsia="zh-CN"/>
              </w:rPr>
              <w:t>雪亮工程</w:t>
            </w:r>
            <w:r>
              <w:rPr>
                <w:rFonts w:hint="eastAsia"/>
                <w:sz w:val="21"/>
              </w:rPr>
              <w:t>项目未达到验收条件，应当继续提供检测服务，直到检测</w:t>
            </w:r>
            <w:r>
              <w:rPr>
                <w:rFonts w:hint="eastAsia"/>
                <w:sz w:val="21"/>
                <w:lang w:eastAsia="zh-CN"/>
              </w:rPr>
              <w:t>服务</w:t>
            </w:r>
            <w:r>
              <w:rPr>
                <w:rFonts w:hint="eastAsia"/>
                <w:sz w:val="21"/>
              </w:rPr>
              <w:t>成果</w:t>
            </w:r>
            <w:r>
              <w:rPr>
                <w:rFonts w:hint="eastAsia"/>
                <w:sz w:val="21"/>
                <w:lang w:eastAsia="zh-CN"/>
              </w:rPr>
              <w:t>合格和雪亮工程</w:t>
            </w:r>
            <w:r>
              <w:rPr>
                <w:rFonts w:hint="eastAsia"/>
                <w:sz w:val="21"/>
              </w:rPr>
              <w:t>项目</w:t>
            </w:r>
            <w:r>
              <w:rPr>
                <w:rFonts w:hint="eastAsia"/>
                <w:sz w:val="21"/>
                <w:lang w:eastAsia="zh-CN"/>
              </w:rPr>
              <w:t>通过最终验收</w:t>
            </w:r>
            <w:r>
              <w:rPr>
                <w:rFonts w:hint="eastAsia"/>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rPr>
                <w:rFonts w:ascii="仿宋_GB2312" w:hAnsi="仿宋_GB2312" w:eastAsia="仿宋_GB2312" w:cs="仿宋_GB2312"/>
                <w:bCs/>
                <w:kern w:val="0"/>
                <w:sz w:val="24"/>
              </w:rPr>
            </w:pPr>
            <w:r>
              <w:rPr>
                <w:rFonts w:hint="eastAsia" w:ascii="仿宋_GB2312" w:hAnsi="仿宋_GB2312" w:eastAsia="仿宋_GB2312" w:cs="仿宋_GB2312"/>
                <w:bCs/>
                <w:kern w:val="0"/>
                <w:sz w:val="24"/>
              </w:rPr>
              <w:t>▲转包与分包</w:t>
            </w:r>
          </w:p>
        </w:tc>
        <w:tc>
          <w:tcPr>
            <w:tcW w:w="8660" w:type="dxa"/>
            <w:gridSpan w:val="4"/>
            <w:vAlign w:val="center"/>
          </w:tcPr>
          <w:p>
            <w:pPr>
              <w:pStyle w:val="15"/>
              <w:snapToGrid w:val="0"/>
              <w:spacing w:line="400" w:lineRule="exact"/>
              <w:outlineLvl w:val="0"/>
              <w:rPr>
                <w:sz w:val="21"/>
              </w:rPr>
            </w:pPr>
            <w:r>
              <w:rPr>
                <w:rFonts w:hint="eastAsia"/>
                <w:sz w:val="21"/>
              </w:rPr>
              <w:t>1、本项目不允许转包。</w:t>
            </w:r>
          </w:p>
          <w:p>
            <w:pPr>
              <w:pStyle w:val="15"/>
              <w:snapToGrid w:val="0"/>
              <w:spacing w:line="400" w:lineRule="exact"/>
              <w:outlineLvl w:val="0"/>
              <w:rPr>
                <w:sz w:val="21"/>
              </w:rPr>
            </w:pPr>
            <w:r>
              <w:rPr>
                <w:rFonts w:hint="eastAsia"/>
                <w:sz w:val="21"/>
              </w:rPr>
              <w:t>2、本项目不可以分包。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jc w:val="center"/>
              <w:rPr>
                <w:rFonts w:ascii="仿宋_GB2312" w:hAnsi="仿宋_GB2312" w:eastAsia="仿宋_GB2312" w:cs="仿宋_GB2312"/>
                <w:bCs/>
                <w:kern w:val="0"/>
                <w:sz w:val="24"/>
              </w:rPr>
            </w:pPr>
            <w:r>
              <w:rPr>
                <w:rFonts w:hint="eastAsia" w:ascii="仿宋" w:hAnsi="仿宋"/>
                <w:kern w:val="0"/>
                <w:szCs w:val="32"/>
              </w:rPr>
              <w:t>▲</w:t>
            </w:r>
            <w:r>
              <w:rPr>
                <w:rFonts w:hint="eastAsia" w:ascii="仿宋_GB2312" w:hAnsi="仿宋_GB2312" w:eastAsia="仿宋_GB2312" w:cs="仿宋_GB2312"/>
                <w:bCs/>
                <w:kern w:val="0"/>
                <w:sz w:val="24"/>
              </w:rPr>
              <w:t>付款条件</w:t>
            </w:r>
          </w:p>
        </w:tc>
        <w:tc>
          <w:tcPr>
            <w:tcW w:w="8660" w:type="dxa"/>
            <w:gridSpan w:val="4"/>
            <w:vAlign w:val="center"/>
          </w:tcPr>
          <w:p>
            <w:pPr>
              <w:pStyle w:val="15"/>
              <w:snapToGrid w:val="0"/>
              <w:spacing w:line="400" w:lineRule="exact"/>
              <w:outlineLvl w:val="0"/>
              <w:rPr>
                <w:sz w:val="21"/>
              </w:rPr>
            </w:pPr>
            <w:r>
              <w:rPr>
                <w:rFonts w:hint="eastAsia"/>
                <w:sz w:val="21"/>
              </w:rPr>
              <w:t>采用分期付款方式：</w:t>
            </w:r>
            <w:r>
              <w:rPr>
                <w:sz w:val="21"/>
              </w:rPr>
              <w:t xml:space="preserve"> </w:t>
            </w:r>
          </w:p>
          <w:p>
            <w:pPr>
              <w:pStyle w:val="15"/>
              <w:snapToGrid w:val="0"/>
              <w:spacing w:line="400" w:lineRule="exact"/>
              <w:outlineLvl w:val="0"/>
              <w:rPr>
                <w:sz w:val="21"/>
              </w:rPr>
            </w:pPr>
            <w:r>
              <w:rPr>
                <w:rFonts w:hint="eastAsia"/>
                <w:sz w:val="21"/>
              </w:rPr>
              <w:t>第一期：成交人完成采购</w:t>
            </w:r>
            <w:r>
              <w:rPr>
                <w:rFonts w:hint="eastAsia"/>
                <w:sz w:val="21"/>
                <w:lang w:eastAsia="zh-CN"/>
              </w:rPr>
              <w:t>人</w:t>
            </w:r>
            <w:r>
              <w:rPr>
                <w:rFonts w:hint="eastAsia"/>
                <w:sz w:val="21"/>
              </w:rPr>
              <w:t>认可的测评工作方案、测评用例编制等材料编制，并实际进入测试阶段，采购人向成交人支付合同金额50%的合同款项；</w:t>
            </w:r>
          </w:p>
          <w:p>
            <w:pPr>
              <w:pStyle w:val="15"/>
              <w:snapToGrid w:val="0"/>
              <w:spacing w:line="400" w:lineRule="exact"/>
              <w:outlineLvl w:val="0"/>
              <w:rPr>
                <w:sz w:val="21"/>
              </w:rPr>
            </w:pPr>
            <w:r>
              <w:rPr>
                <w:rFonts w:hint="eastAsia"/>
                <w:sz w:val="21"/>
              </w:rPr>
              <w:t>第二期：提交受到采购人认可、符合要求的测评报告后，采购人向成交人支付剩余50%的合同款项。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194" w:type="dxa"/>
            <w:gridSpan w:val="2"/>
            <w:vAlign w:val="center"/>
          </w:tcPr>
          <w:p>
            <w:pPr>
              <w:spacing w:line="400" w:lineRule="exact"/>
              <w:jc w:val="center"/>
              <w:rPr>
                <w:rFonts w:ascii="仿宋_GB2312" w:eastAsia="仿宋_GB2312"/>
                <w:b/>
                <w:sz w:val="24"/>
              </w:rPr>
            </w:pPr>
            <w:r>
              <w:rPr>
                <w:rFonts w:hint="eastAsia" w:ascii="仿宋" w:hAnsi="仿宋"/>
                <w:kern w:val="0"/>
                <w:szCs w:val="32"/>
              </w:rPr>
              <w:t>▲</w:t>
            </w:r>
            <w:r>
              <w:rPr>
                <w:rFonts w:hint="eastAsia" w:ascii="仿宋_GB2312" w:hAnsi="仿宋_GB2312" w:eastAsia="仿宋_GB2312" w:cs="仿宋_GB2312"/>
                <w:bCs/>
                <w:kern w:val="0"/>
                <w:sz w:val="24"/>
              </w:rPr>
              <w:t>其他要求</w:t>
            </w:r>
          </w:p>
        </w:tc>
        <w:tc>
          <w:tcPr>
            <w:tcW w:w="8660" w:type="dxa"/>
            <w:gridSpan w:val="4"/>
            <w:vAlign w:val="center"/>
          </w:tcPr>
          <w:p>
            <w:pPr>
              <w:pStyle w:val="15"/>
              <w:snapToGrid w:val="0"/>
              <w:spacing w:line="400" w:lineRule="exact"/>
              <w:outlineLvl w:val="0"/>
              <w:rPr>
                <w:sz w:val="21"/>
              </w:rPr>
            </w:pPr>
            <w:r>
              <w:rPr>
                <w:rFonts w:hint="eastAsia"/>
                <w:sz w:val="21"/>
              </w:rPr>
              <w:t>1.在服务期间，若由于供应商自身技术不足或违规操作等原因造成的数据丢失、设备损坏等，须承担相应的责任。</w:t>
            </w:r>
          </w:p>
          <w:p>
            <w:pPr>
              <w:pStyle w:val="15"/>
              <w:snapToGrid w:val="0"/>
              <w:spacing w:line="400" w:lineRule="exact"/>
              <w:outlineLvl w:val="0"/>
              <w:rPr>
                <w:sz w:val="21"/>
              </w:rPr>
            </w:pPr>
            <w:r>
              <w:rPr>
                <w:rFonts w:hint="eastAsia"/>
                <w:sz w:val="21"/>
              </w:rPr>
              <w:t>2.成交供应商不得以任何形式向第三方人员提供项目相关文件及所附的有关资料，如违反，必须赔偿采购人的所有损失，且采购人保留追究法律责任的权力。</w:t>
            </w:r>
          </w:p>
          <w:p>
            <w:pPr>
              <w:pStyle w:val="15"/>
              <w:snapToGrid w:val="0"/>
              <w:spacing w:line="400" w:lineRule="exact"/>
              <w:outlineLvl w:val="0"/>
              <w:rPr>
                <w:sz w:val="21"/>
              </w:rPr>
            </w:pPr>
            <w:r>
              <w:rPr>
                <w:rFonts w:hint="eastAsia"/>
                <w:sz w:val="21"/>
              </w:rPr>
              <w:t>3.项目实施保密要求，中标方应承诺：</w:t>
            </w:r>
          </w:p>
          <w:p>
            <w:pPr>
              <w:pStyle w:val="15"/>
              <w:snapToGrid w:val="0"/>
              <w:spacing w:line="400" w:lineRule="exact"/>
              <w:outlineLvl w:val="0"/>
              <w:rPr>
                <w:sz w:val="21"/>
              </w:rPr>
            </w:pPr>
            <w:r>
              <w:rPr>
                <w:rFonts w:hint="eastAsia"/>
                <w:sz w:val="21"/>
              </w:rPr>
              <w:t>1）中标方加强内部保密和信息安全管理，因中标方造成的数据泄密、网络与信息安全问题，由中标方承担所有责任。</w:t>
            </w:r>
          </w:p>
          <w:p>
            <w:pPr>
              <w:pStyle w:val="15"/>
              <w:snapToGrid w:val="0"/>
              <w:spacing w:line="400" w:lineRule="exact"/>
              <w:outlineLvl w:val="0"/>
              <w:rPr>
                <w:sz w:val="21"/>
              </w:rPr>
            </w:pPr>
            <w:r>
              <w:rPr>
                <w:rFonts w:hint="eastAsia"/>
                <w:sz w:val="21"/>
              </w:rPr>
              <w:t>2）中标方和采购方签署保密协议,对中标方在项目实施过程中获得的项目相关信息承担保密责任，对项目实施过程中涉及的信息和数据要求进行保护，因中标方造成泄密、网络与信息安全问题的，由中标方承担所有责任。</w:t>
            </w:r>
          </w:p>
          <w:p>
            <w:pPr>
              <w:pStyle w:val="15"/>
              <w:snapToGrid w:val="0"/>
              <w:spacing w:line="400" w:lineRule="exact"/>
              <w:outlineLvl w:val="0"/>
              <w:rPr>
                <w:sz w:val="21"/>
              </w:rPr>
            </w:pPr>
            <w:r>
              <w:rPr>
                <w:rFonts w:hint="eastAsia"/>
                <w:sz w:val="21"/>
              </w:rPr>
              <w:t>3）本项目中所获取的相关信息和产生的报告，必须提供给采购单位指定人员，不得随意扩散。</w:t>
            </w:r>
          </w:p>
          <w:p>
            <w:pPr>
              <w:pStyle w:val="15"/>
              <w:snapToGrid w:val="0"/>
              <w:spacing w:line="400" w:lineRule="exact"/>
              <w:outlineLvl w:val="0"/>
              <w:rPr>
                <w:sz w:val="21"/>
              </w:rPr>
            </w:pPr>
            <w:r>
              <w:rPr>
                <w:sz w:val="21"/>
              </w:rPr>
              <w:t>4</w:t>
            </w:r>
            <w:r>
              <w:rPr>
                <w:rFonts w:hint="eastAsia"/>
                <w:sz w:val="21"/>
              </w:rPr>
              <w:t>）数据安全及保密要求：中标方在项目服务过程中，必须对本项目所有项目信息以及接触到数据予以保密，未经采购人书面许可，中标方不得以任何形式向第三方透露的关于本项目的任何内容或数据。</w:t>
            </w:r>
          </w:p>
          <w:p>
            <w:pPr>
              <w:pStyle w:val="15"/>
              <w:snapToGrid w:val="0"/>
              <w:spacing w:line="400" w:lineRule="exact"/>
              <w:outlineLvl w:val="0"/>
              <w:rPr>
                <w:sz w:val="21"/>
              </w:rPr>
            </w:pPr>
            <w:r>
              <w:rPr>
                <w:sz w:val="21"/>
              </w:rPr>
              <w:t>5</w:t>
            </w:r>
            <w:r>
              <w:rPr>
                <w:rFonts w:hint="eastAsia"/>
                <w:sz w:val="21"/>
              </w:rPr>
              <w:t>）中标方若有失密、泄密和其他违法违规行为，中标方承担所有经济、法律责任。</w:t>
            </w:r>
          </w:p>
        </w:tc>
      </w:tr>
      <w:bookmarkEnd w:id="3"/>
      <w:bookmarkEnd w:id="4"/>
    </w:tbl>
    <w:p>
      <w:pPr>
        <w:rPr>
          <w:rFonts w:ascii="宋体" w:hAnsi="宋体" w:cs="宋体"/>
          <w:sz w:val="24"/>
        </w:rPr>
      </w:pPr>
    </w:p>
    <w:p>
      <w:pPr>
        <w:pStyle w:val="2"/>
      </w:pPr>
      <w:r>
        <w:br w:type="page"/>
      </w:r>
    </w:p>
    <w:p>
      <w:pPr>
        <w:rPr>
          <w:rFonts w:ascii="宋体" w:hAnsi="宋体" w:cs="宋体"/>
          <w:sz w:val="24"/>
        </w:rPr>
      </w:pPr>
    </w:p>
    <w:p>
      <w:pPr>
        <w:spacing w:line="500" w:lineRule="exact"/>
        <w:jc w:val="center"/>
        <w:outlineLvl w:val="0"/>
        <w:rPr>
          <w:rFonts w:ascii="宋体" w:hAnsi="宋体"/>
          <w:b/>
          <w:sz w:val="32"/>
          <w:szCs w:val="32"/>
        </w:rPr>
      </w:pPr>
      <w:r>
        <w:rPr>
          <w:rFonts w:hint="eastAsia" w:ascii="宋体" w:hAnsi="宋体"/>
          <w:b/>
          <w:sz w:val="28"/>
          <w:szCs w:val="32"/>
        </w:rPr>
        <w:t>第四章 评审办法及成交标准</w:t>
      </w:r>
    </w:p>
    <w:p>
      <w:pPr>
        <w:spacing w:before="72" w:beforeLines="30" w:after="72" w:afterLines="30"/>
        <w:ind w:firstLine="481" w:firstLineChars="200"/>
        <w:jc w:val="center"/>
        <w:rPr>
          <w:b/>
          <w:sz w:val="24"/>
        </w:rPr>
      </w:pPr>
      <w:r>
        <w:rPr>
          <w:rFonts w:hint="eastAsia" w:ascii="宋体" w:hAnsi="Courier New"/>
          <w:b/>
          <w:kern w:val="0"/>
          <w:sz w:val="24"/>
        </w:rPr>
        <w:t>综合评分法</w:t>
      </w:r>
    </w:p>
    <w:p>
      <w:pPr>
        <w:pStyle w:val="15"/>
        <w:spacing w:line="400" w:lineRule="exact"/>
        <w:ind w:firstLine="481" w:firstLineChars="200"/>
        <w:outlineLvl w:val="0"/>
        <w:rPr>
          <w:rFonts w:hAnsi="宋体" w:cs="宋体"/>
          <w:b/>
          <w:bCs/>
          <w:sz w:val="24"/>
          <w:szCs w:val="24"/>
        </w:rPr>
      </w:pPr>
      <w:r>
        <w:rPr>
          <w:rFonts w:hint="eastAsia" w:hAnsi="宋体" w:cs="宋体"/>
          <w:b/>
          <w:bCs/>
          <w:sz w:val="24"/>
          <w:szCs w:val="24"/>
        </w:rPr>
        <w:t>一、评审原则</w:t>
      </w:r>
    </w:p>
    <w:p>
      <w:pPr>
        <w:pStyle w:val="15"/>
        <w:spacing w:line="400" w:lineRule="exact"/>
        <w:ind w:firstLine="480" w:firstLineChars="200"/>
        <w:rPr>
          <w:rFonts w:hAnsi="宋体" w:cs="宋体"/>
          <w:sz w:val="24"/>
          <w:szCs w:val="24"/>
        </w:rPr>
      </w:pPr>
      <w:r>
        <w:rPr>
          <w:rFonts w:hint="eastAsia" w:hAnsi="宋体" w:cs="宋体"/>
          <w:sz w:val="24"/>
          <w:szCs w:val="24"/>
        </w:rPr>
        <w:t>(一)评审小组构成：本项目的评审小组由采购人单位采购小组成员组成，成员人数应当为三人以上（含三人）单数。</w:t>
      </w:r>
    </w:p>
    <w:p>
      <w:pPr>
        <w:pStyle w:val="15"/>
        <w:spacing w:line="400" w:lineRule="exact"/>
        <w:ind w:firstLine="480" w:firstLineChars="200"/>
        <w:rPr>
          <w:rFonts w:hAnsi="宋体" w:cs="宋体"/>
          <w:sz w:val="24"/>
          <w:szCs w:val="24"/>
        </w:rPr>
      </w:pPr>
      <w:r>
        <w:rPr>
          <w:rFonts w:hint="eastAsia" w:hAnsi="宋体" w:cs="宋体"/>
          <w:sz w:val="24"/>
          <w:szCs w:val="24"/>
        </w:rPr>
        <w:t>(二)评审依据：评审小组将以采购文件和响应文件为评定依据进行评审。</w:t>
      </w:r>
    </w:p>
    <w:p>
      <w:pPr>
        <w:pStyle w:val="15"/>
        <w:spacing w:line="400" w:lineRule="exact"/>
        <w:ind w:firstLine="480" w:firstLineChars="200"/>
        <w:rPr>
          <w:rFonts w:hAnsi="宋体" w:cs="宋体"/>
          <w:sz w:val="24"/>
          <w:szCs w:val="24"/>
        </w:rPr>
      </w:pPr>
      <w:r>
        <w:rPr>
          <w:rFonts w:hint="eastAsia" w:hAnsi="宋体" w:cs="宋体"/>
          <w:sz w:val="24"/>
          <w:szCs w:val="24"/>
        </w:rPr>
        <w:t>(三)评审办法：采用百分制综合评分法。</w:t>
      </w:r>
    </w:p>
    <w:p>
      <w:pPr>
        <w:pStyle w:val="15"/>
        <w:spacing w:line="400" w:lineRule="exact"/>
        <w:ind w:firstLine="481" w:firstLineChars="200"/>
        <w:outlineLvl w:val="0"/>
        <w:rPr>
          <w:rFonts w:hAnsi="宋体" w:cs="宋体"/>
          <w:b/>
          <w:bCs/>
          <w:sz w:val="24"/>
          <w:szCs w:val="24"/>
        </w:rPr>
      </w:pPr>
      <w:r>
        <w:rPr>
          <w:rFonts w:hint="eastAsia" w:hAnsi="宋体" w:cs="宋体"/>
          <w:b/>
          <w:bCs/>
          <w:sz w:val="24"/>
          <w:szCs w:val="24"/>
        </w:rPr>
        <w:t>二、评审方法</w:t>
      </w:r>
    </w:p>
    <w:p>
      <w:pPr>
        <w:pStyle w:val="15"/>
        <w:spacing w:line="400" w:lineRule="exact"/>
        <w:ind w:firstLine="480" w:firstLineChars="200"/>
        <w:rPr>
          <w:rFonts w:hAnsi="宋体" w:cs="宋体"/>
          <w:sz w:val="24"/>
          <w:szCs w:val="24"/>
        </w:rPr>
      </w:pPr>
      <w:r>
        <w:rPr>
          <w:rFonts w:hint="eastAsia" w:hAnsi="宋体" w:cs="宋体"/>
          <w:sz w:val="24"/>
          <w:szCs w:val="24"/>
        </w:rPr>
        <w:t>评审小组会对报价人的响应文件资格性和符合性进行检查，对合格的响应文件，采用</w:t>
      </w:r>
      <w:r>
        <w:rPr>
          <w:rFonts w:hint="eastAsia" w:hAnsi="宋体" w:cs="宋体"/>
          <w:sz w:val="24"/>
        </w:rPr>
        <w:t>百分制综合评分法</w:t>
      </w:r>
      <w:r>
        <w:rPr>
          <w:rFonts w:hint="eastAsia" w:hAnsi="宋体" w:cs="宋体"/>
          <w:sz w:val="24"/>
          <w:szCs w:val="24"/>
        </w:rPr>
        <w:t>进行评审。</w:t>
      </w:r>
    </w:p>
    <w:p>
      <w:pPr>
        <w:pStyle w:val="15"/>
        <w:spacing w:line="400" w:lineRule="exact"/>
        <w:ind w:firstLine="480" w:firstLineChars="200"/>
        <w:rPr>
          <w:rFonts w:hAnsi="宋体" w:cs="宋体"/>
          <w:sz w:val="24"/>
          <w:szCs w:val="24"/>
        </w:rPr>
      </w:pPr>
      <w:r>
        <w:rPr>
          <w:rFonts w:hint="eastAsia" w:hAnsi="宋体" w:cs="宋体"/>
          <w:sz w:val="24"/>
        </w:rPr>
        <w:t>评审小组将以采购文件、响应文件为评审依据，提出最后总得分最高的报价人作为成交人</w:t>
      </w:r>
      <w:r>
        <w:rPr>
          <w:rFonts w:hint="eastAsia" w:hAnsi="宋体" w:cs="宋体"/>
          <w:sz w:val="24"/>
          <w:szCs w:val="24"/>
        </w:rPr>
        <w:t>。</w:t>
      </w:r>
    </w:p>
    <w:p>
      <w:pPr>
        <w:pStyle w:val="15"/>
        <w:spacing w:line="400" w:lineRule="exact"/>
        <w:ind w:firstLine="481" w:firstLineChars="200"/>
        <w:rPr>
          <w:rFonts w:hAnsi="宋体" w:cs="宋体"/>
          <w:b/>
          <w:bCs/>
          <w:sz w:val="24"/>
          <w:szCs w:val="24"/>
        </w:rPr>
      </w:pPr>
      <w:r>
        <w:rPr>
          <w:rFonts w:hint="eastAsia" w:hAnsi="宋体" w:cs="宋体"/>
          <w:b/>
          <w:bCs/>
          <w:sz w:val="24"/>
          <w:szCs w:val="24"/>
        </w:rPr>
        <w:t>三、评分细则</w:t>
      </w:r>
      <w:r>
        <w:rPr>
          <w:rFonts w:hint="eastAsia" w:hAnsi="宋体" w:cs="宋体"/>
          <w:kern w:val="2"/>
          <w:sz w:val="24"/>
          <w:szCs w:val="24"/>
        </w:rPr>
        <w:t>（按四舍五入取至百分位）</w:t>
      </w:r>
    </w:p>
    <w:p>
      <w:pPr>
        <w:pStyle w:val="26"/>
        <w:widowControl w:val="0"/>
        <w:spacing w:before="0" w:beforeAutospacing="0" w:after="0" w:afterAutospacing="0" w:line="400" w:lineRule="exact"/>
        <w:ind w:firstLine="481" w:firstLineChars="200"/>
        <w:jc w:val="both"/>
        <w:rPr>
          <w:rFonts w:hint="default" w:cs="宋体"/>
        </w:rPr>
      </w:pPr>
      <w:r>
        <w:rPr>
          <w:rFonts w:cs="宋体"/>
          <w:b/>
        </w:rPr>
        <w:t>1.价格分</w:t>
      </w:r>
      <w:r>
        <w:rPr>
          <w:rFonts w:cs="宋体"/>
          <w:bCs/>
        </w:rPr>
        <w:t>……………………………………………………………………</w:t>
      </w:r>
      <w:r>
        <w:rPr>
          <w:rFonts w:cs="宋体"/>
          <w:b/>
        </w:rPr>
        <w:t>10分</w:t>
      </w:r>
    </w:p>
    <w:p>
      <w:pPr>
        <w:pStyle w:val="26"/>
        <w:widowControl w:val="0"/>
        <w:spacing w:before="0" w:beforeAutospacing="0" w:after="0" w:afterAutospacing="0" w:line="400" w:lineRule="exact"/>
        <w:ind w:firstLine="420"/>
        <w:jc w:val="both"/>
        <w:rPr>
          <w:rFonts w:hint="default" w:cs="宋体"/>
          <w:bCs/>
        </w:rPr>
      </w:pPr>
      <w:r>
        <w:rPr>
          <w:rFonts w:cs="宋体"/>
          <w:bCs/>
        </w:rPr>
        <w:t>(1) 按照《政府采购促进中小企业发展管理办法》（财库〔2020〕46号）的规定，投标人在其投标文件中提供《中小企业声明函》，且其服务为小型和微型企业承接的，对其最后报价给予10%的扣除，扣除后的价格为评标报价，即评标报价=投标价×（1-10%）；除上述情况外，评标报价=投标价。</w:t>
      </w:r>
    </w:p>
    <w:p>
      <w:pPr>
        <w:pStyle w:val="26"/>
        <w:widowControl w:val="0"/>
        <w:spacing w:before="0" w:beforeAutospacing="0" w:after="0" w:afterAutospacing="0" w:line="400" w:lineRule="exact"/>
        <w:ind w:firstLine="420"/>
        <w:jc w:val="both"/>
        <w:rPr>
          <w:rFonts w:hint="default" w:cs="宋体"/>
          <w:bCs/>
        </w:rPr>
      </w:pPr>
      <w:r>
        <w:rPr>
          <w:rFonts w:cs="宋体"/>
          <w:bCs/>
        </w:rPr>
        <w:t>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6"/>
        <w:widowControl w:val="0"/>
        <w:spacing w:before="0" w:beforeAutospacing="0" w:after="0" w:afterAutospacing="0" w:line="400" w:lineRule="exact"/>
        <w:ind w:firstLine="420"/>
        <w:jc w:val="both"/>
        <w:rPr>
          <w:rFonts w:hint="default" w:cs="宋体"/>
          <w:bCs/>
        </w:rPr>
      </w:pPr>
      <w:r>
        <w:rPr>
          <w:rFonts w:cs="宋体"/>
          <w:bCs/>
        </w:rPr>
        <w:t>（2）以进入综合评分环节的最低报价为评标基准价。</w:t>
      </w:r>
    </w:p>
    <w:p>
      <w:pPr>
        <w:pStyle w:val="26"/>
        <w:widowControl w:val="0"/>
        <w:spacing w:before="0" w:beforeAutospacing="0" w:after="0" w:afterAutospacing="0" w:line="400" w:lineRule="exact"/>
        <w:ind w:firstLine="3360" w:firstLineChars="1400"/>
        <w:jc w:val="both"/>
        <w:rPr>
          <w:rFonts w:hint="default" w:cs="宋体"/>
          <w:bCs/>
        </w:rPr>
      </w:pPr>
      <w:r>
        <w:rPr>
          <w:rFonts w:cs="宋体"/>
          <w:bCs/>
        </w:rPr>
        <w:t xml:space="preserve">评标基准价（元）          </w:t>
      </w:r>
    </w:p>
    <w:p>
      <w:pPr>
        <w:pStyle w:val="26"/>
        <w:widowControl w:val="0"/>
        <w:spacing w:before="0" w:beforeAutospacing="0" w:after="0" w:afterAutospacing="0" w:line="400" w:lineRule="exact"/>
        <w:ind w:firstLine="420"/>
        <w:jc w:val="both"/>
        <w:rPr>
          <w:rFonts w:hint="default" w:cs="宋体"/>
          <w:bCs/>
        </w:rPr>
      </w:pPr>
      <w:r>
        <w:rPr>
          <w:rFonts w:hint="default" w:cs="宋体"/>
        </w:rPr>
        <mc:AlternateContent>
          <mc:Choice Requires="wps">
            <w:drawing>
              <wp:anchor distT="0" distB="0" distL="114300" distR="114300" simplePos="0" relativeHeight="251659264" behindDoc="0" locked="0" layoutInCell="1" allowOverlap="1">
                <wp:simplePos x="0" y="0"/>
                <wp:positionH relativeFrom="column">
                  <wp:posOffset>1882140</wp:posOffset>
                </wp:positionH>
                <wp:positionV relativeFrom="paragraph">
                  <wp:posOffset>67310</wp:posOffset>
                </wp:positionV>
                <wp:extent cx="1600200" cy="9525"/>
                <wp:effectExtent l="0" t="4445" r="0" b="8890"/>
                <wp:wrapNone/>
                <wp:docPr id="1" name="直线 3"/>
                <wp:cNvGraphicFramePr/>
                <a:graphic xmlns:a="http://schemas.openxmlformats.org/drawingml/2006/main">
                  <a:graphicData uri="http://schemas.microsoft.com/office/word/2010/wordprocessingShape">
                    <wps:wsp>
                      <wps:cNvCnPr/>
                      <wps:spPr>
                        <a:xfrm flipV="1">
                          <a:off x="0" y="0"/>
                          <a:ext cx="1600200" cy="9525"/>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直线 3" o:spid="_x0000_s1026" o:spt="20" style="position:absolute;left:0pt;flip:y;margin-left:148.2pt;margin-top:5.3pt;height:0.75pt;width:126pt;z-index:251659264;mso-width-relative:page;mso-height-relative:page;" filled="f" stroked="t" coordsize="21600,21600" o:gfxdata="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SNlog1QAAAAkBAAAPAAAAAAAAAAEA&#10;IAAAACIAAABkcnMvZG93bnJldi54bWxQSwECFAAUAAAACACHTuJA98yk/dkBAACoAwAADgAAAAAA&#10;AAABACAAAAAkAQAAZHJzL2Uyb0RvYy54bWxQSwUGAAAAAAYABgBZAQAAbwUAAAAA&#10;">
                <v:fill on="f" focussize="0,0"/>
                <v:stroke weight="0.25pt" color="#000000" joinstyle="round"/>
                <v:imagedata o:title=""/>
                <o:lock v:ext="edit" aspectratio="f"/>
              </v:line>
            </w:pict>
          </mc:Fallback>
        </mc:AlternateContent>
      </w:r>
      <w:r>
        <w:rPr>
          <w:rFonts w:cs="宋体"/>
          <w:bCs/>
        </w:rPr>
        <w:t>（3）某报价人价格分 =                        ×10分</w:t>
      </w:r>
    </w:p>
    <w:p>
      <w:pPr>
        <w:spacing w:line="400" w:lineRule="exact"/>
        <w:textAlignment w:val="baseline"/>
        <w:rPr>
          <w:rFonts w:ascii="宋体" w:hAnsi="宋体" w:cs="宋体"/>
          <w:bCs/>
          <w:sz w:val="24"/>
        </w:rPr>
      </w:pPr>
      <w:r>
        <w:rPr>
          <w:rFonts w:hint="eastAsia" w:ascii="宋体" w:hAnsi="宋体" w:cs="宋体"/>
          <w:bCs/>
          <w:sz w:val="24"/>
        </w:rPr>
        <w:t xml:space="preserve">                           某报价人评标报价（元）</w:t>
      </w:r>
    </w:p>
    <w:p>
      <w:pPr>
        <w:pStyle w:val="26"/>
        <w:widowControl w:val="0"/>
        <w:spacing w:before="0" w:beforeAutospacing="0" w:after="0" w:afterAutospacing="0" w:line="400" w:lineRule="exact"/>
        <w:ind w:firstLine="481" w:firstLineChars="200"/>
        <w:jc w:val="both"/>
        <w:rPr>
          <w:rFonts w:hint="default" w:cs="宋体"/>
          <w:b/>
        </w:rPr>
      </w:pPr>
      <w:r>
        <w:rPr>
          <w:rFonts w:cs="宋体"/>
          <w:b/>
        </w:rPr>
        <w:t>2.技术分……………………………………………………………………50分</w:t>
      </w:r>
    </w:p>
    <w:p>
      <w:pPr>
        <w:pStyle w:val="26"/>
        <w:widowControl w:val="0"/>
        <w:spacing w:before="0" w:beforeAutospacing="0" w:after="0" w:afterAutospacing="0" w:line="400" w:lineRule="exact"/>
        <w:ind w:firstLine="420"/>
        <w:jc w:val="both"/>
        <w:rPr>
          <w:rFonts w:hint="default" w:cs="宋体"/>
          <w:bCs/>
        </w:rPr>
      </w:pPr>
      <w:r>
        <w:rPr>
          <w:rFonts w:cs="宋体"/>
          <w:bCs/>
        </w:rPr>
        <w:t>（1）服务解决方案（满分30分）</w:t>
      </w:r>
    </w:p>
    <w:p>
      <w:pPr>
        <w:pStyle w:val="26"/>
        <w:widowControl w:val="0"/>
        <w:spacing w:before="0" w:beforeAutospacing="0" w:after="0" w:afterAutospacing="0" w:line="400" w:lineRule="exact"/>
        <w:ind w:firstLine="420"/>
        <w:jc w:val="both"/>
        <w:rPr>
          <w:rFonts w:hint="default" w:cs="宋体"/>
          <w:bCs/>
        </w:rPr>
      </w:pPr>
      <w:r>
        <w:rPr>
          <w:rFonts w:cs="宋体"/>
          <w:bCs/>
        </w:rPr>
        <w:t>由评委在打分前根据投标人的投标文件中服务方案（软件测评流程及完整解决方案、项目人力资源配置、软硬件及设备配置、项目计划等）优劣程度集体讨论确定投标人所属档次后，由评委在相应档次内独立打分。</w:t>
      </w:r>
    </w:p>
    <w:p>
      <w:pPr>
        <w:pStyle w:val="26"/>
        <w:widowControl w:val="0"/>
        <w:spacing w:before="0" w:beforeAutospacing="0" w:after="0" w:afterAutospacing="0" w:line="400" w:lineRule="exact"/>
        <w:ind w:firstLine="420"/>
        <w:jc w:val="both"/>
        <w:rPr>
          <w:rFonts w:hint="default" w:cs="宋体"/>
          <w:bCs/>
        </w:rPr>
      </w:pPr>
      <w:r>
        <w:rPr>
          <w:rFonts w:cs="宋体"/>
          <w:bCs/>
        </w:rPr>
        <w:t>一档（10分）：对本项目需求理解基本符合要求，需求分析较简单，提供的软件测评方案基本满足招标文件要求，提供基本的软件测评流程介绍；第三方软件测评服务的工作步骤和流程满足国家标准的基本要求，方案一般达到基本要求。</w:t>
      </w:r>
    </w:p>
    <w:p>
      <w:pPr>
        <w:pStyle w:val="26"/>
        <w:widowControl w:val="0"/>
        <w:spacing w:before="0" w:beforeAutospacing="0" w:after="0" w:afterAutospacing="0" w:line="400" w:lineRule="exact"/>
        <w:ind w:firstLine="420"/>
        <w:jc w:val="both"/>
        <w:rPr>
          <w:rFonts w:hint="default" w:cs="宋体"/>
          <w:bCs/>
        </w:rPr>
      </w:pPr>
      <w:r>
        <w:rPr>
          <w:rFonts w:cs="宋体"/>
          <w:bCs/>
        </w:rPr>
        <w:t>二档（20分）：对本项目需求理解正确，对招标人的需求分析比较完整、逻辑清晰，技术方案基本满足招标文件要求，方案提供软件测评的总体目标、技术流程、环境要求等，满足项目实际的要求，并能提供详细的软件测评过程介绍；软件测评方案满足国家标准要求，区分不同类型软件系统的测评工作步骤，测评方案详实，方案良好满足实际需要。</w:t>
      </w:r>
    </w:p>
    <w:p>
      <w:pPr>
        <w:pStyle w:val="26"/>
        <w:widowControl w:val="0"/>
        <w:spacing w:before="0" w:beforeAutospacing="0" w:after="0" w:afterAutospacing="0" w:line="400" w:lineRule="exact"/>
        <w:ind w:firstLine="420"/>
        <w:jc w:val="both"/>
        <w:rPr>
          <w:rFonts w:hint="default" w:cs="宋体"/>
          <w:bCs/>
        </w:rPr>
      </w:pPr>
      <w:r>
        <w:rPr>
          <w:rFonts w:cs="宋体"/>
          <w:bCs/>
        </w:rPr>
        <w:t>三档（30分）：对本项目需求理解正确，对招标人的需求分析非常完整、透彻、逻辑清晰；提供的技术方案完全满足招标文件要求，方案提供软件测评的总体目标、技术流程、环境要求等，对整个软件测评的流程和使用方法、工具描述非常详细；软件测评方案结构清晰、科学合理，能够包含各种系统软件测评流程及完整解决方案、项目实施方案、质量保障方案、安全与保密方案等，且投标人具备优秀的系统服务能力以及提供关键性技术支撑。</w:t>
      </w:r>
    </w:p>
    <w:p>
      <w:pPr>
        <w:pStyle w:val="26"/>
        <w:widowControl w:val="0"/>
        <w:spacing w:before="0" w:beforeAutospacing="0" w:after="0" w:afterAutospacing="0" w:line="400" w:lineRule="exact"/>
        <w:ind w:firstLine="420"/>
        <w:jc w:val="both"/>
        <w:rPr>
          <w:rFonts w:hint="default" w:cs="宋体"/>
          <w:bCs/>
        </w:rPr>
      </w:pPr>
      <w:r>
        <w:rPr>
          <w:rFonts w:cs="宋体"/>
          <w:bCs/>
        </w:rPr>
        <w:t>（2）服务质量分（满分20分）</w:t>
      </w:r>
    </w:p>
    <w:p>
      <w:pPr>
        <w:pStyle w:val="26"/>
        <w:widowControl w:val="0"/>
        <w:spacing w:before="0" w:beforeAutospacing="0" w:after="0" w:afterAutospacing="0" w:line="400" w:lineRule="exact"/>
        <w:ind w:firstLine="420"/>
        <w:jc w:val="both"/>
        <w:rPr>
          <w:rFonts w:hint="default" w:cs="宋体"/>
          <w:bCs/>
        </w:rPr>
      </w:pPr>
      <w:r>
        <w:rPr>
          <w:rFonts w:cs="宋体"/>
          <w:bCs/>
        </w:rPr>
        <w:t>质量方案：质量服务内容的完整性、可行性，且优于招标文件质量服务要求的，综合评定其档次并在相应档次内独立打分。</w:t>
      </w:r>
    </w:p>
    <w:p>
      <w:pPr>
        <w:pStyle w:val="26"/>
        <w:widowControl w:val="0"/>
        <w:spacing w:before="0" w:beforeAutospacing="0" w:after="0" w:afterAutospacing="0" w:line="400" w:lineRule="exact"/>
        <w:ind w:firstLine="420"/>
        <w:jc w:val="both"/>
        <w:rPr>
          <w:rFonts w:hint="default" w:cs="宋体"/>
          <w:bCs/>
        </w:rPr>
      </w:pPr>
      <w:r>
        <w:rPr>
          <w:rFonts w:cs="宋体"/>
          <w:bCs/>
        </w:rPr>
        <w:t>一档（10分）：质量服务方案仅满足招标文件要求；</w:t>
      </w:r>
    </w:p>
    <w:p>
      <w:pPr>
        <w:pStyle w:val="26"/>
        <w:widowControl w:val="0"/>
        <w:spacing w:before="0" w:beforeAutospacing="0" w:after="0" w:afterAutospacing="0" w:line="400" w:lineRule="exact"/>
        <w:ind w:firstLine="420"/>
        <w:jc w:val="both"/>
        <w:rPr>
          <w:rFonts w:hint="default" w:cs="宋体"/>
          <w:bCs/>
        </w:rPr>
      </w:pPr>
      <w:r>
        <w:rPr>
          <w:rFonts w:cs="宋体"/>
          <w:bCs/>
        </w:rPr>
        <w:t>二档（15分）：满足招标文件质量服务要求，能够提供良好的服务响应，并针对本次服务提供良好的服务技术支持、服务保障方案、故障处理方案及应急预案等。</w:t>
      </w:r>
    </w:p>
    <w:p>
      <w:pPr>
        <w:pStyle w:val="26"/>
        <w:widowControl w:val="0"/>
        <w:spacing w:before="0" w:beforeAutospacing="0" w:after="0" w:afterAutospacing="0" w:line="400" w:lineRule="exact"/>
        <w:ind w:firstLine="420"/>
        <w:jc w:val="both"/>
        <w:rPr>
          <w:rFonts w:hint="default" w:cs="宋体"/>
          <w:bCs/>
        </w:rPr>
      </w:pPr>
      <w:r>
        <w:rPr>
          <w:rFonts w:cs="宋体"/>
          <w:bCs/>
        </w:rPr>
        <w:t>三档（20分）：满足招标文件质量服务要求，能够提供优秀的服务响应，并针对本项目提供优秀的服务技术支持、服务保障方案、故障处理方案及应急预案等。</w:t>
      </w:r>
    </w:p>
    <w:p>
      <w:pPr>
        <w:pStyle w:val="26"/>
        <w:widowControl w:val="0"/>
        <w:spacing w:before="0" w:beforeAutospacing="0" w:after="0" w:afterAutospacing="0" w:line="400" w:lineRule="exact"/>
        <w:ind w:firstLine="481" w:firstLineChars="200"/>
        <w:jc w:val="both"/>
        <w:rPr>
          <w:rFonts w:hint="default" w:cs="宋体"/>
          <w:b/>
        </w:rPr>
      </w:pPr>
      <w:r>
        <w:rPr>
          <w:rFonts w:cs="宋体"/>
          <w:b/>
        </w:rPr>
        <w:t>3.信誉和人员分……………………………………………………………………</w:t>
      </w:r>
      <w:r>
        <w:rPr>
          <w:rFonts w:hint="default" w:cs="宋体"/>
          <w:b/>
        </w:rPr>
        <w:t>30</w:t>
      </w:r>
      <w:r>
        <w:rPr>
          <w:rFonts w:cs="宋体"/>
          <w:b/>
        </w:rPr>
        <w:t>分</w:t>
      </w:r>
    </w:p>
    <w:p>
      <w:pPr>
        <w:pStyle w:val="26"/>
        <w:widowControl w:val="0"/>
        <w:spacing w:before="0" w:beforeAutospacing="0" w:after="0" w:afterAutospacing="0" w:line="400" w:lineRule="exact"/>
        <w:ind w:firstLine="420"/>
        <w:jc w:val="both"/>
        <w:rPr>
          <w:rFonts w:hint="default" w:cs="宋体"/>
          <w:bCs/>
        </w:rPr>
      </w:pPr>
      <w:r>
        <w:rPr>
          <w:rFonts w:cs="宋体"/>
          <w:bCs/>
        </w:rPr>
        <w:t>（</w:t>
      </w:r>
      <w:r>
        <w:rPr>
          <w:rFonts w:hint="default" w:cs="宋体"/>
          <w:bCs/>
        </w:rPr>
        <w:t>1</w:t>
      </w:r>
      <w:r>
        <w:rPr>
          <w:rFonts w:cs="宋体"/>
          <w:bCs/>
        </w:rPr>
        <w:t>）供应商拟投入本项目的人员具备CISP（注册信息安全专业人员）资质证书，每人1分，满分</w:t>
      </w:r>
      <w:r>
        <w:rPr>
          <w:rFonts w:hint="eastAsia" w:cs="宋体"/>
          <w:bCs/>
          <w:lang w:val="en-US" w:eastAsia="zh-CN"/>
        </w:rPr>
        <w:t>6</w:t>
      </w:r>
      <w:r>
        <w:rPr>
          <w:rFonts w:cs="宋体"/>
          <w:bCs/>
        </w:rPr>
        <w:t>分（提供有效证书复印件，和对应人员在截标时间前一年内，连续十二个月投标供应商为其缴纳社保证明材料，方可计分）；</w:t>
      </w:r>
    </w:p>
    <w:p>
      <w:pPr>
        <w:pStyle w:val="26"/>
        <w:widowControl w:val="0"/>
        <w:spacing w:before="0" w:beforeAutospacing="0" w:after="0" w:afterAutospacing="0" w:line="400" w:lineRule="exact"/>
        <w:ind w:firstLine="420"/>
        <w:jc w:val="both"/>
        <w:rPr>
          <w:rFonts w:hint="default" w:cs="宋体"/>
          <w:bCs/>
        </w:rPr>
      </w:pPr>
      <w:r>
        <w:rPr>
          <w:rFonts w:cs="宋体"/>
          <w:bCs/>
        </w:rPr>
        <w:t>（</w:t>
      </w:r>
      <w:r>
        <w:rPr>
          <w:rFonts w:hint="default" w:cs="宋体"/>
          <w:bCs/>
        </w:rPr>
        <w:t>2</w:t>
      </w:r>
      <w:r>
        <w:rPr>
          <w:rFonts w:cs="宋体"/>
          <w:bCs/>
        </w:rPr>
        <w:t>）供应商拟投入本项目的人员具备中国人力资源和社会保障部、中国工业和信息化部颁发的信息系统项目管理师资格证书，每人2分，满分6分（供有效证书复印件，和对应人员在截标时间前一年内，连续十二个月投标供应商为其缴纳社保证明材料，方可计分）；</w:t>
      </w:r>
    </w:p>
    <w:p>
      <w:pPr>
        <w:pStyle w:val="26"/>
        <w:widowControl w:val="0"/>
        <w:spacing w:before="0" w:beforeAutospacing="0" w:after="0" w:afterAutospacing="0" w:line="400" w:lineRule="exact"/>
        <w:ind w:firstLine="420"/>
        <w:jc w:val="both"/>
        <w:rPr>
          <w:rFonts w:hint="default" w:cs="宋体"/>
          <w:bCs/>
        </w:rPr>
      </w:pPr>
      <w:r>
        <w:rPr>
          <w:rFonts w:cs="宋体"/>
          <w:bCs/>
        </w:rPr>
        <w:t>（</w:t>
      </w:r>
      <w:r>
        <w:rPr>
          <w:rFonts w:hint="default" w:cs="宋体"/>
          <w:bCs/>
        </w:rPr>
        <w:t>3</w:t>
      </w:r>
      <w:r>
        <w:rPr>
          <w:rFonts w:cs="宋体"/>
          <w:bCs/>
        </w:rPr>
        <w:t>）供应商拟投入本项目人员或应急处置人员具有计算机信息类高级或以上职称</w:t>
      </w:r>
      <w:r>
        <w:rPr>
          <w:rFonts w:hint="default" w:cs="宋体"/>
          <w:bCs/>
        </w:rPr>
        <w:t>（</w:t>
      </w:r>
      <w:r>
        <w:rPr>
          <w:rFonts w:cs="宋体"/>
          <w:bCs/>
        </w:rPr>
        <w:t>职称证书或计算机技术与软件专业技术资格高级证书为准</w:t>
      </w:r>
      <w:r>
        <w:rPr>
          <w:rFonts w:hint="default" w:cs="宋体"/>
          <w:bCs/>
        </w:rPr>
        <w:t>），</w:t>
      </w:r>
      <w:r>
        <w:rPr>
          <w:rFonts w:cs="宋体"/>
          <w:bCs/>
        </w:rPr>
        <w:t>每提供</w:t>
      </w:r>
      <w:r>
        <w:rPr>
          <w:rFonts w:hint="default" w:cs="宋体"/>
          <w:bCs/>
        </w:rPr>
        <w:t>1</w:t>
      </w:r>
      <w:r>
        <w:rPr>
          <w:rFonts w:cs="宋体"/>
          <w:bCs/>
        </w:rPr>
        <w:t>个认证</w:t>
      </w:r>
      <w:r>
        <w:rPr>
          <w:rFonts w:hint="default" w:cs="宋体"/>
          <w:bCs/>
        </w:rPr>
        <w:t>2</w:t>
      </w:r>
      <w:r>
        <w:rPr>
          <w:rFonts w:cs="宋体"/>
          <w:bCs/>
        </w:rPr>
        <w:t>分</w:t>
      </w:r>
      <w:r>
        <w:rPr>
          <w:rFonts w:hint="default" w:cs="宋体"/>
          <w:bCs/>
        </w:rPr>
        <w:t>，</w:t>
      </w:r>
      <w:r>
        <w:rPr>
          <w:rFonts w:cs="宋体"/>
          <w:bCs/>
        </w:rPr>
        <w:t>满分</w:t>
      </w:r>
      <w:r>
        <w:rPr>
          <w:rFonts w:hint="eastAsia" w:cs="宋体"/>
          <w:bCs/>
          <w:lang w:val="en-US" w:eastAsia="zh-CN"/>
        </w:rPr>
        <w:t>8</w:t>
      </w:r>
      <w:r>
        <w:rPr>
          <w:rFonts w:cs="宋体"/>
          <w:bCs/>
        </w:rPr>
        <w:t>分</w:t>
      </w:r>
      <w:r>
        <w:rPr>
          <w:rFonts w:hint="default" w:cs="宋体"/>
          <w:bCs/>
        </w:rPr>
        <w:t>（以提供响应文件递交截止之日前</w:t>
      </w:r>
      <w:r>
        <w:rPr>
          <w:rFonts w:cs="宋体"/>
          <w:bCs/>
        </w:rPr>
        <w:t>一</w:t>
      </w:r>
      <w:r>
        <w:rPr>
          <w:rFonts w:hint="default" w:cs="宋体"/>
          <w:bCs/>
        </w:rPr>
        <w:t>年内，</w:t>
      </w:r>
      <w:r>
        <w:rPr>
          <w:rFonts w:cs="宋体"/>
          <w:bCs/>
        </w:rPr>
        <w:t>投标</w:t>
      </w:r>
      <w:r>
        <w:rPr>
          <w:rFonts w:hint="default" w:cs="宋体"/>
          <w:bCs/>
        </w:rPr>
        <w:t>供应商连续</w:t>
      </w:r>
      <w:r>
        <w:rPr>
          <w:rFonts w:cs="宋体"/>
          <w:bCs/>
        </w:rPr>
        <w:t>十二</w:t>
      </w:r>
      <w:r>
        <w:rPr>
          <w:rFonts w:hint="default" w:cs="宋体"/>
          <w:bCs/>
        </w:rPr>
        <w:t>个月为其依法缴纳社保费的缴费凭证复印件</w:t>
      </w:r>
      <w:r>
        <w:rPr>
          <w:rFonts w:cs="宋体"/>
          <w:bCs/>
        </w:rPr>
        <w:t>方可记分</w:t>
      </w:r>
      <w:r>
        <w:rPr>
          <w:rFonts w:hint="default" w:cs="宋体"/>
          <w:bCs/>
        </w:rPr>
        <w:t>）。</w:t>
      </w:r>
    </w:p>
    <w:p>
      <w:pPr>
        <w:pStyle w:val="26"/>
        <w:widowControl w:val="0"/>
        <w:spacing w:before="0" w:beforeAutospacing="0" w:after="0" w:afterAutospacing="0" w:line="400" w:lineRule="exact"/>
        <w:ind w:firstLine="420"/>
        <w:jc w:val="both"/>
        <w:rPr>
          <w:rFonts w:hint="default" w:cs="宋体"/>
          <w:bCs/>
          <w:lang w:val="en-US"/>
        </w:rPr>
      </w:pPr>
      <w:r>
        <w:rPr>
          <w:rFonts w:hint="default" w:cs="宋体"/>
          <w:bCs/>
        </w:rPr>
        <w:t>（4）</w:t>
      </w:r>
      <w:r>
        <w:rPr>
          <w:rFonts w:hint="eastAsia" w:cs="宋体"/>
          <w:bCs/>
          <w:lang w:val="en-US" w:eastAsia="zh-CN"/>
        </w:rPr>
        <w:t>供应商</w:t>
      </w:r>
      <w:r>
        <w:rPr>
          <w:rFonts w:hint="default" w:cs="宋体"/>
          <w:bCs/>
        </w:rPr>
        <w:t>具有国家或省级质量技术监督机构颁发的检验检测机构资质认定证书（CMA）及中国合格评定国家认可委员会（CNAS）颁发的认证机构资质证书，响应文件需提供证书复印件</w:t>
      </w:r>
      <w:r>
        <w:rPr>
          <w:rFonts w:hint="eastAsia" w:cs="宋体"/>
          <w:bCs/>
          <w:lang w:eastAsia="zh-CN"/>
        </w:rPr>
        <w:t>。</w:t>
      </w:r>
      <w:r>
        <w:rPr>
          <w:rFonts w:hint="eastAsia" w:cs="宋体"/>
          <w:bCs/>
          <w:lang w:val="en-US" w:eastAsia="zh-CN"/>
        </w:rPr>
        <w:t>具备CMA或CNAS其中一种资质证书，得5分。同时具备CMA和CNAS资质证书，得10分，满分10分。</w:t>
      </w:r>
    </w:p>
    <w:p>
      <w:pPr>
        <w:pStyle w:val="26"/>
        <w:widowControl w:val="0"/>
        <w:spacing w:before="0" w:beforeAutospacing="0" w:after="0" w:afterAutospacing="0" w:line="400" w:lineRule="exact"/>
        <w:ind w:firstLine="481" w:firstLineChars="200"/>
        <w:jc w:val="both"/>
        <w:rPr>
          <w:rFonts w:hint="default" w:cs="宋体"/>
          <w:b/>
        </w:rPr>
      </w:pPr>
      <w:r>
        <w:rPr>
          <w:rFonts w:cs="宋体"/>
          <w:b/>
        </w:rPr>
        <w:t>4</w:t>
      </w:r>
      <w:r>
        <w:rPr>
          <w:rFonts w:ascii="微软雅黑" w:hAnsi="微软雅黑" w:eastAsia="微软雅黑" w:cs="微软雅黑"/>
          <w:b/>
        </w:rPr>
        <w:t>.</w:t>
      </w:r>
      <w:r>
        <w:rPr>
          <w:rFonts w:cs="宋体"/>
          <w:b/>
        </w:rPr>
        <w:t>业绩分……………………………………………………………………… 10分</w:t>
      </w:r>
    </w:p>
    <w:p>
      <w:pPr>
        <w:pStyle w:val="26"/>
        <w:widowControl w:val="0"/>
        <w:spacing w:before="0" w:beforeAutospacing="0" w:after="0" w:afterAutospacing="0" w:line="400" w:lineRule="exact"/>
        <w:ind w:firstLine="420"/>
        <w:jc w:val="both"/>
        <w:rPr>
          <w:rFonts w:hint="default" w:cs="宋体"/>
          <w:bCs/>
        </w:rPr>
      </w:pPr>
      <w:r>
        <w:rPr>
          <w:rFonts w:cs="宋体"/>
          <w:bCs/>
        </w:rPr>
        <w:t>供应商自201</w:t>
      </w:r>
      <w:r>
        <w:rPr>
          <w:rFonts w:hint="default" w:cs="宋体"/>
          <w:bCs/>
        </w:rPr>
        <w:t>9</w:t>
      </w:r>
      <w:r>
        <w:rPr>
          <w:rFonts w:cs="宋体"/>
          <w:bCs/>
        </w:rPr>
        <w:t>年1月1日以来，签约并承担有信息化验收检测项目业绩，每个项目业绩得</w:t>
      </w:r>
      <w:r>
        <w:rPr>
          <w:rFonts w:hint="default" w:cs="宋体"/>
          <w:bCs/>
        </w:rPr>
        <w:t>1</w:t>
      </w:r>
      <w:r>
        <w:rPr>
          <w:rFonts w:cs="宋体"/>
          <w:bCs/>
        </w:rPr>
        <w:t>分，此项满分为10分。</w:t>
      </w:r>
    </w:p>
    <w:p>
      <w:pPr>
        <w:pStyle w:val="26"/>
        <w:widowControl w:val="0"/>
        <w:spacing w:before="0" w:beforeAutospacing="0" w:after="0" w:afterAutospacing="0" w:line="400" w:lineRule="exact"/>
        <w:ind w:firstLine="481" w:firstLineChars="200"/>
        <w:jc w:val="both"/>
        <w:rPr>
          <w:rFonts w:hint="default" w:cs="宋体"/>
          <w:b/>
        </w:rPr>
      </w:pPr>
      <w:r>
        <w:rPr>
          <w:rFonts w:cs="宋体"/>
          <w:b/>
        </w:rPr>
        <w:t>总得分 =1+2+3+4</w:t>
      </w:r>
    </w:p>
    <w:p>
      <w:pPr>
        <w:pStyle w:val="15"/>
        <w:spacing w:line="480" w:lineRule="exact"/>
        <w:ind w:firstLine="481" w:firstLineChars="200"/>
        <w:outlineLvl w:val="0"/>
        <w:rPr>
          <w:rFonts w:hAnsi="宋体" w:cs="宋体"/>
          <w:b/>
          <w:bCs/>
          <w:sz w:val="24"/>
          <w:szCs w:val="24"/>
        </w:rPr>
      </w:pPr>
      <w:r>
        <w:rPr>
          <w:rFonts w:hint="eastAsia" w:hAnsi="宋体" w:cs="宋体"/>
          <w:b/>
          <w:bCs/>
          <w:sz w:val="24"/>
          <w:szCs w:val="24"/>
        </w:rPr>
        <w:t>四、成交候选人推荐原则</w:t>
      </w:r>
    </w:p>
    <w:p>
      <w:pPr>
        <w:pStyle w:val="10"/>
        <w:spacing w:line="480" w:lineRule="exact"/>
        <w:ind w:firstLine="480" w:firstLineChars="200"/>
        <w:rPr>
          <w:rFonts w:ascii="宋体" w:hAnsi="宋体" w:cs="宋体"/>
          <w:sz w:val="24"/>
        </w:rPr>
      </w:pPr>
      <w:r>
        <w:rPr>
          <w:rFonts w:hint="eastAsia" w:ascii="宋体" w:hAnsi="宋体" w:cs="宋体"/>
          <w:sz w:val="24"/>
        </w:rPr>
        <w:t>（一）评审小组按报价人的总得分由高到低排列成交候选人顺序（总得分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80" w:lineRule="exact"/>
        <w:ind w:firstLine="480" w:firstLineChars="200"/>
        <w:rPr>
          <w:rFonts w:ascii="宋体" w:hAnsi="宋体" w:cs="宋体"/>
          <w:sz w:val="24"/>
        </w:rPr>
      </w:pPr>
      <w:r>
        <w:rPr>
          <w:rFonts w:hint="eastAsia" w:ascii="宋体" w:hAnsi="宋体" w:cs="宋体"/>
          <w:sz w:val="24"/>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p>
    <w:p>
      <w:pPr>
        <w:rPr>
          <w:rFonts w:ascii="宋体" w:hAnsi="宋体" w:cs="宋体"/>
          <w:sz w:val="24"/>
        </w:rPr>
      </w:pPr>
      <w:r>
        <w:rPr>
          <w:rFonts w:hint="eastAsia" w:ascii="宋体" w:hAnsi="宋体" w:cs="宋体"/>
          <w:sz w:val="24"/>
        </w:rPr>
        <w:br w:type="page"/>
      </w:r>
    </w:p>
    <w:p>
      <w:pPr>
        <w:pStyle w:val="36"/>
      </w:pPr>
    </w:p>
    <w:p>
      <w:pPr>
        <w:spacing w:line="500" w:lineRule="exact"/>
        <w:ind w:firstLine="3092" w:firstLineChars="1100"/>
        <w:outlineLvl w:val="0"/>
        <w:rPr>
          <w:rFonts w:ascii="宋体" w:hAnsi="宋体"/>
          <w:b/>
          <w:sz w:val="28"/>
          <w:szCs w:val="32"/>
        </w:rPr>
      </w:pPr>
      <w:r>
        <w:rPr>
          <w:rFonts w:hint="eastAsia" w:ascii="宋体" w:hAnsi="宋体"/>
          <w:b/>
          <w:sz w:val="28"/>
          <w:szCs w:val="28"/>
        </w:rPr>
        <w:t>第五章</w:t>
      </w:r>
      <w:r>
        <w:rPr>
          <w:rFonts w:hint="eastAsia" w:ascii="宋体" w:hAnsi="宋体"/>
          <w:b/>
          <w:sz w:val="32"/>
          <w:szCs w:val="32"/>
        </w:rPr>
        <w:t xml:space="preserve"> </w:t>
      </w:r>
      <w:r>
        <w:rPr>
          <w:rFonts w:hint="eastAsia" w:ascii="宋体" w:hAnsi="宋体"/>
          <w:b/>
          <w:sz w:val="28"/>
          <w:szCs w:val="32"/>
        </w:rPr>
        <w:t>响应文件格式</w:t>
      </w:r>
    </w:p>
    <w:p>
      <w:pPr>
        <w:spacing w:line="500" w:lineRule="exact"/>
        <w:jc w:val="center"/>
        <w:rPr>
          <w:rFonts w:ascii="宋体" w:hAnsi="宋体"/>
          <w:b/>
          <w:sz w:val="28"/>
          <w:szCs w:val="32"/>
        </w:rPr>
      </w:pPr>
    </w:p>
    <w:p>
      <w:pPr>
        <w:pStyle w:val="15"/>
        <w:snapToGrid w:val="0"/>
        <w:spacing w:before="120" w:after="120"/>
        <w:outlineLvl w:val="1"/>
        <w:rPr>
          <w:rFonts w:ascii="Times New Roman" w:hAnsi="Times New Roman" w:eastAsia="仿宋"/>
          <w:b/>
          <w:sz w:val="24"/>
          <w:szCs w:val="24"/>
        </w:rPr>
      </w:pPr>
      <w:bookmarkStart w:id="5" w:name="_Toc293863331"/>
      <w:bookmarkStart w:id="6" w:name="_Toc293863061"/>
      <w:bookmarkStart w:id="7" w:name="_Toc326217565"/>
      <w:bookmarkStart w:id="8" w:name="_Toc301424939"/>
      <w:r>
        <w:rPr>
          <w:rFonts w:ascii="Times New Roman" w:hAnsi="Times New Roman" w:eastAsia="仿宋"/>
          <w:b/>
          <w:sz w:val="24"/>
          <w:szCs w:val="24"/>
        </w:rPr>
        <w:t>一、响应文件外层包装封面及响应文件外封面格式</w:t>
      </w:r>
      <w:bookmarkEnd w:id="5"/>
      <w:bookmarkEnd w:id="6"/>
      <w:bookmarkEnd w:id="7"/>
      <w:bookmarkEnd w:id="8"/>
    </w:p>
    <w:p>
      <w:pPr>
        <w:snapToGrid w:val="0"/>
        <w:spacing w:before="120" w:beforeLines="50" w:after="50"/>
        <w:rPr>
          <w:rFonts w:eastAsia="仿宋"/>
          <w:b/>
          <w:sz w:val="24"/>
        </w:rPr>
      </w:pPr>
      <w:bookmarkStart w:id="9" w:name="_Toc293863332"/>
      <w:bookmarkStart w:id="10" w:name="_Toc293863062"/>
    </w:p>
    <w:p>
      <w:pPr>
        <w:pStyle w:val="15"/>
        <w:snapToGrid w:val="0"/>
        <w:spacing w:before="120" w:after="120"/>
        <w:outlineLvl w:val="2"/>
        <w:rPr>
          <w:rFonts w:ascii="Times New Roman" w:hAnsi="Times New Roman" w:eastAsia="仿宋"/>
          <w:b/>
          <w:sz w:val="24"/>
          <w:szCs w:val="24"/>
        </w:rPr>
      </w:pPr>
      <w:bookmarkStart w:id="11" w:name="_Toc301424940"/>
      <w:bookmarkStart w:id="12" w:name="_Toc326217566"/>
      <w:r>
        <w:rPr>
          <w:rFonts w:ascii="Times New Roman" w:hAnsi="Times New Roman" w:eastAsia="仿宋"/>
          <w:b/>
          <w:sz w:val="24"/>
          <w:szCs w:val="24"/>
        </w:rPr>
        <w:t>1.所有响应文件的外包装封面格式（格式可自拟）：</w:t>
      </w:r>
      <w:bookmarkEnd w:id="9"/>
      <w:bookmarkEnd w:id="10"/>
      <w:bookmarkEnd w:id="11"/>
      <w:bookmarkEnd w:id="12"/>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
          <w:bCs/>
          <w:sz w:val="52"/>
          <w:szCs w:val="52"/>
        </w:rPr>
      </w:pPr>
      <w:r>
        <w:rPr>
          <w:rFonts w:eastAsia="仿宋"/>
          <w:b/>
          <w:bCs/>
          <w:sz w:val="52"/>
          <w:szCs w:val="52"/>
        </w:rPr>
        <w:t>响应文件</w:t>
      </w:r>
    </w:p>
    <w:p>
      <w:pPr>
        <w:snapToGrid w:val="0"/>
        <w:spacing w:before="120" w:beforeLines="50" w:after="50"/>
        <w:rPr>
          <w:rFonts w:eastAsia="仿宋"/>
          <w:bCs/>
          <w:sz w:val="24"/>
          <w:szCs w:val="20"/>
        </w:rPr>
      </w:pPr>
    </w:p>
    <w:p>
      <w:pPr>
        <w:snapToGrid w:val="0"/>
        <w:spacing w:before="120" w:beforeLines="50" w:after="50"/>
        <w:ind w:firstLine="1100" w:firstLineChars="393"/>
        <w:rPr>
          <w:rFonts w:eastAsia="仿宋"/>
          <w:bCs/>
          <w:sz w:val="28"/>
          <w:szCs w:val="28"/>
        </w:rPr>
      </w:pPr>
      <w:r>
        <w:rPr>
          <w:rFonts w:eastAsia="仿宋"/>
          <w:bCs/>
          <w:sz w:val="28"/>
          <w:szCs w:val="28"/>
        </w:rPr>
        <w:t xml:space="preserve">项目名称： </w:t>
      </w:r>
    </w:p>
    <w:p>
      <w:pPr>
        <w:snapToGrid w:val="0"/>
        <w:spacing w:before="120" w:beforeLines="50" w:after="50"/>
        <w:ind w:firstLine="1100" w:firstLineChars="393"/>
        <w:rPr>
          <w:rFonts w:eastAsia="仿宋"/>
          <w:bCs/>
          <w:sz w:val="28"/>
          <w:szCs w:val="28"/>
        </w:rPr>
      </w:pPr>
      <w:r>
        <w:rPr>
          <w:rFonts w:eastAsia="仿宋"/>
          <w:bCs/>
          <w:sz w:val="28"/>
          <w:szCs w:val="28"/>
        </w:rPr>
        <w:t xml:space="preserve">     </w:t>
      </w:r>
    </w:p>
    <w:p>
      <w:pPr>
        <w:pStyle w:val="5"/>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名称：盖章</w:t>
      </w:r>
    </w:p>
    <w:p>
      <w:pPr>
        <w:pStyle w:val="5"/>
        <w:snapToGrid w:val="0"/>
        <w:spacing w:before="50" w:after="50"/>
        <w:ind w:firstLine="1164" w:firstLineChars="416"/>
        <w:rPr>
          <w:rFonts w:eastAsia="仿宋"/>
          <w:bCs/>
          <w:sz w:val="28"/>
          <w:szCs w:val="28"/>
        </w:rPr>
      </w:pPr>
    </w:p>
    <w:p>
      <w:pPr>
        <w:pStyle w:val="5"/>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地址：</w:t>
      </w:r>
    </w:p>
    <w:p>
      <w:pPr>
        <w:pStyle w:val="5"/>
        <w:snapToGrid w:val="0"/>
        <w:spacing w:before="50" w:after="50"/>
        <w:ind w:firstLine="1120" w:firstLineChars="400"/>
        <w:rPr>
          <w:rFonts w:eastAsia="仿宋"/>
          <w:bCs/>
          <w:sz w:val="28"/>
          <w:szCs w:val="28"/>
        </w:rPr>
      </w:pPr>
    </w:p>
    <w:p>
      <w:pPr>
        <w:snapToGrid w:val="0"/>
        <w:spacing w:before="120" w:beforeLines="50" w:after="50"/>
        <w:ind w:firstLine="4760" w:firstLineChars="1700"/>
        <w:rPr>
          <w:rFonts w:eastAsia="仿宋"/>
          <w:bCs/>
          <w:sz w:val="28"/>
          <w:szCs w:val="28"/>
        </w:rPr>
      </w:pPr>
    </w:p>
    <w:p>
      <w:pPr>
        <w:snapToGrid w:val="0"/>
        <w:spacing w:before="120" w:beforeLines="50" w:after="50"/>
        <w:ind w:firstLine="645"/>
        <w:jc w:val="center"/>
        <w:rPr>
          <w:rFonts w:eastAsia="仿宋"/>
          <w:bCs/>
          <w:sz w:val="28"/>
          <w:szCs w:val="28"/>
        </w:rPr>
      </w:pPr>
      <w:r>
        <w:rPr>
          <w:rFonts w:eastAsia="仿宋"/>
          <w:bCs/>
          <w:sz w:val="28"/>
          <w:szCs w:val="28"/>
        </w:rPr>
        <w:t xml:space="preserve">                        年  月  日</w:t>
      </w:r>
    </w:p>
    <w:p>
      <w:pPr>
        <w:snapToGrid w:val="0"/>
        <w:spacing w:before="120" w:beforeLines="50" w:after="50"/>
        <w:ind w:firstLine="645"/>
        <w:rPr>
          <w:rFonts w:eastAsia="仿宋"/>
          <w:bCs/>
          <w:sz w:val="24"/>
        </w:rPr>
      </w:pPr>
    </w:p>
    <w:p>
      <w:pPr>
        <w:pStyle w:val="15"/>
        <w:snapToGrid w:val="0"/>
        <w:spacing w:before="120" w:after="120"/>
        <w:outlineLvl w:val="2"/>
        <w:rPr>
          <w:rFonts w:ascii="Times New Roman" w:hAnsi="Times New Roman" w:eastAsia="仿宋"/>
          <w:b/>
          <w:sz w:val="24"/>
          <w:szCs w:val="24"/>
        </w:rPr>
      </w:pPr>
      <w:r>
        <w:rPr>
          <w:rFonts w:ascii="Times New Roman" w:hAnsi="Times New Roman" w:eastAsia="仿宋"/>
          <w:b/>
        </w:rPr>
        <w:br w:type="page"/>
      </w:r>
      <w:bookmarkStart w:id="13" w:name="_Toc301424941"/>
      <w:bookmarkStart w:id="14" w:name="_Toc326217567"/>
      <w:r>
        <w:rPr>
          <w:rFonts w:ascii="Times New Roman" w:hAnsi="Times New Roman" w:eastAsia="仿宋"/>
          <w:b/>
          <w:sz w:val="24"/>
          <w:szCs w:val="24"/>
        </w:rPr>
        <w:t>2.响应文件外封面格式（格式可自拟）：</w:t>
      </w:r>
      <w:bookmarkEnd w:id="13"/>
      <w:bookmarkEnd w:id="14"/>
    </w:p>
    <w:p>
      <w:pPr>
        <w:snapToGrid w:val="0"/>
        <w:spacing w:before="120" w:beforeLines="50" w:after="50"/>
        <w:ind w:firstLine="8160" w:firstLineChars="3400"/>
        <w:rPr>
          <w:rFonts w:eastAsia="仿宋"/>
          <w:bCs/>
          <w:sz w:val="24"/>
        </w:rPr>
      </w:pPr>
      <w:r>
        <w:rPr>
          <w:rFonts w:eastAsia="仿宋"/>
          <w:bCs/>
          <w:sz w:val="24"/>
        </w:rPr>
        <w:t>正本/或副本</w:t>
      </w:r>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Cs/>
          <w:sz w:val="24"/>
          <w:szCs w:val="20"/>
        </w:rPr>
      </w:pPr>
      <w:r>
        <w:rPr>
          <w:rFonts w:eastAsia="仿宋"/>
          <w:b/>
          <w:bCs/>
          <w:sz w:val="52"/>
          <w:szCs w:val="52"/>
        </w:rPr>
        <w:t>响应文件</w:t>
      </w:r>
    </w:p>
    <w:p>
      <w:pPr>
        <w:snapToGrid w:val="0"/>
        <w:spacing w:before="120" w:beforeLines="50" w:after="50"/>
        <w:ind w:firstLine="943" w:firstLineChars="393"/>
        <w:rPr>
          <w:rFonts w:eastAsia="仿宋"/>
          <w:bCs/>
          <w:sz w:val="24"/>
        </w:rPr>
      </w:pPr>
    </w:p>
    <w:p>
      <w:pPr>
        <w:snapToGrid w:val="0"/>
        <w:spacing w:before="120" w:beforeLines="50" w:after="50"/>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before="120" w:beforeLines="50" w:after="50"/>
        <w:ind w:firstLine="943" w:firstLineChars="393"/>
        <w:rPr>
          <w:rFonts w:eastAsia="仿宋"/>
          <w:bCs/>
          <w:sz w:val="24"/>
        </w:rPr>
      </w:pPr>
      <w:r>
        <w:rPr>
          <w:rFonts w:eastAsia="仿宋"/>
          <w:bCs/>
          <w:sz w:val="24"/>
        </w:rPr>
        <w:t xml:space="preserve">     </w:t>
      </w:r>
    </w:p>
    <w:p>
      <w:pPr>
        <w:pStyle w:val="5"/>
        <w:snapToGrid w:val="0"/>
        <w:spacing w:before="50" w:after="50"/>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before="50" w:after="50"/>
        <w:ind w:firstLine="998" w:firstLineChars="416"/>
        <w:rPr>
          <w:rFonts w:eastAsia="仿宋"/>
          <w:bCs/>
          <w:sz w:val="24"/>
        </w:rPr>
      </w:pPr>
    </w:p>
    <w:p>
      <w:pPr>
        <w:pStyle w:val="5"/>
        <w:snapToGrid w:val="0"/>
        <w:spacing w:before="50" w:after="50"/>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pStyle w:val="5"/>
        <w:snapToGrid w:val="0"/>
        <w:spacing w:before="50" w:after="50"/>
        <w:ind w:firstLine="960" w:firstLineChars="400"/>
        <w:rPr>
          <w:rFonts w:eastAsia="仿宋"/>
          <w:bCs/>
          <w:sz w:val="24"/>
        </w:rPr>
      </w:pPr>
    </w:p>
    <w:p>
      <w:pPr>
        <w:pStyle w:val="5"/>
        <w:snapToGrid w:val="0"/>
        <w:spacing w:before="50" w:after="50"/>
        <w:ind w:firstLine="960" w:firstLineChars="400"/>
        <w:rPr>
          <w:rFonts w:eastAsia="仿宋"/>
          <w:bCs/>
          <w:sz w:val="24"/>
        </w:rPr>
      </w:pPr>
    </w:p>
    <w:p>
      <w:pPr>
        <w:snapToGrid w:val="0"/>
        <w:spacing w:before="120" w:beforeLines="50" w:after="50"/>
        <w:ind w:firstLine="4080" w:firstLineChars="1700"/>
        <w:rPr>
          <w:rFonts w:eastAsia="仿宋"/>
          <w:bCs/>
          <w:sz w:val="24"/>
          <w:szCs w:val="20"/>
        </w:rPr>
      </w:pPr>
    </w:p>
    <w:p>
      <w:pPr>
        <w:snapToGrid w:val="0"/>
        <w:spacing w:before="120" w:beforeLines="50" w:after="50"/>
        <w:ind w:firstLine="645"/>
        <w:jc w:val="center"/>
        <w:rPr>
          <w:rFonts w:eastAsia="仿宋"/>
          <w:bCs/>
          <w:sz w:val="24"/>
        </w:rPr>
      </w:pPr>
      <w:r>
        <w:rPr>
          <w:rFonts w:eastAsia="仿宋"/>
          <w:bCs/>
          <w:sz w:val="24"/>
        </w:rPr>
        <w:t xml:space="preserve">                        年  月  日</w:t>
      </w:r>
    </w:p>
    <w:p>
      <w:pPr>
        <w:snapToGrid w:val="0"/>
        <w:spacing w:before="120" w:beforeLines="50" w:after="50"/>
        <w:ind w:firstLine="645"/>
        <w:rPr>
          <w:rFonts w:eastAsia="仿宋"/>
          <w:bCs/>
          <w:sz w:val="24"/>
        </w:rPr>
      </w:pPr>
    </w:p>
    <w:p>
      <w:pPr>
        <w:snapToGrid w:val="0"/>
        <w:spacing w:before="120" w:beforeLines="50" w:after="50"/>
        <w:ind w:firstLine="645"/>
        <w:rPr>
          <w:rFonts w:eastAsia="仿宋"/>
          <w:bCs/>
          <w:sz w:val="24"/>
        </w:rPr>
      </w:pPr>
    </w:p>
    <w:p>
      <w:pPr>
        <w:snapToGrid w:val="0"/>
        <w:spacing w:before="120" w:beforeLines="50" w:after="50"/>
        <w:outlineLvl w:val="1"/>
        <w:rPr>
          <w:rFonts w:eastAsia="仿宋"/>
          <w:b/>
          <w:bCs/>
          <w:sz w:val="24"/>
        </w:rPr>
      </w:pPr>
      <w:r>
        <w:rPr>
          <w:rFonts w:eastAsia="仿宋"/>
          <w:bCs/>
          <w:sz w:val="24"/>
        </w:rPr>
        <w:br w:type="page"/>
      </w:r>
      <w:bookmarkStart w:id="15" w:name="_Toc293863333"/>
      <w:bookmarkStart w:id="16" w:name="_Toc293863063"/>
      <w:bookmarkStart w:id="17" w:name="_Toc326217568"/>
      <w:bookmarkStart w:id="18" w:name="_Toc301424942"/>
      <w:bookmarkStart w:id="19" w:name="_Toc254970557"/>
      <w:bookmarkStart w:id="20" w:name="_Toc254970698"/>
      <w:r>
        <w:rPr>
          <w:rFonts w:eastAsia="仿宋"/>
          <w:b/>
          <w:bCs/>
          <w:sz w:val="24"/>
        </w:rPr>
        <w:t>二、资信/商务文件格式</w:t>
      </w:r>
      <w:bookmarkEnd w:id="15"/>
      <w:bookmarkEnd w:id="16"/>
      <w:bookmarkEnd w:id="17"/>
      <w:bookmarkEnd w:id="18"/>
      <w:bookmarkEnd w:id="19"/>
      <w:bookmarkEnd w:id="20"/>
    </w:p>
    <w:p>
      <w:pPr>
        <w:snapToGrid w:val="0"/>
        <w:spacing w:before="50" w:after="50"/>
        <w:rPr>
          <w:rFonts w:eastAsia="仿宋"/>
          <w:b/>
          <w:sz w:val="24"/>
        </w:rPr>
      </w:pPr>
    </w:p>
    <w:p>
      <w:pPr>
        <w:snapToGrid w:val="0"/>
        <w:spacing w:before="50" w:after="50"/>
        <w:outlineLvl w:val="2"/>
        <w:rPr>
          <w:rFonts w:eastAsia="仿宋"/>
          <w:b/>
          <w:szCs w:val="21"/>
        </w:rPr>
      </w:pPr>
      <w:r>
        <w:rPr>
          <w:rFonts w:eastAsia="仿宋"/>
          <w:b/>
          <w:sz w:val="24"/>
        </w:rPr>
        <w:t>1.</w:t>
      </w:r>
      <w:r>
        <w:rPr>
          <w:rFonts w:eastAsia="仿宋"/>
          <w:b/>
          <w:bCs/>
          <w:sz w:val="24"/>
        </w:rPr>
        <w:t>资信/</w:t>
      </w:r>
      <w:r>
        <w:rPr>
          <w:rFonts w:eastAsia="仿宋"/>
          <w:b/>
          <w:sz w:val="24"/>
        </w:rPr>
        <w:t>商务文件内封面格式（格式可自拟）：</w:t>
      </w:r>
      <w:r>
        <w:rPr>
          <w:rFonts w:eastAsia="仿宋"/>
          <w:b/>
          <w:szCs w:val="21"/>
        </w:rPr>
        <w:t xml:space="preserve"> </w:t>
      </w:r>
    </w:p>
    <w:p>
      <w:pPr>
        <w:snapToGrid w:val="0"/>
        <w:spacing w:before="120" w:beforeLines="50" w:after="50"/>
        <w:ind w:firstLine="645"/>
        <w:jc w:val="center"/>
        <w:rPr>
          <w:rFonts w:eastAsia="仿宋"/>
          <w:b/>
          <w:bCs/>
          <w:sz w:val="52"/>
          <w:szCs w:val="52"/>
        </w:rPr>
      </w:pPr>
      <w:r>
        <w:rPr>
          <w:rFonts w:eastAsia="仿宋"/>
          <w:b/>
          <w:bCs/>
          <w:sz w:val="52"/>
          <w:szCs w:val="52"/>
        </w:rPr>
        <w:t>资信/商务文件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20" w:beforeLines="50" w:after="50"/>
        <w:ind w:firstLine="960" w:firstLineChars="400"/>
        <w:rPr>
          <w:rFonts w:eastAsia="仿宋"/>
          <w:bCs/>
          <w:sz w:val="24"/>
          <w:szCs w:val="20"/>
        </w:rPr>
      </w:pPr>
    </w:p>
    <w:p>
      <w:pPr>
        <w:snapToGrid w:val="0"/>
        <w:spacing w:before="120" w:beforeLines="50" w:after="50"/>
        <w:rPr>
          <w:rFonts w:eastAsia="仿宋"/>
          <w:sz w:val="24"/>
          <w:szCs w:val="20"/>
        </w:rPr>
      </w:pPr>
    </w:p>
    <w:p>
      <w:pPr>
        <w:snapToGrid w:val="0"/>
        <w:spacing w:line="400" w:lineRule="exact"/>
        <w:outlineLvl w:val="2"/>
        <w:rPr>
          <w:rFonts w:eastAsia="仿宋"/>
          <w:b/>
          <w:bCs/>
          <w:sz w:val="24"/>
        </w:rPr>
      </w:pPr>
      <w:r>
        <w:rPr>
          <w:rFonts w:eastAsia="仿宋"/>
          <w:b/>
          <w:sz w:val="24"/>
        </w:rPr>
        <w:br w:type="page"/>
      </w:r>
      <w:r>
        <w:rPr>
          <w:rFonts w:eastAsia="仿宋"/>
          <w:b/>
          <w:sz w:val="24"/>
        </w:rPr>
        <w:t>2.</w:t>
      </w:r>
      <w:r>
        <w:rPr>
          <w:rFonts w:eastAsia="仿宋"/>
          <w:b/>
          <w:bCs/>
          <w:sz w:val="24"/>
        </w:rPr>
        <w:t>资信/商务文件目录</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报价</w:t>
      </w:r>
      <w:r>
        <w:rPr>
          <w:rFonts w:eastAsia="仿宋"/>
          <w:sz w:val="24"/>
        </w:rPr>
        <w:t>声明书</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2</w:t>
      </w:r>
      <w:r>
        <w:rPr>
          <w:rFonts w:eastAsia="仿宋"/>
          <w:color w:val="000000"/>
          <w:sz w:val="24"/>
        </w:rPr>
        <w:t>）</w:t>
      </w:r>
      <w:r>
        <w:rPr>
          <w:rFonts w:eastAsia="仿宋"/>
          <w:sz w:val="24"/>
        </w:rPr>
        <w:t>有效的营业执照副本复印件（对于有经营资质要求的，</w:t>
      </w:r>
      <w:r>
        <w:rPr>
          <w:rFonts w:hint="eastAsia" w:eastAsia="仿宋"/>
          <w:sz w:val="24"/>
        </w:rPr>
        <w:t>报价人</w:t>
      </w:r>
      <w:r>
        <w:rPr>
          <w:rFonts w:eastAsia="仿宋"/>
          <w:sz w:val="24"/>
        </w:rPr>
        <w:t>必须提供有效的经营资质证书副本内页复印件；如</w:t>
      </w:r>
      <w:r>
        <w:rPr>
          <w:rFonts w:hint="eastAsia" w:eastAsia="仿宋"/>
          <w:sz w:val="24"/>
        </w:rPr>
        <w:t>报价人</w:t>
      </w:r>
      <w:r>
        <w:rPr>
          <w:rFonts w:eastAsia="仿宋"/>
          <w:sz w:val="24"/>
        </w:rPr>
        <w:t>提供其他服务机构的服务时，还须提供其他服务机构的有效授权书原件）；</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3</w:t>
      </w:r>
      <w:r>
        <w:rPr>
          <w:rFonts w:eastAsia="仿宋"/>
          <w:color w:val="000000"/>
          <w:sz w:val="24"/>
        </w:rPr>
        <w:t>）有效的法定代表人（负责人）身份证正反面复印件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4</w:t>
      </w:r>
      <w:r>
        <w:rPr>
          <w:rFonts w:eastAsia="仿宋"/>
          <w:sz w:val="24"/>
        </w:rPr>
        <w:t>）法定代表人（负责人）授权委托书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5</w:t>
      </w:r>
      <w:r>
        <w:rPr>
          <w:rFonts w:eastAsia="仿宋"/>
          <w:sz w:val="24"/>
        </w:rPr>
        <w:t>）有效的委托代理人身份证正反面复印件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6</w:t>
      </w:r>
      <w:r>
        <w:rPr>
          <w:rFonts w:eastAsia="仿宋"/>
          <w:sz w:val="24"/>
        </w:rPr>
        <w:t>）响应文件递交截止之日前半年内报价人任意连续3个月的有效依法缴纳税费或依法免缴税费的证明</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7</w:t>
      </w:r>
      <w:r>
        <w:rPr>
          <w:rFonts w:eastAsia="仿宋"/>
          <w:sz w:val="24"/>
        </w:rPr>
        <w:t>）响应文件递交截止之日前半年内报价人任意连续3个月的有效依法缴纳社保费的缴费凭证</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8</w:t>
      </w:r>
      <w:r>
        <w:rPr>
          <w:rFonts w:eastAsia="仿宋"/>
          <w:sz w:val="24"/>
        </w:rPr>
        <w:t>）</w:t>
      </w:r>
      <w:r>
        <w:rPr>
          <w:rFonts w:hint="eastAsia" w:eastAsia="仿宋"/>
          <w:sz w:val="24"/>
        </w:rPr>
        <w:t>响应文件递交截止之日前半年内任意连续3个月报价人为项目实施人员缴纳的社保证明</w:t>
      </w:r>
    </w:p>
    <w:p>
      <w:pPr>
        <w:numPr>
          <w:ilvl w:val="0"/>
          <w:numId w:val="5"/>
        </w:numPr>
        <w:snapToGrid w:val="0"/>
        <w:spacing w:line="400" w:lineRule="exact"/>
        <w:ind w:firstLine="480" w:firstLineChars="200"/>
        <w:jc w:val="left"/>
        <w:rPr>
          <w:rFonts w:eastAsia="仿宋"/>
          <w:sz w:val="24"/>
        </w:rPr>
      </w:pPr>
      <w:r>
        <w:rPr>
          <w:rFonts w:hint="eastAsia" w:eastAsia="仿宋"/>
          <w:sz w:val="24"/>
        </w:rPr>
        <w:t>报价人参加政府采购活动前3年内在经营活动中没有重大违法记录的书面声明（格式自拟，原件加盖单位公章）</w:t>
      </w:r>
    </w:p>
    <w:p>
      <w:pPr>
        <w:numPr>
          <w:ilvl w:val="0"/>
          <w:numId w:val="5"/>
        </w:numPr>
        <w:snapToGrid w:val="0"/>
        <w:spacing w:line="400" w:lineRule="exact"/>
        <w:ind w:firstLine="480" w:firstLineChars="200"/>
        <w:jc w:val="left"/>
        <w:rPr>
          <w:rFonts w:eastAsia="仿宋"/>
          <w:sz w:val="24"/>
        </w:rPr>
      </w:pPr>
      <w:r>
        <w:rPr>
          <w:rFonts w:hint="eastAsia" w:eastAsia="仿宋"/>
          <w:sz w:val="24"/>
        </w:rPr>
        <w:t>报价人主体信用记录查询结果截图</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11</w:t>
      </w:r>
      <w:r>
        <w:rPr>
          <w:rFonts w:eastAsia="仿宋"/>
          <w:sz w:val="24"/>
        </w:rPr>
        <w:t>）商务响应表</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2</w:t>
      </w:r>
      <w:r>
        <w:rPr>
          <w:rFonts w:eastAsia="仿宋"/>
          <w:sz w:val="24"/>
        </w:rPr>
        <w:t>）服务承诺书</w:t>
      </w:r>
    </w:p>
    <w:p>
      <w:pPr>
        <w:snapToGrid w:val="0"/>
        <w:spacing w:line="400" w:lineRule="exact"/>
        <w:ind w:firstLine="713" w:firstLineChars="296"/>
        <w:jc w:val="left"/>
        <w:outlineLvl w:val="2"/>
        <w:rPr>
          <w:rFonts w:eastAsia="仿宋"/>
          <w:sz w:val="24"/>
        </w:rPr>
      </w:pPr>
      <w:r>
        <w:rPr>
          <w:rFonts w:eastAsia="仿宋"/>
          <w:b/>
          <w:sz w:val="24"/>
        </w:rPr>
        <w:t>可作为</w:t>
      </w:r>
      <w:r>
        <w:rPr>
          <w:rFonts w:hint="eastAsia" w:eastAsia="仿宋"/>
          <w:b/>
          <w:bCs/>
          <w:sz w:val="24"/>
        </w:rPr>
        <w:t>报价人</w:t>
      </w:r>
      <w:r>
        <w:rPr>
          <w:rFonts w:eastAsia="仿宋"/>
          <w:b/>
          <w:bCs/>
          <w:sz w:val="24"/>
        </w:rPr>
        <w:t>资信评分的资质证明材料</w:t>
      </w:r>
      <w:r>
        <w:rPr>
          <w:rFonts w:eastAsia="仿宋"/>
          <w:b/>
          <w:sz w:val="24"/>
        </w:rPr>
        <w:t>（如有）</w:t>
      </w:r>
      <w:r>
        <w:rPr>
          <w:rFonts w:eastAsia="仿宋"/>
          <w:sz w:val="24"/>
        </w:rPr>
        <w:t>：</w:t>
      </w:r>
    </w:p>
    <w:p>
      <w:pPr>
        <w:snapToGrid w:val="0"/>
        <w:spacing w:line="400" w:lineRule="exact"/>
        <w:ind w:firstLine="480" w:firstLineChars="200"/>
        <w:jc w:val="left"/>
        <w:rPr>
          <w:rFonts w:eastAsia="仿宋"/>
          <w:sz w:val="24"/>
        </w:rPr>
      </w:pPr>
      <w:r>
        <w:rPr>
          <w:rFonts w:hint="eastAsia" w:eastAsia="仿宋"/>
          <w:sz w:val="24"/>
        </w:rPr>
        <w:t>（13）报价人的类似成功案例的业绩证明文件</w:t>
      </w:r>
    </w:p>
    <w:p>
      <w:pPr>
        <w:snapToGrid w:val="0"/>
        <w:spacing w:line="400" w:lineRule="exact"/>
        <w:jc w:val="left"/>
        <w:rPr>
          <w:rFonts w:eastAsia="仿宋"/>
          <w:b/>
          <w:sz w:val="24"/>
        </w:rPr>
      </w:pPr>
      <w:r>
        <w:rPr>
          <w:rFonts w:eastAsia="仿宋"/>
          <w:b/>
          <w:sz w:val="24"/>
        </w:rPr>
        <w:br w:type="page"/>
      </w:r>
      <w:r>
        <w:rPr>
          <w:rFonts w:eastAsia="仿宋"/>
          <w:b/>
          <w:sz w:val="24"/>
        </w:rPr>
        <w:t>（1）</w:t>
      </w:r>
      <w:r>
        <w:rPr>
          <w:rFonts w:hint="eastAsia" w:eastAsia="仿宋"/>
          <w:b/>
          <w:sz w:val="24"/>
        </w:rPr>
        <w:t>报价</w:t>
      </w:r>
      <w:r>
        <w:rPr>
          <w:rFonts w:eastAsia="仿宋"/>
          <w:b/>
          <w:sz w:val="24"/>
        </w:rPr>
        <w:t>声明书格式：</w:t>
      </w:r>
    </w:p>
    <w:p>
      <w:pPr>
        <w:spacing w:line="400" w:lineRule="exact"/>
        <w:jc w:val="center"/>
        <w:rPr>
          <w:rFonts w:eastAsia="仿宋"/>
          <w:b/>
          <w:spacing w:val="6"/>
          <w:sz w:val="32"/>
          <w:szCs w:val="32"/>
        </w:rPr>
      </w:pPr>
    </w:p>
    <w:p>
      <w:pPr>
        <w:spacing w:line="400" w:lineRule="exact"/>
        <w:jc w:val="center"/>
        <w:rPr>
          <w:rFonts w:eastAsia="仿宋"/>
          <w:b/>
          <w:spacing w:val="6"/>
          <w:sz w:val="32"/>
          <w:szCs w:val="32"/>
        </w:rPr>
      </w:pPr>
      <w:r>
        <w:rPr>
          <w:rFonts w:hint="eastAsia" w:eastAsia="仿宋"/>
          <w:b/>
          <w:spacing w:val="6"/>
          <w:sz w:val="32"/>
          <w:szCs w:val="32"/>
        </w:rPr>
        <w:t>报价</w:t>
      </w:r>
      <w:r>
        <w:rPr>
          <w:rFonts w:eastAsia="仿宋"/>
          <w:b/>
          <w:spacing w:val="6"/>
          <w:sz w:val="32"/>
          <w:szCs w:val="32"/>
        </w:rPr>
        <w:t>声明书</w:t>
      </w:r>
    </w:p>
    <w:p>
      <w:pPr>
        <w:spacing w:line="400" w:lineRule="exact"/>
        <w:jc w:val="center"/>
        <w:rPr>
          <w:rFonts w:eastAsia="仿宋"/>
          <w:b/>
          <w:spacing w:val="6"/>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名称）系中华人民共和国合法企业，经营地址</w:t>
      </w:r>
      <w:r>
        <w:rPr>
          <w:rFonts w:eastAsia="仿宋"/>
          <w:sz w:val="24"/>
          <w:u w:val="single"/>
        </w:rPr>
        <w:t xml:space="preserve">                               </w:t>
      </w:r>
      <w:r>
        <w:rPr>
          <w:rFonts w:eastAsia="仿宋"/>
          <w:sz w:val="24"/>
        </w:rPr>
        <w:t>。</w:t>
      </w:r>
    </w:p>
    <w:p>
      <w:pPr>
        <w:snapToGrid w:val="0"/>
        <w:spacing w:line="400" w:lineRule="exact"/>
        <w:ind w:firstLine="645"/>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名称）的法定代表人（负责人），我方愿意参加贵方组织的</w:t>
      </w:r>
      <w:r>
        <w:rPr>
          <w:rFonts w:hint="eastAsia" w:eastAsia="仿宋"/>
          <w:sz w:val="24"/>
          <w:u w:val="single"/>
        </w:rPr>
        <w:t>广西自治区级公共安全视频监控建设联网应用项目第三方系统测评服务</w:t>
      </w:r>
      <w:r>
        <w:rPr>
          <w:rFonts w:hint="eastAsia" w:eastAsia="仿宋"/>
          <w:sz w:val="24"/>
        </w:rPr>
        <w:t>项目</w:t>
      </w:r>
      <w:r>
        <w:rPr>
          <w:rFonts w:eastAsia="仿宋"/>
          <w:sz w:val="24"/>
        </w:rPr>
        <w:t>的</w:t>
      </w:r>
      <w:r>
        <w:rPr>
          <w:rFonts w:hint="eastAsia" w:eastAsia="仿宋"/>
          <w:sz w:val="24"/>
        </w:rPr>
        <w:t>报价</w:t>
      </w:r>
      <w:r>
        <w:rPr>
          <w:rFonts w:eastAsia="仿宋"/>
          <w:sz w:val="24"/>
        </w:rPr>
        <w:t>，为便于贵方公正、择优地确定成交人及其产品和服务，我方就本次</w:t>
      </w:r>
      <w:r>
        <w:rPr>
          <w:rFonts w:hint="eastAsia" w:eastAsia="仿宋"/>
          <w:sz w:val="24"/>
        </w:rPr>
        <w:t>报价</w:t>
      </w:r>
      <w:r>
        <w:rPr>
          <w:rFonts w:eastAsia="仿宋"/>
          <w:sz w:val="24"/>
        </w:rPr>
        <w:t>有关事项郑重声明如下：</w:t>
      </w:r>
    </w:p>
    <w:p>
      <w:pPr>
        <w:snapToGrid w:val="0"/>
        <w:spacing w:line="400" w:lineRule="exact"/>
        <w:ind w:firstLine="480" w:firstLineChars="200"/>
        <w:rPr>
          <w:rFonts w:eastAsia="仿宋"/>
          <w:sz w:val="24"/>
        </w:rPr>
      </w:pPr>
      <w:r>
        <w:rPr>
          <w:rFonts w:eastAsia="仿宋"/>
          <w:sz w:val="24"/>
        </w:rPr>
        <w:t>1.我方向贵方提交的所有响应文件、资料都是准确的和真实的。</w:t>
      </w:r>
    </w:p>
    <w:p>
      <w:pPr>
        <w:snapToGrid w:val="0"/>
        <w:spacing w:line="400" w:lineRule="exact"/>
        <w:ind w:firstLine="480" w:firstLineChars="200"/>
        <w:rPr>
          <w:rFonts w:eastAsia="仿宋"/>
          <w:sz w:val="24"/>
        </w:rPr>
      </w:pPr>
      <w:r>
        <w:rPr>
          <w:rFonts w:eastAsia="仿宋"/>
          <w:sz w:val="24"/>
        </w:rPr>
        <w:t>2.我方不是采购人的附属机构。</w:t>
      </w:r>
    </w:p>
    <w:p>
      <w:pPr>
        <w:snapToGrid w:val="0"/>
        <w:spacing w:line="400" w:lineRule="exact"/>
        <w:ind w:firstLine="480" w:firstLineChars="200"/>
        <w:rPr>
          <w:rFonts w:eastAsia="仿宋"/>
          <w:sz w:val="24"/>
        </w:rPr>
      </w:pPr>
      <w:r>
        <w:rPr>
          <w:rFonts w:eastAsia="仿宋"/>
          <w:sz w:val="24"/>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pStyle w:val="13"/>
        <w:snapToGrid w:val="0"/>
        <w:spacing w:line="400" w:lineRule="exact"/>
        <w:ind w:firstLine="480" w:firstLineChars="200"/>
        <w:rPr>
          <w:rFonts w:ascii="Times New Roman" w:eastAsia="仿宋"/>
          <w:sz w:val="24"/>
          <w:szCs w:val="24"/>
        </w:rPr>
      </w:pPr>
      <w:r>
        <w:rPr>
          <w:rFonts w:ascii="Times New Roman" w:eastAsia="仿宋"/>
          <w:sz w:val="24"/>
          <w:szCs w:val="24"/>
        </w:rPr>
        <w:t>4.我方及由本人担任法定代表人</w:t>
      </w:r>
      <w:r>
        <w:rPr>
          <w:rFonts w:ascii="Times New Roman" w:eastAsia="仿宋"/>
          <w:sz w:val="24"/>
        </w:rPr>
        <w:t>（负责人）</w:t>
      </w:r>
      <w:r>
        <w:rPr>
          <w:rFonts w:ascii="Times New Roman" w:eastAsia="仿宋"/>
          <w:sz w:val="24"/>
          <w:szCs w:val="24"/>
        </w:rPr>
        <w:t>的其他机构最近三年内被通报或者被处罚的违法行为有：</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snapToGrid w:val="0"/>
        <w:spacing w:line="400" w:lineRule="exact"/>
        <w:ind w:firstLine="480" w:firstLineChars="200"/>
        <w:rPr>
          <w:rFonts w:eastAsia="仿宋"/>
          <w:sz w:val="24"/>
        </w:rPr>
      </w:pPr>
      <w:r>
        <w:rPr>
          <w:rFonts w:eastAsia="仿宋"/>
          <w:sz w:val="24"/>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2</w:t>
      </w:r>
      <w:r>
        <w:rPr>
          <w:rFonts w:eastAsia="仿宋"/>
          <w:b/>
          <w:sz w:val="24"/>
        </w:rPr>
        <w:t>）</w:t>
      </w:r>
      <w:r>
        <w:rPr>
          <w:rFonts w:hint="eastAsia" w:eastAsia="仿宋"/>
          <w:b/>
          <w:sz w:val="24"/>
        </w:rPr>
        <w:t>有效的营业执照副本复印件并加盖公章；</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3</w:t>
      </w:r>
      <w:r>
        <w:rPr>
          <w:rFonts w:eastAsia="仿宋"/>
          <w:b/>
          <w:sz w:val="24"/>
        </w:rPr>
        <w:t>）有效的法定代表人（负责人）身份证正反面复印件</w:t>
      </w:r>
      <w:r>
        <w:rPr>
          <w:rFonts w:hint="eastAsia" w:eastAsia="仿宋"/>
          <w:b/>
          <w:sz w:val="24"/>
        </w:rPr>
        <w:t>并加盖公章</w:t>
      </w:r>
      <w:r>
        <w:rPr>
          <w:rFonts w:eastAsia="仿宋"/>
          <w:b/>
          <w:sz w:val="24"/>
        </w:rPr>
        <w:t>（如法定代表人（负责人）非中国国籍应提交护照复印件，要求证件有效并与营业执照中的法定代表人（负责人）相符）</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）法定代表人（负责人）授权委托书格式（委托代理时提供）：</w:t>
      </w:r>
    </w:p>
    <w:p>
      <w:pPr>
        <w:pStyle w:val="36"/>
      </w:pPr>
    </w:p>
    <w:p>
      <w:pPr>
        <w:spacing w:line="400" w:lineRule="exact"/>
        <w:jc w:val="center"/>
        <w:rPr>
          <w:rFonts w:eastAsia="仿宋"/>
          <w:b/>
          <w:spacing w:val="6"/>
          <w:sz w:val="32"/>
          <w:szCs w:val="32"/>
        </w:rPr>
      </w:pPr>
    </w:p>
    <w:p>
      <w:pPr>
        <w:pStyle w:val="36"/>
      </w:pPr>
    </w:p>
    <w:p>
      <w:pPr>
        <w:spacing w:line="400" w:lineRule="exact"/>
        <w:jc w:val="center"/>
        <w:rPr>
          <w:rFonts w:eastAsia="仿宋"/>
          <w:b/>
          <w:spacing w:val="6"/>
          <w:sz w:val="32"/>
          <w:szCs w:val="32"/>
        </w:rPr>
      </w:pPr>
      <w:r>
        <w:rPr>
          <w:rFonts w:eastAsia="仿宋"/>
          <w:b/>
          <w:spacing w:val="6"/>
          <w:sz w:val="32"/>
          <w:szCs w:val="32"/>
        </w:rPr>
        <w:t>法定代表人（负责人）授权委托书</w:t>
      </w:r>
    </w:p>
    <w:p>
      <w:pPr>
        <w:snapToGrid w:val="0"/>
        <w:spacing w:line="400" w:lineRule="exact"/>
        <w:rPr>
          <w:rFonts w:eastAsia="仿宋"/>
          <w:bCs/>
          <w:sz w:val="24"/>
        </w:rPr>
      </w:pPr>
    </w:p>
    <w:p>
      <w:pPr>
        <w:snapToGrid w:val="0"/>
        <w:spacing w:line="400" w:lineRule="exact"/>
        <w:rPr>
          <w:rFonts w:eastAsia="仿宋"/>
          <w:b/>
          <w:bCs/>
          <w:sz w:val="24"/>
        </w:rPr>
      </w:pPr>
      <w:r>
        <w:rPr>
          <w:rFonts w:eastAsia="仿宋"/>
          <w:bCs/>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 xml:space="preserve">名称）的法定代表人（负责人），现授权委托本单位在职职工 </w:t>
      </w:r>
      <w:r>
        <w:rPr>
          <w:rFonts w:eastAsia="仿宋"/>
          <w:sz w:val="24"/>
          <w:u w:val="single"/>
        </w:rPr>
        <w:t xml:space="preserve">              </w:t>
      </w:r>
      <w:r>
        <w:rPr>
          <w:rFonts w:eastAsia="仿宋"/>
          <w:sz w:val="24"/>
        </w:rPr>
        <w:t>（姓名）以我方的名义参加</w:t>
      </w:r>
      <w:r>
        <w:rPr>
          <w:rFonts w:hint="eastAsia" w:eastAsia="仿宋"/>
          <w:sz w:val="24"/>
          <w:u w:val="single"/>
        </w:rPr>
        <w:t>广西自治区级公共安全视频监控建设联网应用项目第三方系统测评服务</w:t>
      </w:r>
      <w:r>
        <w:rPr>
          <w:rFonts w:eastAsia="仿宋"/>
          <w:sz w:val="24"/>
        </w:rPr>
        <w:t>项目的</w:t>
      </w:r>
      <w:r>
        <w:rPr>
          <w:rFonts w:hint="eastAsia" w:eastAsia="仿宋"/>
          <w:sz w:val="24"/>
        </w:rPr>
        <w:t>采购</w:t>
      </w:r>
      <w:r>
        <w:rPr>
          <w:rFonts w:eastAsia="仿宋"/>
          <w:sz w:val="24"/>
        </w:rPr>
        <w:t>活动，并代表我方全权办理针对上述项目</w:t>
      </w:r>
      <w:r>
        <w:rPr>
          <w:rFonts w:hint="eastAsia" w:eastAsia="仿宋"/>
          <w:sz w:val="24"/>
        </w:rPr>
        <w:t>采购活动</w:t>
      </w:r>
      <w:r>
        <w:rPr>
          <w:rFonts w:eastAsia="仿宋"/>
          <w:sz w:val="24"/>
        </w:rPr>
        <w:t>的具体事务和签署相关文件。</w:t>
      </w:r>
    </w:p>
    <w:p>
      <w:pPr>
        <w:snapToGrid w:val="0"/>
        <w:spacing w:line="400" w:lineRule="exact"/>
        <w:rPr>
          <w:rFonts w:eastAsia="仿宋"/>
          <w:sz w:val="24"/>
        </w:rPr>
      </w:pPr>
      <w:r>
        <w:rPr>
          <w:rFonts w:eastAsia="仿宋"/>
          <w:sz w:val="24"/>
        </w:rPr>
        <w:t xml:space="preserve">    我方对被授权人的签名事项负全部责任。</w:t>
      </w:r>
    </w:p>
    <w:p>
      <w:pPr>
        <w:snapToGrid w:val="0"/>
        <w:spacing w:line="400" w:lineRule="exact"/>
        <w:ind w:firstLine="480"/>
        <w:rPr>
          <w:rFonts w:eastAsia="仿宋"/>
          <w:sz w:val="24"/>
        </w:rPr>
      </w:pPr>
      <w:r>
        <w:rPr>
          <w:rFonts w:eastAsia="仿宋"/>
          <w:sz w:val="24"/>
          <w:u w:val="single"/>
        </w:rPr>
        <w:t>在撤销授权的书面通知以前，本授权书一直有效。</w:t>
      </w:r>
      <w:r>
        <w:rPr>
          <w:rFonts w:eastAsia="仿宋"/>
          <w:sz w:val="24"/>
        </w:rPr>
        <w:t>被授权人在授权书有效期内签署的所有文件不因授权的撤销而失效。</w:t>
      </w:r>
    </w:p>
    <w:p>
      <w:pPr>
        <w:snapToGrid w:val="0"/>
        <w:spacing w:line="400" w:lineRule="exact"/>
        <w:ind w:firstLine="480"/>
        <w:rPr>
          <w:rFonts w:eastAsia="仿宋"/>
          <w:sz w:val="24"/>
        </w:rPr>
      </w:pPr>
      <w:r>
        <w:rPr>
          <w:rFonts w:eastAsia="仿宋"/>
          <w:sz w:val="24"/>
        </w:rPr>
        <w:t>被授权人无转委托权，特此委托。</w:t>
      </w:r>
    </w:p>
    <w:p>
      <w:pPr>
        <w:wordWrap w:val="0"/>
        <w:snapToGrid w:val="0"/>
        <w:spacing w:line="400" w:lineRule="exact"/>
        <w:rPr>
          <w:rFonts w:eastAsia="仿宋"/>
          <w:sz w:val="24"/>
          <w:u w:val="single"/>
        </w:rPr>
      </w:pPr>
      <w:r>
        <w:rPr>
          <w:rFonts w:eastAsia="仿宋"/>
          <w:sz w:val="24"/>
        </w:rPr>
        <w:t>被授权人签名：</w:t>
      </w:r>
      <w:r>
        <w:rPr>
          <w:rFonts w:eastAsia="仿宋"/>
          <w:sz w:val="24"/>
          <w:u w:val="single"/>
        </w:rPr>
        <w:t xml:space="preserve">             </w:t>
      </w:r>
      <w:r>
        <w:rPr>
          <w:rFonts w:eastAsia="仿宋"/>
          <w:sz w:val="24"/>
        </w:rPr>
        <w:t xml:space="preserve">       法定代表人（负责人）签名：</w:t>
      </w:r>
      <w:r>
        <w:rPr>
          <w:rFonts w:eastAsia="仿宋"/>
          <w:sz w:val="24"/>
          <w:u w:val="single"/>
        </w:rPr>
        <w:t xml:space="preserve">              </w:t>
      </w:r>
    </w:p>
    <w:p>
      <w:pPr>
        <w:wordWrap w:val="0"/>
        <w:snapToGrid w:val="0"/>
        <w:spacing w:line="400" w:lineRule="exact"/>
        <w:rPr>
          <w:rFonts w:eastAsia="仿宋"/>
          <w:sz w:val="24"/>
        </w:rPr>
      </w:pPr>
      <w:r>
        <w:rPr>
          <w:rFonts w:eastAsia="仿宋"/>
          <w:sz w:val="24"/>
        </w:rPr>
        <w:t>所在部门职务：</w:t>
      </w:r>
      <w:r>
        <w:rPr>
          <w:rFonts w:eastAsia="仿宋"/>
          <w:sz w:val="24"/>
          <w:u w:val="single"/>
        </w:rPr>
        <w:t xml:space="preserve">             </w:t>
      </w:r>
      <w:r>
        <w:rPr>
          <w:rFonts w:eastAsia="仿宋"/>
          <w:sz w:val="24"/>
        </w:rPr>
        <w:t xml:space="preserve">       职  务：</w:t>
      </w:r>
      <w:r>
        <w:rPr>
          <w:rFonts w:eastAsia="仿宋"/>
          <w:sz w:val="24"/>
          <w:u w:val="single"/>
        </w:rPr>
        <w:t xml:space="preserve">              </w:t>
      </w:r>
    </w:p>
    <w:p>
      <w:pPr>
        <w:wordWrap w:val="0"/>
        <w:snapToGrid w:val="0"/>
        <w:spacing w:line="400" w:lineRule="exact"/>
        <w:rPr>
          <w:rFonts w:eastAsia="仿宋"/>
          <w:sz w:val="24"/>
        </w:rPr>
      </w:pPr>
      <w:r>
        <w:rPr>
          <w:rFonts w:eastAsia="仿宋"/>
          <w:sz w:val="24"/>
        </w:rPr>
        <w:t>被授权人身份证号码：</w:t>
      </w:r>
      <w:r>
        <w:rPr>
          <w:rFonts w:eastAsia="仿宋"/>
          <w:sz w:val="24"/>
          <w:u w:val="single"/>
        </w:rPr>
        <w:t xml:space="preserve">                              </w:t>
      </w:r>
    </w:p>
    <w:p>
      <w:pPr>
        <w:wordWrap w:val="0"/>
        <w:snapToGrid w:val="0"/>
        <w:spacing w:line="400" w:lineRule="exact"/>
        <w:ind w:firstLine="6720" w:firstLineChars="2800"/>
        <w:rPr>
          <w:rFonts w:eastAsia="仿宋"/>
          <w:sz w:val="24"/>
        </w:rPr>
      </w:pPr>
      <w:r>
        <w:rPr>
          <w:rFonts w:eastAsia="仿宋"/>
          <w:sz w:val="24"/>
        </w:rPr>
        <w:t xml:space="preserve">                                                                               </w:t>
      </w:r>
      <w:r>
        <w:rPr>
          <w:rFonts w:hint="eastAsia" w:eastAsia="仿宋"/>
          <w:sz w:val="24"/>
        </w:rPr>
        <w:t>报价人</w:t>
      </w:r>
      <w:r>
        <w:rPr>
          <w:rFonts w:eastAsia="仿宋"/>
          <w:sz w:val="24"/>
        </w:rPr>
        <w:t>公章：</w:t>
      </w:r>
      <w:r>
        <w:rPr>
          <w:rFonts w:eastAsia="仿宋"/>
          <w:sz w:val="24"/>
          <w:u w:val="single"/>
        </w:rPr>
        <w:t xml:space="preserve">            </w:t>
      </w:r>
    </w:p>
    <w:p>
      <w:pPr>
        <w:snapToGrid w:val="0"/>
        <w:spacing w:line="400" w:lineRule="exact"/>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5</w:t>
      </w:r>
      <w:r>
        <w:rPr>
          <w:rFonts w:eastAsia="仿宋"/>
          <w:b/>
          <w:sz w:val="24"/>
        </w:rPr>
        <w:t>）有效的委托代理人身份证正反面复印件</w:t>
      </w:r>
      <w:r>
        <w:rPr>
          <w:rFonts w:hint="eastAsia" w:eastAsia="仿宋"/>
          <w:b/>
          <w:sz w:val="24"/>
        </w:rPr>
        <w:t>并加盖公章</w:t>
      </w:r>
      <w:r>
        <w:rPr>
          <w:rFonts w:eastAsia="仿宋"/>
          <w:b/>
          <w:sz w:val="24"/>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6</w:t>
      </w:r>
      <w:r>
        <w:rPr>
          <w:rFonts w:eastAsia="仿宋"/>
          <w:b/>
          <w:sz w:val="24"/>
        </w:rPr>
        <w:t>）响应文件递交截止之日前半年内报价人任意连续3个月的有效依法缴纳税费或依法免缴税费的证明（无纳税记录的，应提供由</w:t>
      </w:r>
      <w:r>
        <w:rPr>
          <w:rFonts w:hint="eastAsia" w:eastAsia="仿宋"/>
          <w:b/>
          <w:sz w:val="24"/>
        </w:rPr>
        <w:t>报价人</w:t>
      </w:r>
      <w:r>
        <w:rPr>
          <w:rFonts w:eastAsia="仿宋"/>
          <w:b/>
          <w:sz w:val="24"/>
        </w:rPr>
        <w:t>所在地主管国税、地税部门出具的《依法纳税或依法免税证明》</w:t>
      </w:r>
      <w:r>
        <w:rPr>
          <w:rFonts w:hint="eastAsia" w:eastAsia="仿宋"/>
          <w:b/>
          <w:sz w:val="24"/>
        </w:rPr>
        <w:t>）</w:t>
      </w:r>
      <w:r>
        <w:rPr>
          <w:rFonts w:eastAsia="仿宋"/>
          <w:b/>
          <w:sz w:val="24"/>
        </w:rPr>
        <w:t>；</w:t>
      </w:r>
      <w:r>
        <w:rPr>
          <w:rFonts w:hint="eastAsia" w:eastAsia="仿宋"/>
          <w:b/>
          <w:sz w:val="24"/>
        </w:rPr>
        <w:t>注册时间不足6个月的公司（以营业执照上注册时间为准）</w:t>
      </w:r>
      <w:r>
        <w:rPr>
          <w:rFonts w:eastAsia="仿宋"/>
          <w:b/>
          <w:sz w:val="24"/>
        </w:rPr>
        <w:t>，则提供公司成立后任意一个月的有效依法缴纳税费或依法免缴税费或依法在办缴税的证明（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7</w:t>
      </w:r>
      <w:r>
        <w:rPr>
          <w:rFonts w:eastAsia="仿宋"/>
          <w:b/>
          <w:sz w:val="24"/>
        </w:rPr>
        <w:t>）响应文件递交截止之日前半年内报价人任意连续3个月的有效依法缴纳社保费的缴费凭证（无缴费记录的，应提供由</w:t>
      </w:r>
      <w:r>
        <w:rPr>
          <w:rFonts w:hint="eastAsia" w:eastAsia="仿宋"/>
          <w:b/>
          <w:sz w:val="24"/>
        </w:rPr>
        <w:t>报价人</w:t>
      </w:r>
      <w:r>
        <w:rPr>
          <w:rFonts w:eastAsia="仿宋"/>
          <w:b/>
          <w:sz w:val="24"/>
        </w:rPr>
        <w:t>所在地社保部门出具的《依法缴纳或依法免缴社保费证明》</w:t>
      </w:r>
      <w:r>
        <w:rPr>
          <w:rFonts w:hint="eastAsia" w:eastAsia="仿宋"/>
          <w:b/>
          <w:sz w:val="24"/>
        </w:rPr>
        <w:t>）</w:t>
      </w:r>
      <w:r>
        <w:rPr>
          <w:rFonts w:eastAsia="仿宋"/>
          <w:b/>
          <w:sz w:val="24"/>
        </w:rPr>
        <w:t>；</w:t>
      </w:r>
      <w:r>
        <w:rPr>
          <w:rFonts w:hint="eastAsia" w:eastAsia="仿宋"/>
          <w:b/>
          <w:sz w:val="24"/>
        </w:rPr>
        <w:t>注册时间不足6个月的公司（以营业执照上注册时间为准）</w:t>
      </w:r>
      <w:r>
        <w:rPr>
          <w:rFonts w:eastAsia="仿宋"/>
          <w:b/>
          <w:sz w:val="24"/>
        </w:rPr>
        <w:t>，则提供公司成立后任意一个月的有效依法缴纳社保费或依法免缴社保或在办依法缴纳社保的证明（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hint="eastAsia" w:eastAsia="仿宋"/>
          <w:b/>
          <w:sz w:val="24"/>
        </w:rPr>
        <w:t>（8）响应文件递交截止之日前半年内任意连续3个月报价人为项目实施人员缴纳的社保证明（社保证明必须经报价人所在地的社保部门盖章确认，依法不参与社保的人员，应出具相关的证明文件；复印件加盖单位公章；）</w:t>
      </w:r>
    </w:p>
    <w:p>
      <w:pPr>
        <w:pStyle w:val="36"/>
      </w:pPr>
    </w:p>
    <w:p>
      <w:pPr>
        <w:pStyle w:val="36"/>
      </w:pPr>
    </w:p>
    <w:p>
      <w:pPr>
        <w:numPr>
          <w:ilvl w:val="0"/>
          <w:numId w:val="6"/>
        </w:numPr>
        <w:snapToGrid w:val="0"/>
        <w:spacing w:line="400" w:lineRule="exact"/>
        <w:jc w:val="left"/>
        <w:rPr>
          <w:rFonts w:eastAsia="仿宋"/>
          <w:b/>
          <w:sz w:val="24"/>
        </w:rPr>
      </w:pPr>
      <w:r>
        <w:rPr>
          <w:rFonts w:hint="eastAsia" w:eastAsia="仿宋"/>
          <w:b/>
          <w:sz w:val="24"/>
        </w:rPr>
        <w:t>报价人参加政府采购活动前3年内在经营活动中没有重大违法记录的书面声明（格式自拟，原件加盖单位公章），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6"/>
        </w:numPr>
        <w:snapToGrid w:val="0"/>
        <w:spacing w:line="400" w:lineRule="exact"/>
        <w:jc w:val="left"/>
        <w:rPr>
          <w:rFonts w:eastAsia="仿宋"/>
          <w:b/>
          <w:sz w:val="24"/>
        </w:rPr>
      </w:pPr>
      <w:r>
        <w:rPr>
          <w:rFonts w:hint="eastAsia" w:eastAsia="仿宋"/>
          <w:b/>
          <w:sz w:val="24"/>
        </w:rPr>
        <w:t>报价人主体信用记录查询结果截图（加盖报价人单位公章）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11</w:t>
      </w:r>
      <w:r>
        <w:rPr>
          <w:rFonts w:eastAsia="仿宋"/>
          <w:b/>
          <w:sz w:val="24"/>
        </w:rPr>
        <w:t>）商务响应表格式：</w:t>
      </w:r>
    </w:p>
    <w:tbl>
      <w:tblPr>
        <w:tblStyle w:val="34"/>
        <w:tblW w:w="876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hint="eastAsia" w:eastAsia="仿宋"/>
                <w:sz w:val="24"/>
              </w:rPr>
              <w:t>报价人</w:t>
            </w:r>
            <w:r>
              <w:rPr>
                <w:rFonts w:eastAsia="仿宋"/>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rPr>
            </w:pPr>
            <w:r>
              <w:rPr>
                <w:rFonts w:eastAsia="仿宋"/>
                <w:b/>
                <w:sz w:val="24"/>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snapToGrid w:val="0"/>
        <w:spacing w:line="400" w:lineRule="exact"/>
        <w:ind w:firstLine="6720" w:firstLineChars="2800"/>
        <w:rPr>
          <w:rFonts w:eastAsia="仿宋"/>
          <w:sz w:val="24"/>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（1</w:t>
      </w:r>
      <w:r>
        <w:rPr>
          <w:rFonts w:hint="eastAsia" w:eastAsia="仿宋"/>
          <w:b/>
          <w:sz w:val="24"/>
        </w:rPr>
        <w:t>2</w:t>
      </w:r>
      <w:r>
        <w:rPr>
          <w:rFonts w:eastAsia="仿宋"/>
          <w:b/>
          <w:sz w:val="24"/>
        </w:rPr>
        <w:t>）服务承诺书（格式自拟）</w:t>
      </w:r>
    </w:p>
    <w:p>
      <w:pPr>
        <w:snapToGrid w:val="0"/>
        <w:spacing w:line="400" w:lineRule="exact"/>
        <w:jc w:val="left"/>
        <w:rPr>
          <w:rFonts w:eastAsia="仿宋"/>
          <w:b/>
          <w:sz w:val="24"/>
        </w:rPr>
      </w:pPr>
    </w:p>
    <w:p>
      <w:pPr>
        <w:sectPr>
          <w:footerReference r:id="rId12" w:type="default"/>
          <w:pgSz w:w="11906" w:h="16838"/>
          <w:pgMar w:top="1134" w:right="1134" w:bottom="1134" w:left="1134" w:header="851" w:footer="992" w:gutter="0"/>
          <w:cols w:space="720" w:num="1"/>
          <w:docGrid w:linePitch="312" w:charSpace="0"/>
        </w:sectPr>
      </w:pPr>
    </w:p>
    <w:p>
      <w:pPr>
        <w:pStyle w:val="2"/>
      </w:pPr>
    </w:p>
    <w:p>
      <w:pPr>
        <w:pStyle w:val="36"/>
      </w:pPr>
    </w:p>
    <w:p>
      <w:pPr>
        <w:pStyle w:val="36"/>
        <w:snapToGrid w:val="0"/>
        <w:spacing w:line="400" w:lineRule="exact"/>
        <w:rPr>
          <w:rFonts w:eastAsia="仿宋"/>
          <w:b/>
        </w:rPr>
      </w:pPr>
      <w:r>
        <w:rPr>
          <w:rFonts w:hint="eastAsia" w:eastAsia="仿宋"/>
          <w:b/>
        </w:rPr>
        <w:t>（13）报价人的类似成功案例的业绩证明文件：</w:t>
      </w:r>
    </w:p>
    <w:p>
      <w:pPr>
        <w:pStyle w:val="22"/>
        <w:snapToGrid w:val="0"/>
        <w:spacing w:line="400" w:lineRule="exact"/>
        <w:ind w:left="0" w:firstLine="480" w:firstLineChars="200"/>
        <w:jc w:val="left"/>
        <w:rPr>
          <w:rFonts w:eastAsia="仿宋"/>
          <w:sz w:val="24"/>
        </w:rPr>
      </w:pPr>
      <w:r>
        <w:rPr>
          <w:rFonts w:hint="eastAsia" w:eastAsia="仿宋"/>
          <w:sz w:val="24"/>
        </w:rPr>
        <w:t>报价人</w:t>
      </w:r>
      <w:r>
        <w:rPr>
          <w:rFonts w:eastAsia="仿宋"/>
          <w:sz w:val="24"/>
        </w:rPr>
        <w:t>同类项目实施情况一览表格式：（</w:t>
      </w:r>
      <w:r>
        <w:rPr>
          <w:rFonts w:hint="eastAsia" w:eastAsia="仿宋"/>
          <w:sz w:val="24"/>
        </w:rPr>
        <w:t>报价人</w:t>
      </w:r>
      <w:r>
        <w:rPr>
          <w:rFonts w:eastAsia="仿宋"/>
          <w:sz w:val="24"/>
        </w:rPr>
        <w:t>同类项目</w:t>
      </w:r>
      <w:r>
        <w:rPr>
          <w:rFonts w:hint="eastAsia" w:eastAsia="仿宋"/>
          <w:sz w:val="24"/>
        </w:rPr>
        <w:t>中标/成交通知书复印件或有效合同复印件并加盖磋商供应商公章</w:t>
      </w:r>
      <w:r>
        <w:rPr>
          <w:rFonts w:eastAsia="仿宋"/>
          <w:sz w:val="24"/>
        </w:rPr>
        <w:t>，格式可自拟）</w:t>
      </w:r>
    </w:p>
    <w:tbl>
      <w:tblPr>
        <w:tblStyle w:val="34"/>
        <w:tblW w:w="1294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w:t>
            </w:r>
          </w:p>
          <w:p>
            <w:pPr>
              <w:snapToGrid w:val="0"/>
              <w:spacing w:line="400" w:lineRule="exact"/>
              <w:jc w:val="center"/>
              <w:rPr>
                <w:rFonts w:eastAsia="仿宋"/>
                <w:sz w:val="24"/>
              </w:rPr>
            </w:pPr>
            <w:r>
              <w:rPr>
                <w:rFonts w:eastAsia="仿宋"/>
                <w:sz w:val="24"/>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p>
            <w:pPr>
              <w:snapToGrid w:val="0"/>
              <w:spacing w:line="400" w:lineRule="exact"/>
              <w:jc w:val="center"/>
              <w:rPr>
                <w:rFonts w:eastAsia="仿宋"/>
                <w:sz w:val="24"/>
              </w:rPr>
            </w:pPr>
            <w:r>
              <w:rPr>
                <w:rFonts w:eastAsia="仿宋"/>
                <w:sz w:val="24"/>
              </w:rPr>
              <w:t>金额</w:t>
            </w:r>
          </w:p>
          <w:p>
            <w:pPr>
              <w:snapToGrid w:val="0"/>
              <w:spacing w:line="400" w:lineRule="exact"/>
              <w:jc w:val="center"/>
              <w:rPr>
                <w:rFonts w:eastAsia="仿宋"/>
                <w:sz w:val="24"/>
              </w:rPr>
            </w:pPr>
            <w:r>
              <w:rPr>
                <w:rFonts w:eastAsia="仿宋"/>
                <w:sz w:val="24"/>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采购单位联系人及</w:t>
            </w:r>
          </w:p>
          <w:p>
            <w:pPr>
              <w:snapToGrid w:val="0"/>
              <w:spacing w:line="400" w:lineRule="exact"/>
              <w:jc w:val="center"/>
              <w:rPr>
                <w:rFonts w:eastAsia="仿宋"/>
                <w:sz w:val="24"/>
              </w:rPr>
            </w:pPr>
            <w:r>
              <w:rPr>
                <w:rFonts w:eastAsia="仿宋"/>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wordWrap w:val="0"/>
        <w:snapToGrid w:val="0"/>
        <w:spacing w:line="400" w:lineRule="exact"/>
        <w:ind w:right="120"/>
        <w:jc w:val="right"/>
        <w:rPr>
          <w:rFonts w:eastAsia="仿宋"/>
          <w:sz w:val="24"/>
        </w:rPr>
      </w:pPr>
    </w:p>
    <w:p>
      <w:pPr>
        <w:spacing w:line="300" w:lineRule="auto"/>
        <w:ind w:firstLine="720" w:firstLineChars="300"/>
        <w:rPr>
          <w:rFonts w:ascii="仿宋_GB2312" w:eastAsia="仿宋_GB2312"/>
          <w:sz w:val="24"/>
        </w:rPr>
      </w:pPr>
      <w:r>
        <w:rPr>
          <w:rFonts w:hint="eastAsia" w:ascii="仿宋_GB2312" w:eastAsia="仿宋_GB2312"/>
          <w:sz w:val="24"/>
        </w:rPr>
        <w:t>注：1.</w:t>
      </w:r>
      <w:r>
        <w:rPr>
          <w:rFonts w:hint="eastAsia" w:ascii="宋体" w:hAnsi="宋体"/>
          <w:szCs w:val="21"/>
        </w:rPr>
        <w:t>在填写时，如本表格不适合报价人的实际情况，可根据本表格式自行制表填写。</w:t>
      </w:r>
    </w:p>
    <w:p>
      <w:pPr>
        <w:spacing w:line="300" w:lineRule="auto"/>
        <w:ind w:firstLine="1155" w:firstLineChars="550"/>
        <w:rPr>
          <w:rFonts w:ascii="宋体" w:hAnsi="宋体"/>
          <w:szCs w:val="21"/>
        </w:rPr>
      </w:pPr>
      <w:r>
        <w:rPr>
          <w:rFonts w:hint="eastAsia" w:ascii="宋体" w:hAnsi="宋体"/>
          <w:szCs w:val="21"/>
        </w:rPr>
        <w:t>2.此清单由多页构成的，应逐页加盖报价人法人公章或由法定代表人（负责人）（或委托代理人）签字。</w:t>
      </w:r>
    </w:p>
    <w:p>
      <w:pPr>
        <w:pStyle w:val="36"/>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jc w:val="right"/>
        <w:rPr>
          <w:rFonts w:eastAsia="仿宋"/>
          <w:sz w:val="24"/>
          <w:u w:val="single"/>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11760" w:firstLineChars="4900"/>
        <w:rPr>
          <w:rFonts w:eastAsia="仿宋"/>
          <w:sz w:val="24"/>
        </w:rPr>
      </w:pPr>
    </w:p>
    <w:p>
      <w:pPr>
        <w:snapToGrid w:val="0"/>
        <w:spacing w:line="400" w:lineRule="exact"/>
        <w:jc w:val="right"/>
        <w:rPr>
          <w:rFonts w:eastAsia="仿宋"/>
          <w:sz w:val="24"/>
        </w:rPr>
      </w:pPr>
      <w:r>
        <w:rPr>
          <w:rFonts w:eastAsia="仿宋"/>
          <w:sz w:val="24"/>
        </w:rPr>
        <w:t xml:space="preserve"> 年    月    日</w:t>
      </w:r>
    </w:p>
    <w:p>
      <w:pPr>
        <w:pStyle w:val="36"/>
        <w:rPr>
          <w:rFonts w:eastAsia="仿宋"/>
        </w:rPr>
      </w:pPr>
    </w:p>
    <w:p>
      <w:pPr>
        <w:pStyle w:val="22"/>
        <w:snapToGrid w:val="0"/>
        <w:spacing w:line="400" w:lineRule="exact"/>
        <w:ind w:left="480" w:hanging="480"/>
        <w:rPr>
          <w:rFonts w:eastAsia="仿宋"/>
          <w:sz w:val="24"/>
        </w:rPr>
      </w:pPr>
    </w:p>
    <w:p>
      <w:pPr>
        <w:pStyle w:val="36"/>
        <w:rPr>
          <w:rFonts w:eastAsia="仿宋"/>
        </w:rPr>
        <w:sectPr>
          <w:pgSz w:w="16838" w:h="11906" w:orient="landscape"/>
          <w:pgMar w:top="1134" w:right="1134" w:bottom="1134" w:left="1134" w:header="851" w:footer="992" w:gutter="0"/>
          <w:cols w:space="720" w:num="1"/>
          <w:docGrid w:linePitch="312" w:charSpace="0"/>
        </w:sectPr>
      </w:pPr>
    </w:p>
    <w:p>
      <w:pPr>
        <w:widowControl/>
        <w:jc w:val="left"/>
        <w:outlineLvl w:val="1"/>
        <w:rPr>
          <w:rFonts w:eastAsia="仿宋"/>
          <w:b/>
          <w:sz w:val="24"/>
        </w:rPr>
      </w:pPr>
      <w:r>
        <w:rPr>
          <w:rFonts w:eastAsia="仿宋"/>
          <w:b/>
          <w:sz w:val="24"/>
        </w:rPr>
        <w:t>三、技术文件格式</w:t>
      </w:r>
    </w:p>
    <w:p>
      <w:pPr>
        <w:snapToGrid w:val="0"/>
        <w:spacing w:before="156" w:beforeLines="50" w:after="50"/>
        <w:rPr>
          <w:rFonts w:eastAsia="仿宋"/>
          <w:b/>
          <w:sz w:val="24"/>
        </w:rPr>
      </w:pPr>
    </w:p>
    <w:p>
      <w:pPr>
        <w:snapToGrid w:val="0"/>
        <w:spacing w:before="156" w:beforeLines="50" w:after="50"/>
        <w:outlineLvl w:val="2"/>
        <w:rPr>
          <w:rFonts w:eastAsia="仿宋"/>
          <w:b/>
          <w:sz w:val="24"/>
        </w:rPr>
      </w:pPr>
      <w:r>
        <w:rPr>
          <w:rFonts w:eastAsia="仿宋"/>
          <w:b/>
          <w:sz w:val="24"/>
        </w:rPr>
        <w:t xml:space="preserve">1.技术文件内封面格式（格式可自拟）： </w:t>
      </w:r>
    </w:p>
    <w:p>
      <w:pPr>
        <w:snapToGrid w:val="0"/>
        <w:spacing w:before="156" w:beforeLines="50" w:after="50"/>
        <w:jc w:val="center"/>
        <w:rPr>
          <w:rFonts w:eastAsia="仿宋"/>
          <w:b/>
          <w:bCs/>
          <w:sz w:val="52"/>
          <w:szCs w:val="52"/>
        </w:rPr>
      </w:pPr>
    </w:p>
    <w:p>
      <w:pPr>
        <w:snapToGrid w:val="0"/>
        <w:spacing w:before="156" w:beforeLines="50" w:after="50"/>
        <w:jc w:val="center"/>
        <w:rPr>
          <w:rFonts w:eastAsia="仿宋"/>
          <w:b/>
          <w:bCs/>
          <w:sz w:val="52"/>
          <w:szCs w:val="52"/>
        </w:rPr>
      </w:pPr>
      <w:r>
        <w:rPr>
          <w:rFonts w:eastAsia="仿宋"/>
          <w:b/>
          <w:bCs/>
          <w:sz w:val="52"/>
          <w:szCs w:val="52"/>
        </w:rPr>
        <w:t>技 术 文 件</w:t>
      </w:r>
    </w:p>
    <w:p>
      <w:pPr>
        <w:snapToGrid w:val="0"/>
        <w:spacing w:before="156" w:beforeLines="50" w:after="50"/>
        <w:rPr>
          <w:rFonts w:eastAsia="仿宋"/>
          <w:bCs/>
          <w:sz w:val="24"/>
          <w:szCs w:val="20"/>
        </w:rPr>
      </w:pP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56" w:beforeLines="50" w:after="50"/>
        <w:ind w:firstLine="960" w:firstLineChars="400"/>
        <w:rPr>
          <w:rFonts w:eastAsia="仿宋"/>
          <w:bCs/>
          <w:sz w:val="24"/>
          <w:szCs w:val="20"/>
        </w:rPr>
      </w:pPr>
    </w:p>
    <w:p>
      <w:pPr>
        <w:snapToGrid w:val="0"/>
        <w:spacing w:before="50" w:after="50" w:line="280" w:lineRule="exact"/>
        <w:rPr>
          <w:rFonts w:eastAsia="仿宋"/>
          <w:b/>
          <w:szCs w:val="21"/>
        </w:rPr>
      </w:pPr>
    </w:p>
    <w:p>
      <w:pPr>
        <w:snapToGrid w:val="0"/>
        <w:spacing w:line="400" w:lineRule="exact"/>
        <w:outlineLvl w:val="2"/>
        <w:rPr>
          <w:rFonts w:eastAsia="仿宋"/>
          <w:b/>
          <w:sz w:val="24"/>
        </w:rPr>
      </w:pPr>
      <w:r>
        <w:rPr>
          <w:rFonts w:eastAsia="仿宋"/>
          <w:b/>
          <w:sz w:val="24"/>
        </w:rPr>
        <w:br w:type="page"/>
      </w:r>
      <w:r>
        <w:rPr>
          <w:rFonts w:eastAsia="仿宋"/>
          <w:b/>
          <w:sz w:val="24"/>
        </w:rPr>
        <w:t>2.</w:t>
      </w:r>
      <w:r>
        <w:rPr>
          <w:rFonts w:eastAsia="仿宋"/>
          <w:b/>
          <w:bCs/>
          <w:sz w:val="24"/>
        </w:rPr>
        <w:t>技术文件目录</w:t>
      </w:r>
    </w:p>
    <w:p>
      <w:pPr>
        <w:snapToGrid w:val="0"/>
        <w:spacing w:line="400" w:lineRule="exact"/>
        <w:jc w:val="left"/>
        <w:rPr>
          <w:rFonts w:eastAsia="仿宋"/>
          <w:sz w:val="24"/>
        </w:rPr>
      </w:pPr>
      <w:r>
        <w:rPr>
          <w:rFonts w:eastAsia="仿宋"/>
          <w:sz w:val="24"/>
        </w:rPr>
        <w:t>（1）技术响应表</w:t>
      </w:r>
    </w:p>
    <w:p>
      <w:pPr>
        <w:snapToGrid w:val="0"/>
        <w:spacing w:line="400" w:lineRule="exact"/>
        <w:jc w:val="left"/>
        <w:rPr>
          <w:rFonts w:eastAsia="仿宋"/>
          <w:sz w:val="24"/>
        </w:rPr>
      </w:pPr>
      <w:r>
        <w:rPr>
          <w:rFonts w:eastAsia="仿宋"/>
          <w:sz w:val="24"/>
        </w:rPr>
        <w:t>（2）</w:t>
      </w:r>
      <w:r>
        <w:rPr>
          <w:rFonts w:hint="eastAsia" w:eastAsia="仿宋"/>
          <w:sz w:val="24"/>
        </w:rPr>
        <w:t>服务</w:t>
      </w:r>
      <w:r>
        <w:rPr>
          <w:rFonts w:eastAsia="仿宋"/>
          <w:sz w:val="24"/>
        </w:rPr>
        <w:t>方案</w:t>
      </w:r>
    </w:p>
    <w:p>
      <w:pPr>
        <w:snapToGrid w:val="0"/>
        <w:spacing w:line="400" w:lineRule="exact"/>
        <w:jc w:val="left"/>
        <w:rPr>
          <w:rFonts w:eastAsia="仿宋"/>
          <w:sz w:val="24"/>
        </w:rPr>
      </w:pPr>
      <w:r>
        <w:rPr>
          <w:rFonts w:eastAsia="仿宋"/>
          <w:sz w:val="24"/>
        </w:rPr>
        <w:t>（3）</w:t>
      </w:r>
      <w:r>
        <w:rPr>
          <w:rFonts w:hint="eastAsia" w:eastAsia="仿宋"/>
          <w:sz w:val="24"/>
        </w:rPr>
        <w:t>质量</w:t>
      </w:r>
      <w:r>
        <w:rPr>
          <w:rFonts w:eastAsia="仿宋"/>
          <w:sz w:val="24"/>
        </w:rPr>
        <w:t>方案</w:t>
      </w:r>
    </w:p>
    <w:p>
      <w:pPr>
        <w:pStyle w:val="2"/>
        <w:jc w:val="left"/>
      </w:pPr>
      <w:r>
        <w:rPr>
          <w:rFonts w:eastAsia="仿宋"/>
          <w:sz w:val="24"/>
        </w:rPr>
        <w:t>（4）项目实施人员一览表</w:t>
      </w:r>
    </w:p>
    <w:p>
      <w:pPr>
        <w:pStyle w:val="36"/>
        <w:outlineLvl w:val="2"/>
      </w:pPr>
      <w:r>
        <w:rPr>
          <w:rFonts w:eastAsia="仿宋"/>
          <w:b/>
        </w:rPr>
        <w:t>可作为</w:t>
      </w:r>
      <w:r>
        <w:rPr>
          <w:rFonts w:hint="eastAsia" w:eastAsia="仿宋"/>
          <w:b/>
        </w:rPr>
        <w:t>报价人</w:t>
      </w:r>
      <w:r>
        <w:rPr>
          <w:rFonts w:eastAsia="仿宋"/>
          <w:b/>
        </w:rPr>
        <w:t>技术评分的材料（</w:t>
      </w:r>
      <w:r>
        <w:rPr>
          <w:rFonts w:hint="eastAsia" w:eastAsia="仿宋"/>
          <w:b/>
        </w:rPr>
        <w:t>报价人</w:t>
      </w:r>
      <w:r>
        <w:rPr>
          <w:rFonts w:eastAsia="仿宋"/>
          <w:b/>
        </w:rPr>
        <w:t>可根据自身情况选择提供）：</w:t>
      </w:r>
    </w:p>
    <w:p>
      <w:pPr>
        <w:snapToGrid w:val="0"/>
        <w:spacing w:line="400" w:lineRule="exact"/>
        <w:jc w:val="left"/>
        <w:rPr>
          <w:rFonts w:eastAsia="仿宋"/>
          <w:sz w:val="24"/>
        </w:rPr>
      </w:pPr>
      <w:r>
        <w:rPr>
          <w:rFonts w:eastAsia="仿宋"/>
          <w:sz w:val="24"/>
        </w:rPr>
        <w:t>（</w:t>
      </w:r>
      <w:r>
        <w:rPr>
          <w:rFonts w:hint="eastAsia" w:eastAsia="仿宋"/>
          <w:sz w:val="24"/>
        </w:rPr>
        <w:t>4</w:t>
      </w:r>
      <w:r>
        <w:rPr>
          <w:rFonts w:eastAsia="仿宋"/>
          <w:sz w:val="24"/>
        </w:rPr>
        <w:t>）</w:t>
      </w:r>
      <w:r>
        <w:rPr>
          <w:rFonts w:hint="eastAsia" w:eastAsia="仿宋"/>
          <w:sz w:val="24"/>
        </w:rPr>
        <w:t>报价人认为需要提供的其他证明材料</w:t>
      </w:r>
    </w:p>
    <w:p>
      <w:pPr>
        <w:snapToGrid w:val="0"/>
        <w:spacing w:line="400" w:lineRule="exact"/>
        <w:jc w:val="left"/>
        <w:outlineLvl w:val="2"/>
        <w:rPr>
          <w:rFonts w:eastAsia="仿宋"/>
          <w:b/>
          <w:sz w:val="24"/>
        </w:rPr>
      </w:pPr>
      <w:r>
        <w:rPr>
          <w:rFonts w:eastAsia="仿宋"/>
          <w:sz w:val="24"/>
        </w:rPr>
        <w:br w:type="page"/>
      </w:r>
      <w:r>
        <w:rPr>
          <w:rFonts w:eastAsia="仿宋"/>
          <w:b/>
          <w:sz w:val="24"/>
        </w:rPr>
        <w:t>（1）技术响应表格式：</w:t>
      </w:r>
    </w:p>
    <w:p>
      <w:pPr>
        <w:snapToGrid w:val="0"/>
        <w:spacing w:line="400" w:lineRule="exact"/>
        <w:ind w:firstLine="361" w:firstLineChars="150"/>
        <w:jc w:val="left"/>
        <w:rPr>
          <w:rFonts w:eastAsia="仿宋"/>
          <w:b/>
          <w:sz w:val="24"/>
        </w:rPr>
      </w:pPr>
    </w:p>
    <w:tbl>
      <w:tblPr>
        <w:tblStyle w:val="34"/>
        <w:tblW w:w="906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1" w:name="_Toc254970699"/>
            <w:bookmarkStart w:id="22" w:name="_Toc254970558"/>
            <w:r>
              <w:rPr>
                <w:rFonts w:eastAsia="仿宋"/>
                <w:spacing w:val="20"/>
                <w:sz w:val="24"/>
              </w:rPr>
              <w:t>采购文件要求</w:t>
            </w:r>
            <w:bookmarkEnd w:id="21"/>
            <w:bookmarkEnd w:id="22"/>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3" w:name="_Toc254970559"/>
            <w:bookmarkStart w:id="24" w:name="_Toc254970700"/>
            <w:r>
              <w:rPr>
                <w:rFonts w:eastAsia="仿宋"/>
                <w:spacing w:val="20"/>
                <w:sz w:val="24"/>
              </w:rPr>
              <w:t>响应文件响应</w:t>
            </w:r>
            <w:bookmarkEnd w:id="23"/>
            <w:bookmarkEnd w:id="24"/>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5"/>
              <w:snapToGrid w:val="0"/>
              <w:spacing w:line="400" w:lineRule="exact"/>
              <w:jc w:val="center"/>
              <w:rPr>
                <w:rFonts w:ascii="Times New Roman" w:hAnsi="Times New Roman" w:eastAsia="仿宋"/>
                <w:spacing w:val="20"/>
                <w:kern w:val="2"/>
                <w:sz w:val="24"/>
                <w:szCs w:val="24"/>
              </w:rPr>
            </w:pPr>
            <w:bookmarkStart w:id="25" w:name="_Toc326217569"/>
            <w:bookmarkStart w:id="26" w:name="_Toc293863064"/>
            <w:bookmarkStart w:id="27" w:name="_Toc293863334"/>
            <w:bookmarkStart w:id="28" w:name="_Toc301424943"/>
            <w:bookmarkStart w:id="29" w:name="_Toc254970560"/>
            <w:bookmarkStart w:id="30" w:name="_Toc254970701"/>
            <w:r>
              <w:rPr>
                <w:rFonts w:ascii="Times New Roman" w:hAnsi="Times New Roman" w:eastAsia="仿宋"/>
                <w:spacing w:val="20"/>
                <w:kern w:val="2"/>
                <w:sz w:val="24"/>
                <w:szCs w:val="24"/>
              </w:rPr>
              <w:t>偏离情况</w:t>
            </w:r>
            <w:bookmarkEnd w:id="25"/>
            <w:bookmarkEnd w:id="26"/>
            <w:bookmarkEnd w:id="27"/>
            <w:bookmarkEnd w:id="28"/>
            <w:bookmarkEnd w:id="29"/>
            <w:bookmarkEnd w:id="3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z w:val="24"/>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rPr>
            </w:pPr>
            <w:r>
              <w:rPr>
                <w:rFonts w:eastAsia="仿宋"/>
                <w:b/>
                <w:sz w:val="24"/>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bl>
    <w:p>
      <w:pPr>
        <w:pStyle w:val="12"/>
        <w:spacing w:line="400" w:lineRule="exact"/>
        <w:ind w:firstLine="420" w:firstLineChars="200"/>
        <w:rPr>
          <w:rFonts w:eastAsia="仿宋"/>
          <w:spacing w:val="20"/>
          <w:sz w:val="21"/>
          <w:szCs w:val="21"/>
        </w:rPr>
      </w:pPr>
      <w:r>
        <w:rPr>
          <w:rFonts w:eastAsia="仿宋"/>
          <w:sz w:val="21"/>
          <w:szCs w:val="21"/>
        </w:rPr>
        <w:t>注：</w:t>
      </w:r>
      <w:r>
        <w:rPr>
          <w:rFonts w:hint="eastAsia" w:eastAsia="仿宋"/>
          <w:sz w:val="21"/>
          <w:szCs w:val="21"/>
        </w:rPr>
        <w:t>报价人</w:t>
      </w:r>
      <w:r>
        <w:rPr>
          <w:rFonts w:eastAsia="仿宋"/>
          <w:sz w:val="21"/>
          <w:szCs w:val="21"/>
        </w:rPr>
        <w:t>应根据服务内容对照采购文件要求逐条响应并在“偏离情况”栏注明“正偏离”、“负偏离”或“无偏离”。</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7"/>
        </w:numPr>
        <w:snapToGrid w:val="0"/>
        <w:spacing w:line="400" w:lineRule="exact"/>
        <w:jc w:val="left"/>
        <w:outlineLvl w:val="2"/>
        <w:rPr>
          <w:rFonts w:eastAsia="仿宋"/>
          <w:b/>
          <w:sz w:val="24"/>
        </w:rPr>
      </w:pPr>
      <w:r>
        <w:rPr>
          <w:rFonts w:hint="eastAsia" w:eastAsia="仿宋"/>
          <w:b/>
          <w:sz w:val="24"/>
        </w:rPr>
        <w:t>服务</w:t>
      </w:r>
      <w:r>
        <w:rPr>
          <w:rFonts w:eastAsia="仿宋"/>
          <w:b/>
          <w:sz w:val="24"/>
        </w:rPr>
        <w:t>方案（格式自拟）</w:t>
      </w:r>
    </w:p>
    <w:p>
      <w:pPr>
        <w:snapToGrid w:val="0"/>
        <w:spacing w:line="400" w:lineRule="exact"/>
        <w:jc w:val="left"/>
        <w:rPr>
          <w:rFonts w:eastAsia="仿宋"/>
          <w:b/>
          <w:sz w:val="24"/>
        </w:rPr>
      </w:pPr>
    </w:p>
    <w:p>
      <w:pPr>
        <w:pStyle w:val="36"/>
        <w:rPr>
          <w:rFonts w:eastAsia="仿宋"/>
          <w:b/>
        </w:rPr>
      </w:pPr>
    </w:p>
    <w:p>
      <w:pPr>
        <w:pStyle w:val="36"/>
        <w:outlineLvl w:val="2"/>
        <w:rPr>
          <w:rFonts w:eastAsia="仿宋"/>
          <w:b/>
        </w:rPr>
      </w:pPr>
      <w:r>
        <w:rPr>
          <w:rFonts w:hint="eastAsia" w:eastAsia="仿宋"/>
          <w:b/>
        </w:rPr>
        <w:t>（3）项目实施人员一览表</w:t>
      </w:r>
    </w:p>
    <w:p>
      <w:pPr>
        <w:spacing w:before="312" w:beforeLines="100" w:after="468" w:afterLines="150" w:line="320" w:lineRule="exact"/>
        <w:jc w:val="center"/>
        <w:rPr>
          <w:rFonts w:ascii="宋体" w:hAnsi="宋体"/>
          <w:b/>
          <w:sz w:val="32"/>
          <w:szCs w:val="32"/>
        </w:rPr>
      </w:pPr>
      <w:r>
        <w:rPr>
          <w:rFonts w:hint="eastAsia" w:ascii="宋体" w:hAnsi="宋体"/>
          <w:b/>
          <w:sz w:val="32"/>
          <w:szCs w:val="32"/>
        </w:rPr>
        <w:t>项目实施人员一览表（格式）</w:t>
      </w:r>
    </w:p>
    <w:tbl>
      <w:tblPr>
        <w:tblStyle w:val="34"/>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1373" w:type="dxa"/>
            <w:vAlign w:val="center"/>
          </w:tcPr>
          <w:p>
            <w:pPr>
              <w:pStyle w:val="79"/>
              <w:spacing w:before="182"/>
              <w:jc w:val="center"/>
              <w:rPr>
                <w:sz w:val="24"/>
              </w:rPr>
            </w:pPr>
            <w:r>
              <w:rPr>
                <w:sz w:val="24"/>
              </w:rPr>
              <w:t>姓名</w:t>
            </w:r>
          </w:p>
        </w:tc>
        <w:tc>
          <w:tcPr>
            <w:tcW w:w="1129" w:type="dxa"/>
            <w:vAlign w:val="center"/>
          </w:tcPr>
          <w:p>
            <w:pPr>
              <w:pStyle w:val="79"/>
              <w:spacing w:before="182"/>
              <w:jc w:val="center"/>
              <w:rPr>
                <w:sz w:val="24"/>
              </w:rPr>
            </w:pPr>
            <w:r>
              <w:rPr>
                <w:sz w:val="24"/>
              </w:rPr>
              <w:t>职务</w:t>
            </w:r>
          </w:p>
        </w:tc>
        <w:tc>
          <w:tcPr>
            <w:tcW w:w="2050" w:type="dxa"/>
            <w:vAlign w:val="center"/>
          </w:tcPr>
          <w:p>
            <w:pPr>
              <w:pStyle w:val="79"/>
              <w:spacing w:before="182"/>
              <w:jc w:val="center"/>
              <w:rPr>
                <w:sz w:val="24"/>
              </w:rPr>
            </w:pPr>
            <w:r>
              <w:rPr>
                <w:rFonts w:hint="eastAsia"/>
                <w:sz w:val="24"/>
              </w:rPr>
              <w:t>职称</w:t>
            </w:r>
            <w:r>
              <w:rPr>
                <w:rFonts w:hint="eastAsia"/>
                <w:sz w:val="24"/>
                <w:lang w:val="en-US"/>
              </w:rPr>
              <w:t>/</w:t>
            </w:r>
            <w:r>
              <w:rPr>
                <w:sz w:val="24"/>
              </w:rPr>
              <w:t>专业技术资格</w:t>
            </w:r>
          </w:p>
        </w:tc>
        <w:tc>
          <w:tcPr>
            <w:tcW w:w="1235" w:type="dxa"/>
            <w:vAlign w:val="center"/>
          </w:tcPr>
          <w:p>
            <w:pPr>
              <w:pStyle w:val="79"/>
              <w:spacing w:before="182"/>
              <w:jc w:val="center"/>
              <w:rPr>
                <w:sz w:val="24"/>
              </w:rPr>
            </w:pPr>
            <w:r>
              <w:rPr>
                <w:sz w:val="24"/>
              </w:rPr>
              <w:t>证书编号</w:t>
            </w:r>
          </w:p>
        </w:tc>
        <w:tc>
          <w:tcPr>
            <w:tcW w:w="2550" w:type="dxa"/>
            <w:vAlign w:val="center"/>
          </w:tcPr>
          <w:p>
            <w:pPr>
              <w:pStyle w:val="79"/>
              <w:spacing w:before="182"/>
              <w:jc w:val="center"/>
              <w:rPr>
                <w:sz w:val="24"/>
              </w:rPr>
            </w:pPr>
            <w:r>
              <w:rPr>
                <w:sz w:val="24"/>
              </w:rPr>
              <w:t>参加本单位工作时间</w:t>
            </w:r>
          </w:p>
        </w:tc>
        <w:tc>
          <w:tcPr>
            <w:tcW w:w="901" w:type="dxa"/>
            <w:vAlign w:val="center"/>
          </w:tcPr>
          <w:p>
            <w:pPr>
              <w:pStyle w:val="79"/>
              <w:spacing w:before="182"/>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bl>
    <w:p>
      <w:pPr>
        <w:tabs>
          <w:tab w:val="left" w:pos="1065"/>
        </w:tabs>
        <w:adjustRightInd w:val="0"/>
        <w:snapToGrid w:val="0"/>
        <w:spacing w:line="300" w:lineRule="auto"/>
        <w:rPr>
          <w:rFonts w:ascii="宋体" w:hAnsi="宋体"/>
          <w:szCs w:val="21"/>
        </w:rPr>
      </w:pPr>
      <w:r>
        <w:rPr>
          <w:rFonts w:hint="eastAsia" w:ascii="宋体" w:hAnsi="宋体"/>
          <w:szCs w:val="21"/>
        </w:rPr>
        <w:tab/>
      </w:r>
    </w:p>
    <w:p>
      <w:pPr>
        <w:spacing w:line="300" w:lineRule="auto"/>
        <w:ind w:firstLine="630" w:firstLineChars="300"/>
        <w:rPr>
          <w:rFonts w:ascii="宋体" w:hAnsi="宋体"/>
          <w:szCs w:val="21"/>
        </w:rPr>
      </w:pPr>
      <w:r>
        <w:rPr>
          <w:rFonts w:hint="eastAsia" w:ascii="宋体" w:hAnsi="宋体"/>
          <w:szCs w:val="21"/>
        </w:rPr>
        <w:t>说明：</w:t>
      </w:r>
    </w:p>
    <w:p>
      <w:pPr>
        <w:spacing w:line="300" w:lineRule="auto"/>
        <w:ind w:firstLine="630" w:firstLineChars="300"/>
        <w:rPr>
          <w:rFonts w:ascii="宋体" w:hAnsi="宋体"/>
          <w:szCs w:val="21"/>
        </w:rPr>
      </w:pPr>
      <w:r>
        <w:rPr>
          <w:rFonts w:hint="eastAsia" w:ascii="宋体" w:hAnsi="宋体"/>
          <w:szCs w:val="21"/>
        </w:rPr>
        <w:t>1、在填写时，如本表格不适合报价人的实际情况，可根据本表格式自行制表填写。</w:t>
      </w:r>
    </w:p>
    <w:p>
      <w:pPr>
        <w:spacing w:line="300" w:lineRule="auto"/>
        <w:ind w:firstLine="630" w:firstLineChars="300"/>
        <w:rPr>
          <w:rFonts w:ascii="宋体" w:hAnsi="宋体"/>
          <w:szCs w:val="21"/>
        </w:rPr>
      </w:pPr>
      <w:r>
        <w:rPr>
          <w:rFonts w:ascii="宋体" w:hAnsi="宋体"/>
          <w:bCs/>
          <w:szCs w:val="21"/>
        </w:rPr>
        <w:t>2</w:t>
      </w:r>
      <w:r>
        <w:rPr>
          <w:rFonts w:hint="eastAsia" w:ascii="宋体" w:hAnsi="宋体"/>
          <w:bCs/>
          <w:szCs w:val="21"/>
        </w:rPr>
        <w:t>、</w:t>
      </w:r>
      <w:r>
        <w:rPr>
          <w:rFonts w:hint="eastAsia" w:ascii="宋体" w:hAnsi="宋体"/>
          <w:szCs w:val="21"/>
        </w:rPr>
        <w:t>此清单由多页构成的，应逐页加盖报价人法人公章或由法定代表人（负责人）（或委托代理人）签字。</w:t>
      </w:r>
    </w:p>
    <w:p>
      <w:pPr>
        <w:adjustRightInd w:val="0"/>
        <w:snapToGrid w:val="0"/>
        <w:spacing w:line="300" w:lineRule="auto"/>
        <w:rPr>
          <w:rFonts w:ascii="宋体" w:hAnsi="宋体"/>
          <w:szCs w:val="21"/>
        </w:rPr>
      </w:pPr>
    </w:p>
    <w:p>
      <w:pPr>
        <w:pStyle w:val="36"/>
      </w:pPr>
    </w:p>
    <w:p>
      <w:pPr>
        <w:pStyle w:val="36"/>
      </w:pPr>
    </w:p>
    <w:p>
      <w:pPr>
        <w:pStyle w:val="15"/>
        <w:ind w:firstLine="5200" w:firstLineChars="2600"/>
      </w:pPr>
      <w:r>
        <w:rPr>
          <w:rFonts w:hint="eastAsia"/>
        </w:rPr>
        <w:t xml:space="preserve">报价人(公章)  </w:t>
      </w:r>
      <w:r>
        <w:rPr>
          <w:rFonts w:hint="eastAsia"/>
          <w:u w:val="single"/>
        </w:rPr>
        <w:t xml:space="preserve">                              </w:t>
      </w:r>
    </w:p>
    <w:p>
      <w:pPr>
        <w:adjustRightInd w:val="0"/>
        <w:snapToGrid w:val="0"/>
        <w:spacing w:line="300" w:lineRule="auto"/>
        <w:rPr>
          <w:rFonts w:ascii="宋体" w:hAnsi="宋体"/>
          <w:szCs w:val="21"/>
        </w:rPr>
      </w:pPr>
    </w:p>
    <w:p>
      <w:pPr>
        <w:adjustRightInd w:val="0"/>
        <w:snapToGrid w:val="0"/>
        <w:spacing w:line="300" w:lineRule="auto"/>
        <w:ind w:firstLine="4515" w:firstLineChars="2150"/>
        <w:rPr>
          <w:rFonts w:ascii="宋体" w:hAnsi="宋体"/>
          <w:szCs w:val="21"/>
          <w:u w:val="single"/>
        </w:rPr>
      </w:pPr>
      <w:r>
        <w:rPr>
          <w:rFonts w:hint="eastAsia" w:ascii="宋体" w:hAnsi="宋体"/>
          <w:szCs w:val="21"/>
        </w:rPr>
        <w:t>法定代表人（负责人）或授权代表签字：</w:t>
      </w:r>
      <w:r>
        <w:rPr>
          <w:rFonts w:hint="eastAsia" w:ascii="宋体" w:hAnsi="宋体"/>
          <w:szCs w:val="21"/>
          <w:u w:val="single"/>
        </w:rPr>
        <w:t xml:space="preserve">              </w:t>
      </w:r>
    </w:p>
    <w:p>
      <w:pPr>
        <w:snapToGrid w:val="0"/>
        <w:spacing w:line="400" w:lineRule="exact"/>
        <w:ind w:firstLine="6720" w:firstLineChars="3200"/>
        <w:jc w:val="left"/>
        <w:rPr>
          <w:rFonts w:eastAsia="仿宋"/>
          <w:b/>
          <w:sz w:val="24"/>
        </w:rPr>
      </w:pP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outlineLvl w:val="2"/>
        <w:rPr>
          <w:rFonts w:eastAsia="仿宋"/>
          <w:b/>
          <w:sz w:val="24"/>
        </w:rPr>
      </w:pPr>
      <w:r>
        <w:rPr>
          <w:rFonts w:eastAsia="仿宋"/>
          <w:b/>
          <w:sz w:val="24"/>
        </w:rPr>
        <w:t>（</w:t>
      </w:r>
      <w:r>
        <w:rPr>
          <w:rFonts w:hint="eastAsia" w:eastAsia="仿宋"/>
          <w:b/>
          <w:sz w:val="24"/>
        </w:rPr>
        <w:t>4</w:t>
      </w:r>
      <w:r>
        <w:rPr>
          <w:rFonts w:eastAsia="仿宋"/>
          <w:b/>
          <w:sz w:val="24"/>
        </w:rPr>
        <w:t>）</w:t>
      </w:r>
      <w:r>
        <w:rPr>
          <w:rFonts w:hint="eastAsia" w:eastAsia="仿宋"/>
          <w:b/>
          <w:sz w:val="24"/>
        </w:rPr>
        <w:t>报价人认为需要提供的其他证明材料</w:t>
      </w:r>
      <w:r>
        <w:rPr>
          <w:rFonts w:eastAsia="仿宋"/>
          <w:b/>
          <w:sz w:val="24"/>
        </w:rPr>
        <w:t>（格式自拟）</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before="50" w:after="156" w:afterLines="50"/>
        <w:jc w:val="left"/>
        <w:outlineLvl w:val="1"/>
        <w:rPr>
          <w:rFonts w:eastAsia="仿宋"/>
          <w:b/>
          <w:sz w:val="24"/>
        </w:rPr>
      </w:pPr>
      <w:r>
        <w:rPr>
          <w:rFonts w:eastAsia="仿宋"/>
          <w:b/>
          <w:bCs/>
          <w:sz w:val="24"/>
        </w:rPr>
        <w:br w:type="page"/>
      </w:r>
      <w:r>
        <w:rPr>
          <w:rFonts w:eastAsia="仿宋"/>
          <w:b/>
          <w:bCs/>
          <w:sz w:val="24"/>
        </w:rPr>
        <w:t>四、报价文件格式</w:t>
      </w:r>
    </w:p>
    <w:p>
      <w:pPr>
        <w:widowControl/>
        <w:jc w:val="left"/>
        <w:outlineLvl w:val="2"/>
        <w:rPr>
          <w:rFonts w:eastAsia="仿宋"/>
          <w:b/>
          <w:sz w:val="24"/>
        </w:rPr>
      </w:pPr>
      <w:r>
        <w:rPr>
          <w:rFonts w:eastAsia="仿宋"/>
          <w:b/>
          <w:sz w:val="24"/>
        </w:rPr>
        <w:t>1.报价文件内封面格式（格式可自拟）：</w:t>
      </w:r>
    </w:p>
    <w:p>
      <w:pPr>
        <w:snapToGrid w:val="0"/>
        <w:spacing w:before="156" w:beforeLines="50" w:after="50" w:line="400" w:lineRule="exact"/>
        <w:jc w:val="center"/>
        <w:rPr>
          <w:rFonts w:eastAsia="仿宋"/>
          <w:b/>
          <w:bCs/>
          <w:sz w:val="52"/>
          <w:szCs w:val="52"/>
        </w:rPr>
      </w:pPr>
      <w:r>
        <w:rPr>
          <w:rFonts w:eastAsia="仿宋"/>
          <w:b/>
          <w:bCs/>
          <w:sz w:val="52"/>
          <w:szCs w:val="52"/>
        </w:rPr>
        <w:t>报 价 文 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spacing w:line="400" w:lineRule="exact"/>
        <w:outlineLvl w:val="2"/>
        <w:rPr>
          <w:rFonts w:eastAsia="仿宋"/>
          <w:b/>
          <w:sz w:val="24"/>
        </w:rPr>
      </w:pPr>
      <w:r>
        <w:rPr>
          <w:rFonts w:eastAsia="仿宋"/>
          <w:b/>
          <w:sz w:val="24"/>
        </w:rPr>
        <w:br w:type="page"/>
      </w:r>
      <w:r>
        <w:rPr>
          <w:rFonts w:eastAsia="仿宋"/>
          <w:b/>
          <w:sz w:val="24"/>
        </w:rPr>
        <w:t>2.</w:t>
      </w:r>
      <w:r>
        <w:rPr>
          <w:rFonts w:hint="eastAsia" w:eastAsia="仿宋"/>
          <w:b/>
          <w:sz w:val="24"/>
        </w:rPr>
        <w:t>报价</w:t>
      </w:r>
      <w:r>
        <w:rPr>
          <w:rFonts w:eastAsia="仿宋"/>
          <w:b/>
          <w:sz w:val="24"/>
        </w:rPr>
        <w:t>函格式：</w:t>
      </w:r>
    </w:p>
    <w:p>
      <w:pPr>
        <w:snapToGrid w:val="0"/>
        <w:spacing w:line="400" w:lineRule="exact"/>
        <w:jc w:val="center"/>
        <w:rPr>
          <w:rFonts w:eastAsia="仿宋"/>
          <w:b/>
          <w:sz w:val="32"/>
          <w:szCs w:val="32"/>
        </w:rPr>
      </w:pPr>
      <w:r>
        <w:rPr>
          <w:rFonts w:hint="eastAsia" w:eastAsia="仿宋"/>
          <w:b/>
          <w:sz w:val="32"/>
          <w:szCs w:val="32"/>
        </w:rPr>
        <w:t>报 价</w:t>
      </w:r>
      <w:r>
        <w:rPr>
          <w:rFonts w:eastAsia="仿宋"/>
          <w:b/>
          <w:sz w:val="32"/>
          <w:szCs w:val="32"/>
        </w:rPr>
        <w:t xml:space="preserve"> 函</w:t>
      </w:r>
    </w:p>
    <w:p>
      <w:pPr>
        <w:snapToGrid w:val="0"/>
        <w:spacing w:line="400" w:lineRule="exact"/>
        <w:jc w:val="center"/>
        <w:rPr>
          <w:rFonts w:eastAsia="仿宋"/>
          <w:b/>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480"/>
        <w:rPr>
          <w:rFonts w:eastAsia="仿宋"/>
          <w:sz w:val="24"/>
        </w:rPr>
      </w:pPr>
      <w:r>
        <w:rPr>
          <w:rFonts w:eastAsia="仿宋"/>
          <w:sz w:val="24"/>
        </w:rPr>
        <w:t>根据贵方</w:t>
      </w:r>
      <w:r>
        <w:rPr>
          <w:rFonts w:hint="eastAsia" w:eastAsia="仿宋"/>
          <w:sz w:val="24"/>
          <w:u w:val="single"/>
        </w:rPr>
        <w:t>广西自治区级公共安全视频监控建设联网应用项目第三方系统测评服务</w:t>
      </w:r>
      <w:r>
        <w:rPr>
          <w:rFonts w:hint="eastAsia" w:eastAsia="仿宋"/>
          <w:sz w:val="24"/>
        </w:rPr>
        <w:t>项目的采购</w:t>
      </w:r>
      <w:r>
        <w:rPr>
          <w:rFonts w:eastAsia="仿宋"/>
          <w:sz w:val="24"/>
        </w:rPr>
        <w:t>文件，签字代表</w:t>
      </w:r>
      <w:r>
        <w:rPr>
          <w:rFonts w:eastAsia="仿宋"/>
          <w:sz w:val="24"/>
          <w:u w:val="single"/>
        </w:rPr>
        <w:t xml:space="preserve">             </w:t>
      </w:r>
      <w:r>
        <w:rPr>
          <w:rFonts w:eastAsia="仿宋"/>
          <w:sz w:val="24"/>
        </w:rPr>
        <w:t>（全名）经正式授权并代表</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名称）提交响应文件正本一份、副本</w:t>
      </w:r>
      <w:r>
        <w:rPr>
          <w:rFonts w:hint="eastAsia" w:eastAsia="仿宋"/>
          <w:sz w:val="24"/>
        </w:rPr>
        <w:t>四</w:t>
      </w:r>
      <w:r>
        <w:rPr>
          <w:rFonts w:eastAsia="仿宋"/>
          <w:sz w:val="24"/>
        </w:rPr>
        <w:t>份。</w:t>
      </w:r>
    </w:p>
    <w:p>
      <w:pPr>
        <w:snapToGrid w:val="0"/>
        <w:spacing w:line="400" w:lineRule="exact"/>
        <w:ind w:firstLine="480" w:firstLineChars="200"/>
        <w:rPr>
          <w:rFonts w:eastAsia="仿宋"/>
          <w:sz w:val="24"/>
        </w:rPr>
      </w:pPr>
      <w:r>
        <w:rPr>
          <w:rFonts w:eastAsia="仿宋"/>
          <w:sz w:val="24"/>
        </w:rPr>
        <w:t>据此函，签字代表宣布同意如下：</w:t>
      </w:r>
    </w:p>
    <w:p>
      <w:pPr>
        <w:snapToGrid w:val="0"/>
        <w:spacing w:line="400" w:lineRule="exact"/>
        <w:ind w:firstLine="480" w:firstLineChars="200"/>
        <w:rPr>
          <w:rFonts w:eastAsia="仿宋"/>
          <w:sz w:val="24"/>
        </w:rPr>
      </w:pPr>
      <w:r>
        <w:rPr>
          <w:rFonts w:eastAsia="仿宋"/>
          <w:sz w:val="24"/>
        </w:rPr>
        <w:t>1、</w:t>
      </w:r>
      <w:r>
        <w:rPr>
          <w:rFonts w:hint="eastAsia" w:eastAsia="仿宋"/>
          <w:sz w:val="24"/>
        </w:rPr>
        <w:t>报价人</w:t>
      </w:r>
      <w:r>
        <w:rPr>
          <w:rFonts w:eastAsia="仿宋"/>
          <w:sz w:val="24"/>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rPr>
      </w:pPr>
      <w:r>
        <w:rPr>
          <w:rFonts w:eastAsia="仿宋"/>
          <w:sz w:val="24"/>
        </w:rPr>
        <w:t>2、</w:t>
      </w:r>
      <w:r>
        <w:rPr>
          <w:rFonts w:hint="eastAsia" w:eastAsia="仿宋"/>
          <w:sz w:val="24"/>
        </w:rPr>
        <w:t>报价人</w:t>
      </w:r>
      <w:r>
        <w:rPr>
          <w:rFonts w:eastAsia="仿宋"/>
          <w:sz w:val="24"/>
        </w:rPr>
        <w:t>在参与</w:t>
      </w:r>
      <w:r>
        <w:rPr>
          <w:rFonts w:hint="eastAsia" w:eastAsia="仿宋"/>
          <w:sz w:val="24"/>
        </w:rPr>
        <w:t>报价</w:t>
      </w:r>
      <w:r>
        <w:rPr>
          <w:rFonts w:eastAsia="仿宋"/>
          <w:sz w:val="24"/>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rPr>
      </w:pPr>
      <w:r>
        <w:rPr>
          <w:rFonts w:eastAsia="仿宋"/>
          <w:sz w:val="24"/>
        </w:rPr>
        <w:t>3、如成交，本响应文件至本项目合同履行完毕止均保持有效，本</w:t>
      </w:r>
      <w:r>
        <w:rPr>
          <w:rFonts w:hint="eastAsia" w:eastAsia="仿宋"/>
          <w:sz w:val="24"/>
        </w:rPr>
        <w:t>报价人</w:t>
      </w:r>
      <w:r>
        <w:rPr>
          <w:rFonts w:eastAsia="仿宋"/>
          <w:sz w:val="24"/>
        </w:rPr>
        <w:t>将按“采购文件”及政府采购法律、法规的规定履行合同责任和义务。</w:t>
      </w:r>
    </w:p>
    <w:p>
      <w:pPr>
        <w:snapToGrid w:val="0"/>
        <w:spacing w:line="400" w:lineRule="exact"/>
        <w:ind w:firstLine="480" w:firstLineChars="200"/>
        <w:rPr>
          <w:rFonts w:eastAsia="仿宋"/>
          <w:sz w:val="24"/>
        </w:rPr>
      </w:pPr>
      <w:r>
        <w:rPr>
          <w:rFonts w:hint="eastAsia" w:eastAsia="仿宋"/>
          <w:sz w:val="24"/>
        </w:rPr>
        <w:t>4</w:t>
      </w:r>
      <w:r>
        <w:rPr>
          <w:rFonts w:eastAsia="仿宋"/>
          <w:sz w:val="24"/>
        </w:rPr>
        <w:t>、</w:t>
      </w:r>
      <w:r>
        <w:rPr>
          <w:rFonts w:hint="eastAsia" w:eastAsia="仿宋"/>
          <w:sz w:val="24"/>
        </w:rPr>
        <w:t>报价人</w:t>
      </w:r>
      <w:r>
        <w:rPr>
          <w:rFonts w:eastAsia="仿宋"/>
          <w:sz w:val="24"/>
        </w:rPr>
        <w:t>同意按照贵方要求提供与</w:t>
      </w:r>
      <w:r>
        <w:rPr>
          <w:rFonts w:hint="eastAsia" w:eastAsia="仿宋"/>
          <w:sz w:val="24"/>
        </w:rPr>
        <w:t>项目报价</w:t>
      </w:r>
      <w:r>
        <w:rPr>
          <w:rFonts w:eastAsia="仿宋"/>
          <w:sz w:val="24"/>
        </w:rPr>
        <w:t>有关的一切数据或资料。</w:t>
      </w:r>
    </w:p>
    <w:p>
      <w:pPr>
        <w:snapToGrid w:val="0"/>
        <w:spacing w:line="400" w:lineRule="exact"/>
        <w:ind w:firstLine="480" w:firstLineChars="200"/>
        <w:rPr>
          <w:rFonts w:eastAsia="仿宋"/>
          <w:sz w:val="24"/>
        </w:rPr>
      </w:pPr>
      <w:r>
        <w:rPr>
          <w:rFonts w:hint="eastAsia" w:eastAsia="仿宋"/>
          <w:sz w:val="24"/>
        </w:rPr>
        <w:t>5</w:t>
      </w:r>
      <w:r>
        <w:rPr>
          <w:rFonts w:eastAsia="仿宋"/>
          <w:sz w:val="24"/>
        </w:rPr>
        <w:t>、与本次</w:t>
      </w:r>
      <w:r>
        <w:rPr>
          <w:rFonts w:hint="eastAsia" w:eastAsia="仿宋"/>
          <w:sz w:val="24"/>
        </w:rPr>
        <w:t>报价</w:t>
      </w:r>
      <w:r>
        <w:rPr>
          <w:rFonts w:eastAsia="仿宋"/>
          <w:sz w:val="24"/>
        </w:rPr>
        <w:t>有关的一切正式往来信函请寄：</w:t>
      </w:r>
    </w:p>
    <w:p>
      <w:pPr>
        <w:wordWrap w:val="0"/>
        <w:snapToGrid w:val="0"/>
        <w:spacing w:line="400" w:lineRule="exact"/>
        <w:rPr>
          <w:rFonts w:eastAsia="仿宋"/>
          <w:sz w:val="24"/>
          <w:u w:val="single"/>
        </w:rPr>
      </w:pPr>
      <w:r>
        <w:rPr>
          <w:rFonts w:eastAsia="仿宋"/>
          <w:sz w:val="24"/>
        </w:rPr>
        <w:t>地址：</w:t>
      </w:r>
      <w:r>
        <w:rPr>
          <w:rFonts w:eastAsia="仿宋"/>
          <w:sz w:val="24"/>
          <w:u w:val="single"/>
        </w:rPr>
        <w:t xml:space="preserve">                       </w:t>
      </w:r>
      <w:r>
        <w:rPr>
          <w:rFonts w:eastAsia="仿宋"/>
          <w:sz w:val="24"/>
        </w:rPr>
        <w:t>邮编：</w:t>
      </w:r>
      <w:r>
        <w:rPr>
          <w:rFonts w:eastAsia="仿宋"/>
          <w:sz w:val="24"/>
          <w:u w:val="single"/>
        </w:rPr>
        <w:t xml:space="preserve">               </w:t>
      </w:r>
      <w:r>
        <w:rPr>
          <w:rFonts w:eastAsia="仿宋"/>
          <w:sz w:val="24"/>
        </w:rPr>
        <w:t xml:space="preserve">   电话：</w:t>
      </w:r>
      <w:r>
        <w:rPr>
          <w:rFonts w:eastAsia="仿宋"/>
          <w:sz w:val="24"/>
          <w:u w:val="single"/>
        </w:rPr>
        <w:t xml:space="preserve">                </w:t>
      </w:r>
    </w:p>
    <w:p>
      <w:pPr>
        <w:wordWrap w:val="0"/>
        <w:snapToGrid w:val="0"/>
        <w:spacing w:line="400" w:lineRule="exact"/>
        <w:rPr>
          <w:rFonts w:eastAsia="仿宋"/>
          <w:sz w:val="24"/>
          <w:u w:val="single"/>
        </w:rPr>
      </w:pPr>
      <w:r>
        <w:rPr>
          <w:rFonts w:eastAsia="仿宋"/>
          <w:sz w:val="24"/>
        </w:rPr>
        <w:t>传真：</w:t>
      </w:r>
      <w:r>
        <w:rPr>
          <w:rFonts w:eastAsia="仿宋"/>
          <w:sz w:val="24"/>
          <w:u w:val="single"/>
        </w:rPr>
        <w:t xml:space="preserve">                       </w:t>
      </w:r>
      <w:r>
        <w:rPr>
          <w:rFonts w:hint="eastAsia" w:eastAsia="仿宋"/>
          <w:sz w:val="24"/>
        </w:rPr>
        <w:t>报价人</w:t>
      </w:r>
      <w:r>
        <w:rPr>
          <w:rFonts w:eastAsia="仿宋"/>
          <w:sz w:val="24"/>
        </w:rPr>
        <w:t>代表姓名：</w:t>
      </w:r>
      <w:r>
        <w:rPr>
          <w:rFonts w:eastAsia="仿宋"/>
          <w:sz w:val="24"/>
          <w:u w:val="single"/>
        </w:rPr>
        <w:t xml:space="preserve">                </w:t>
      </w:r>
      <w:r>
        <w:rPr>
          <w:rFonts w:eastAsia="仿宋"/>
          <w:sz w:val="24"/>
        </w:rPr>
        <w:t xml:space="preserve">  职务：</w:t>
      </w:r>
      <w:r>
        <w:rPr>
          <w:rFonts w:eastAsia="仿宋"/>
          <w:sz w:val="24"/>
          <w:u w:val="single"/>
        </w:rPr>
        <w:t xml:space="preserve">            </w:t>
      </w:r>
    </w:p>
    <w:p>
      <w:pPr>
        <w:wordWrap w:val="0"/>
        <w:snapToGrid w:val="0"/>
        <w:spacing w:line="400" w:lineRule="exact"/>
        <w:rPr>
          <w:rFonts w:eastAsia="仿宋"/>
          <w:sz w:val="24"/>
          <w:u w:val="single"/>
        </w:rPr>
      </w:pPr>
      <w:r>
        <w:rPr>
          <w:rFonts w:hint="eastAsia" w:eastAsia="仿宋"/>
          <w:sz w:val="24"/>
        </w:rPr>
        <w:t>报价人</w:t>
      </w:r>
      <w:r>
        <w:rPr>
          <w:rFonts w:eastAsia="仿宋"/>
          <w:sz w:val="24"/>
        </w:rPr>
        <w:t>名称（公章）：</w:t>
      </w:r>
      <w:r>
        <w:rPr>
          <w:rFonts w:eastAsia="仿宋"/>
          <w:sz w:val="24"/>
          <w:u w:val="single"/>
        </w:rPr>
        <w:t xml:space="preserve">                                          </w:t>
      </w:r>
    </w:p>
    <w:p>
      <w:pPr>
        <w:wordWrap w:val="0"/>
        <w:snapToGrid w:val="0"/>
        <w:spacing w:line="400" w:lineRule="exact"/>
        <w:rPr>
          <w:rFonts w:eastAsia="仿宋"/>
          <w:sz w:val="24"/>
        </w:rPr>
      </w:pPr>
      <w:r>
        <w:rPr>
          <w:rFonts w:eastAsia="仿宋"/>
          <w:sz w:val="24"/>
        </w:rPr>
        <w:t>开户银行：</w:t>
      </w:r>
      <w:r>
        <w:rPr>
          <w:rFonts w:eastAsia="仿宋"/>
          <w:sz w:val="24"/>
          <w:u w:val="single"/>
        </w:rPr>
        <w:t xml:space="preserve">                      </w:t>
      </w:r>
      <w:r>
        <w:rPr>
          <w:rFonts w:eastAsia="仿宋"/>
          <w:sz w:val="24"/>
        </w:rPr>
        <w:t xml:space="preserve">   </w:t>
      </w:r>
      <w:r>
        <w:rPr>
          <w:rFonts w:hint="eastAsia" w:eastAsia="仿宋"/>
          <w:sz w:val="24"/>
        </w:rPr>
        <w:t>银行账号</w:t>
      </w:r>
      <w:r>
        <w:rPr>
          <w:rFonts w:eastAsia="仿宋"/>
          <w:sz w:val="24"/>
        </w:rPr>
        <w:t>：</w:t>
      </w:r>
      <w:r>
        <w:rPr>
          <w:rFonts w:eastAsia="仿宋"/>
          <w:sz w:val="24"/>
          <w:u w:val="single"/>
        </w:rPr>
        <w:t xml:space="preserve">                    </w:t>
      </w:r>
      <w:r>
        <w:rPr>
          <w:rFonts w:eastAsia="仿宋"/>
          <w:sz w:val="24"/>
        </w:rPr>
        <w:t xml:space="preserve"> </w:t>
      </w:r>
    </w:p>
    <w:p>
      <w:pPr>
        <w:wordWrap w:val="0"/>
        <w:snapToGrid w:val="0"/>
        <w:spacing w:line="400" w:lineRule="exact"/>
        <w:rPr>
          <w:rFonts w:eastAsia="仿宋"/>
          <w:sz w:val="24"/>
        </w:rPr>
      </w:pPr>
      <w:r>
        <w:rPr>
          <w:rFonts w:eastAsia="仿宋"/>
          <w:sz w:val="24"/>
        </w:rPr>
        <w:t>授权代表签字或盖章：</w:t>
      </w:r>
      <w:r>
        <w:rPr>
          <w:rFonts w:eastAsia="仿宋"/>
          <w:sz w:val="24"/>
          <w:u w:val="single"/>
        </w:rPr>
        <w:t xml:space="preserve">                                       </w:t>
      </w:r>
    </w:p>
    <w:p>
      <w:pPr>
        <w:snapToGrid w:val="0"/>
        <w:spacing w:line="400" w:lineRule="exact"/>
        <w:ind w:firstLine="7080" w:firstLineChars="2950"/>
        <w:rPr>
          <w:rFonts w:eastAsia="仿宋"/>
          <w:sz w:val="24"/>
        </w:rPr>
      </w:pPr>
      <w:r>
        <w:rPr>
          <w:rFonts w:eastAsia="仿宋"/>
          <w:sz w:val="24"/>
        </w:rPr>
        <w:t>（公章）</w:t>
      </w:r>
    </w:p>
    <w:p>
      <w:pPr>
        <w:snapToGrid w:val="0"/>
        <w:spacing w:line="400" w:lineRule="exact"/>
        <w:rPr>
          <w:rFonts w:eastAsia="仿宋"/>
          <w:sz w:val="24"/>
        </w:rPr>
      </w:pPr>
      <w:r>
        <w:rPr>
          <w:rFonts w:eastAsia="仿宋"/>
          <w:sz w:val="24"/>
        </w:rPr>
        <w:t xml:space="preserve">                                                        </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outlineLvl w:val="2"/>
        <w:rPr>
          <w:rFonts w:eastAsia="仿宋"/>
          <w:b/>
          <w:sz w:val="24"/>
        </w:rPr>
      </w:pPr>
      <w:r>
        <w:rPr>
          <w:rFonts w:eastAsia="仿宋"/>
          <w:b/>
          <w:sz w:val="24"/>
        </w:rPr>
        <w:br w:type="page"/>
      </w:r>
      <w:r>
        <w:rPr>
          <w:rFonts w:eastAsia="仿宋"/>
          <w:b/>
          <w:sz w:val="24"/>
        </w:rPr>
        <w:t>3.报价表格式：</w:t>
      </w:r>
    </w:p>
    <w:p>
      <w:pPr>
        <w:pStyle w:val="15"/>
        <w:snapToGrid w:val="0"/>
        <w:spacing w:line="400" w:lineRule="exact"/>
        <w:jc w:val="center"/>
        <w:outlineLvl w:val="1"/>
        <w:rPr>
          <w:rFonts w:ascii="Times New Roman" w:hAnsi="Times New Roman" w:eastAsia="仿宋"/>
          <w:b/>
          <w:sz w:val="28"/>
          <w:szCs w:val="28"/>
        </w:rPr>
      </w:pPr>
      <w:r>
        <w:rPr>
          <w:rFonts w:ascii="Times New Roman" w:hAnsi="Times New Roman" w:eastAsia="仿宋"/>
          <w:b/>
          <w:sz w:val="28"/>
          <w:szCs w:val="28"/>
        </w:rPr>
        <w:t>报价表</w:t>
      </w:r>
    </w:p>
    <w:p>
      <w:pPr>
        <w:snapToGrid w:val="0"/>
        <w:spacing w:line="400" w:lineRule="exact"/>
        <w:ind w:firstLine="360" w:firstLineChars="150"/>
        <w:jc w:val="left"/>
        <w:rPr>
          <w:rFonts w:eastAsia="仿宋"/>
          <w:sz w:val="24"/>
        </w:rPr>
      </w:pPr>
      <w:r>
        <w:rPr>
          <w:rFonts w:eastAsia="仿宋"/>
          <w:sz w:val="24"/>
        </w:rPr>
        <w:t xml:space="preserve">                                </w:t>
      </w:r>
    </w:p>
    <w:tbl>
      <w:tblPr>
        <w:tblStyle w:val="34"/>
        <w:tblW w:w="927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rPr>
            </w:pPr>
            <w:r>
              <w:rPr>
                <w:rFonts w:hint="eastAsia" w:eastAsia="仿宋"/>
                <w:b/>
                <w:sz w:val="24"/>
              </w:rPr>
              <w:t>服务、设备型号及品牌</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2</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rPr>
            </w:pPr>
            <w:r>
              <w:rPr>
                <w:rFonts w:eastAsia="仿宋"/>
                <w:sz w:val="24"/>
              </w:rPr>
              <w:t>合计金额大写：</w:t>
            </w:r>
            <w:r>
              <w:rPr>
                <w:rFonts w:eastAsia="仿宋"/>
                <w:sz w:val="24"/>
                <w:u w:val="single"/>
              </w:rPr>
              <w:t xml:space="preserve">                                </w:t>
            </w:r>
            <w:r>
              <w:rPr>
                <w:rFonts w:eastAsia="仿宋"/>
                <w:sz w:val="24"/>
              </w:rPr>
              <w:t>￥</w:t>
            </w:r>
            <w:r>
              <w:rPr>
                <w:rFonts w:eastAsia="仿宋"/>
                <w:sz w:val="24"/>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rPr>
            </w:pPr>
            <w:r>
              <w:rPr>
                <w:rFonts w:eastAsia="仿宋"/>
                <w:sz w:val="24"/>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rPr>
            </w:pPr>
          </w:p>
        </w:tc>
      </w:tr>
    </w:tbl>
    <w:p>
      <w:pPr>
        <w:tabs>
          <w:tab w:val="left" w:pos="1418"/>
        </w:tabs>
        <w:snapToGrid w:val="0"/>
        <w:spacing w:line="400" w:lineRule="exact"/>
        <w:jc w:val="center"/>
        <w:rPr>
          <w:rFonts w:eastAsia="仿宋"/>
          <w:spacing w:val="20"/>
          <w:sz w:val="24"/>
          <w:u w:val="single"/>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rPr>
          <w:rFonts w:eastAsia="仿宋"/>
          <w:sz w:val="24"/>
        </w:rPr>
      </w:pPr>
    </w:p>
    <w:p>
      <w:pPr>
        <w:snapToGrid w:val="0"/>
        <w:spacing w:line="400" w:lineRule="exact"/>
        <w:rPr>
          <w:rFonts w:eastAsia="仿宋"/>
          <w:sz w:val="24"/>
        </w:rPr>
      </w:pPr>
      <w:r>
        <w:rPr>
          <w:rFonts w:eastAsia="仿宋"/>
          <w:sz w:val="24"/>
        </w:rPr>
        <w:t>注：1、</w:t>
      </w:r>
      <w:r>
        <w:rPr>
          <w:rFonts w:hint="eastAsia" w:eastAsia="仿宋"/>
          <w:sz w:val="24"/>
        </w:rPr>
        <w:t>报价人</w:t>
      </w:r>
      <w:r>
        <w:rPr>
          <w:rFonts w:eastAsia="仿宋"/>
          <w:sz w:val="24"/>
        </w:rPr>
        <w:t>应根据所提供的货物（服务）如实填写报价表的各项内容。</w:t>
      </w:r>
    </w:p>
    <w:p>
      <w:pPr>
        <w:numPr>
          <w:ilvl w:val="0"/>
          <w:numId w:val="8"/>
        </w:numPr>
        <w:snapToGrid w:val="0"/>
        <w:spacing w:line="400" w:lineRule="exact"/>
        <w:ind w:firstLine="465"/>
        <w:rPr>
          <w:rFonts w:eastAsia="仿宋"/>
          <w:sz w:val="24"/>
        </w:rPr>
      </w:pPr>
      <w:r>
        <w:rPr>
          <w:rFonts w:eastAsia="仿宋"/>
          <w:sz w:val="24"/>
        </w:rPr>
        <w:t>报价表由多页构成时，需逐页加盖</w:t>
      </w:r>
      <w:r>
        <w:rPr>
          <w:rFonts w:hint="eastAsia" w:eastAsia="仿宋"/>
          <w:sz w:val="24"/>
        </w:rPr>
        <w:t>报价人</w:t>
      </w:r>
      <w:r>
        <w:rPr>
          <w:rFonts w:eastAsia="仿宋"/>
          <w:sz w:val="24"/>
        </w:rPr>
        <w:t>公章。</w:t>
      </w:r>
    </w:p>
    <w:p>
      <w:pPr>
        <w:spacing w:line="39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3、本项目为整体服务包干项目，报价中应包含所有服务内容，成交后采购人服务期内不再另行支付额外费用。</w:t>
      </w:r>
    </w:p>
    <w:p>
      <w:pPr>
        <w:pStyle w:val="15"/>
        <w:snapToGrid w:val="0"/>
        <w:spacing w:before="295" w:after="295"/>
        <w:jc w:val="center"/>
        <w:rPr>
          <w:rFonts w:ascii="Times New Roman" w:hAnsi="Times New Roman" w:eastAsia="仿宋"/>
        </w:rPr>
      </w:pPr>
    </w:p>
    <w:p>
      <w:pPr>
        <w:pStyle w:val="15"/>
        <w:rPr>
          <w:rFonts w:hAnsi="宋体" w:cs="宋体"/>
          <w:b/>
          <w:sz w:val="24"/>
        </w:rPr>
      </w:pPr>
      <w:r>
        <w:rPr>
          <w:rFonts w:eastAsia="仿宋"/>
          <w:b/>
          <w:sz w:val="24"/>
        </w:rPr>
        <w:t>4.</w:t>
      </w:r>
      <w:r>
        <w:rPr>
          <w:rFonts w:hint="eastAsia" w:eastAsia="仿宋"/>
          <w:b/>
          <w:sz w:val="24"/>
        </w:rPr>
        <w:t>报价人</w:t>
      </w:r>
      <w:r>
        <w:rPr>
          <w:rFonts w:eastAsia="仿宋"/>
          <w:b/>
          <w:sz w:val="24"/>
        </w:rPr>
        <w:t>针对报价需要说明的其他文件和说明（格式自拟）</w:t>
      </w:r>
      <w:r>
        <w:rPr>
          <w:rFonts w:hint="eastAsia" w:hAnsi="宋体" w:cs="宋体"/>
          <w:b/>
          <w:sz w:val="24"/>
        </w:rPr>
        <w:t xml:space="preserve"> </w:t>
      </w:r>
    </w:p>
    <w:p>
      <w:pPr>
        <w:pStyle w:val="15"/>
        <w:spacing w:line="288" w:lineRule="auto"/>
        <w:jc w:val="left"/>
        <w:rPr>
          <w:rFonts w:hAnsi="宋体"/>
        </w:rPr>
      </w:pPr>
    </w:p>
    <w:sectPr>
      <w:footerReference r:id="rId13"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431363-BFFF-4A67-BCFC-732C15256387}"/>
  </w:font>
  <w:font w:name="Arial">
    <w:panose1 w:val="020B0604020202020204"/>
    <w:charset w:val="01"/>
    <w:family w:val="swiss"/>
    <w:pitch w:val="default"/>
    <w:sig w:usb0="E0002EFF" w:usb1="C000785B" w:usb2="00000009" w:usb3="00000000" w:csb0="400001FF" w:csb1="FFFF0000"/>
    <w:embedRegular r:id="rId2" w:fontKey="{3930568F-A1D2-48B7-B15F-60ED271AF57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16EAB9A-815C-4CB5-8317-B6ADBCE606B9}"/>
  </w:font>
  <w:font w:name="Symbol">
    <w:panose1 w:val="05050102010706020507"/>
    <w:charset w:val="02"/>
    <w:family w:val="roman"/>
    <w:pitch w:val="default"/>
    <w:sig w:usb0="00000000" w:usb1="00000000" w:usb2="00000000" w:usb3="00000000" w:csb0="80000000" w:csb1="00000000"/>
    <w:embedRegular r:id="rId4" w:fontKey="{80B21F91-7AC8-4631-9502-510EDAD09881}"/>
  </w:font>
  <w:font w:name="Cambria">
    <w:panose1 w:val="02040503050406030204"/>
    <w:charset w:val="00"/>
    <w:family w:val="roman"/>
    <w:pitch w:val="default"/>
    <w:sig w:usb0="E00006FF" w:usb1="420024FF" w:usb2="02000000" w:usb3="00000000" w:csb0="2000019F" w:csb1="00000000"/>
    <w:embedRegular r:id="rId5" w:fontKey="{BADF829B-456B-4629-8F84-9E2A0EA125BC}"/>
  </w:font>
  <w:font w:name="Calibri">
    <w:panose1 w:val="020F0502020204030204"/>
    <w:charset w:val="00"/>
    <w:family w:val="swiss"/>
    <w:pitch w:val="default"/>
    <w:sig w:usb0="E4002EFF" w:usb1="C000247B" w:usb2="00000009" w:usb3="00000000" w:csb0="200001FF" w:csb1="00000000"/>
    <w:embedRegular r:id="rId6" w:fontKey="{D8AE393E-1559-4B26-BFC7-5A2C630901B6}"/>
  </w:font>
  <w:font w:name="Symbol">
    <w:panose1 w:val="05050102010706020507"/>
    <w:charset w:val="02"/>
    <w:family w:val="roman"/>
    <w:pitch w:val="default"/>
    <w:sig w:usb0="00000000" w:usb1="00000000" w:usb2="00000000" w:usb3="00000000" w:csb0="80000000" w:csb1="00000000"/>
    <w:embedRegular r:id="rId7" w:fontKey="{82BF5127-4582-4AFC-9FE6-9FE3DA1FAE90}"/>
  </w:font>
  <w:font w:name="仿宋_GB2312">
    <w:panose1 w:val="02010609030101010101"/>
    <w:charset w:val="86"/>
    <w:family w:val="modern"/>
    <w:pitch w:val="default"/>
    <w:sig w:usb0="00000001" w:usb1="080E0000" w:usb2="00000000" w:usb3="00000000" w:csb0="00040000" w:csb1="00000000"/>
    <w:embedRegular r:id="rId8" w:fontKey="{3501C2D0-4966-4A11-8571-30A67A5E276C}"/>
  </w:font>
  <w:font w:name="MingLiU">
    <w:panose1 w:val="02020309000000000000"/>
    <w:charset w:val="88"/>
    <w:family w:val="modern"/>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9" w:fontKey="{BD84D3D2-7731-4BFC-BC19-026815721694}"/>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0" w:fontKey="{CB20B2F8-27B9-4C6E-8077-924AC565396B}"/>
  </w:font>
  <w:font w:name="楷体">
    <w:panose1 w:val="02010609060101010101"/>
    <w:charset w:val="86"/>
    <w:family w:val="modern"/>
    <w:pitch w:val="default"/>
    <w:sig w:usb0="800002BF" w:usb1="38CF7CFA" w:usb2="00000016" w:usb3="00000000" w:csb0="00040001" w:csb1="00000000"/>
    <w:embedRegular r:id="rId11" w:fontKey="{3831C419-228A-4616-A9FC-31A57A06E915}"/>
  </w:font>
  <w:font w:name="微软雅黑">
    <w:panose1 w:val="020B0503020204020204"/>
    <w:charset w:val="86"/>
    <w:family w:val="swiss"/>
    <w:pitch w:val="default"/>
    <w:sig w:usb0="80000287" w:usb1="2ACF3C50" w:usb2="00000016" w:usb3="00000000" w:csb0="0004001F" w:csb1="00000000"/>
    <w:embedRegular r:id="rId12" w:fontKey="{A3C4115E-288A-4026-B4A3-9AB53C075B07}"/>
  </w:font>
  <w:font w:name="微软雅黑">
    <w:panose1 w:val="020B0503020204020204"/>
    <w:charset w:val="86"/>
    <w:family w:val="auto"/>
    <w:pitch w:val="default"/>
    <w:sig w:usb0="80000287" w:usb1="2ACF3C50" w:usb2="00000016" w:usb3="00000000" w:csb0="0004001F" w:csb1="00000000"/>
  </w:font>
  <w:font w:name="文泉驿微米黑">
    <w:altName w:val="黑体"/>
    <w:panose1 w:val="020B0606030804020204"/>
    <w:charset w:val="86"/>
    <w:family w:val="auto"/>
    <w:pitch w:val="default"/>
    <w:sig w:usb0="00000000" w:usb1="00000000" w:usb2="00800036" w:usb3="00000000" w:csb0="603E019F" w:csb1="DFD70000"/>
  </w:font>
  <w:font w:name="方正宋体S-超大字符集">
    <w:altName w:val="宋体"/>
    <w:panose1 w:val="02000000000000000000"/>
    <w:charset w:val="86"/>
    <w:family w:val="auto"/>
    <w:pitch w:val="default"/>
    <w:sig w:usb0="00000000" w:usb1="00000000" w:usb2="00000000" w:usb3="00000000" w:csb0="00040000" w:csb1="00000000"/>
  </w:font>
  <w:font w:name="DejaVu Sans">
    <w:altName w:val="Segoe Print"/>
    <w:panose1 w:val="020B0603030804020204"/>
    <w:charset w:val="00"/>
    <w:family w:val="auto"/>
    <w:pitch w:val="default"/>
    <w:sig w:usb0="00000000" w:usb1="00000000" w:usb2="0A246029" w:usb3="0400200C" w:csb0="600001FF" w:csb1="DFFF0000"/>
  </w:font>
  <w:font w:name="Arial">
    <w:panose1 w:val="020B0604020202020204"/>
    <w:charset w:val="00"/>
    <w:family w:val="auto"/>
    <w:pitch w:val="default"/>
    <w:sig w:usb0="E0002EFF" w:usb1="C000785B" w:usb2="00000009" w:usb3="00000000" w:csb0="400001FF" w:csb1="FFFF0000"/>
    <w:embedRegular r:id="rId13" w:fontKey="{A5176A12-E9EC-4E83-8AF4-DC916CBA60B3}"/>
  </w:font>
  <w:font w:name="黑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embedRegular r:id="rId14" w:fontKey="{EFA767C7-CDAF-40CB-A7DB-DCF8282AAA77}"/>
  </w:font>
  <w:font w:name="Arial">
    <w:panose1 w:val="020B0604020202020204"/>
    <w:charset w:val="00"/>
    <w:family w:val="swiss"/>
    <w:pitch w:val="default"/>
    <w:sig w:usb0="E0002EFF" w:usb1="C000785B" w:usb2="00000009" w:usb3="00000000" w:csb0="400001FF" w:csb1="FFFF0000"/>
    <w:embedRegular r:id="rId15" w:fontKey="{8B60E58B-55B3-4D32-9758-E69D5B0BA19C}"/>
  </w:font>
  <w:font w:name="黑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16" w:fontKey="{F37BE53C-2C45-45E9-B18A-E88735B396C3}"/>
  </w:font>
  <w:font w:name="Calibri">
    <w:panose1 w:val="020F0502020204030204"/>
    <w:charset w:val="00"/>
    <w:family w:val="roman"/>
    <w:pitch w:val="default"/>
    <w:sig w:usb0="E4002EFF" w:usb1="C000247B" w:usb2="00000009" w:usb3="00000000" w:csb0="200001FF" w:csb1="00000000"/>
    <w:embedRegular r:id="rId17" w:fontKey="{A9A32F19-0244-49D8-ADFB-D21B56470AF0}"/>
  </w:font>
  <w:font w:name="等线 Light">
    <w:panose1 w:val="02010600030101010101"/>
    <w:charset w:val="86"/>
    <w:family w:val="roman"/>
    <w:pitch w:val="default"/>
    <w:sig w:usb0="A00002BF" w:usb1="38CF7CFA" w:usb2="00000016" w:usb3="00000000" w:csb0="0004000F" w:csb1="00000000"/>
  </w:font>
  <w:font w:name="等线">
    <w:panose1 w:val="02010600030101010101"/>
    <w:charset w:val="86"/>
    <w:family w:val="roman"/>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Ul6JzBcCAAAWBAAADgAAAAAA&#10;AAABACAAAAAfAQAAZHJzL2Uyb0RvYy54bWxQSwUGAAAAAAYABgBZAQAAq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SVju&#10;0AAAAAUBAAAPAAAAAAAAAAEAIAAAACIAAABkcnMvZG93bnJldi54bWxQSwECFAAUAAAACACHTuJA&#10;kEXk8bcBAABWAwAADgAAAAAAAAABACAAAAAfAQAAZHJzL2Uyb0RvYy54bWxQSwUGAAAAAAYABgBZ&#10;AQAAS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3728720</wp:posOffset>
              </wp:positionH>
              <wp:positionV relativeFrom="paragraph">
                <wp:posOffset>10795</wp:posOffset>
              </wp:positionV>
              <wp:extent cx="469265" cy="305435"/>
              <wp:effectExtent l="0" t="0" r="0" b="0"/>
              <wp:wrapNone/>
              <wp:docPr id="9" name="文本框 10"/>
              <wp:cNvGraphicFramePr/>
              <a:graphic xmlns:a="http://schemas.openxmlformats.org/drawingml/2006/main">
                <a:graphicData uri="http://schemas.microsoft.com/office/word/2010/wordprocessingShape">
                  <wps:wsp>
                    <wps:cNvSpPr txBox="1"/>
                    <wps:spPr>
                      <a:xfrm>
                        <a:off x="0" y="0"/>
                        <a:ext cx="469265" cy="305435"/>
                      </a:xfrm>
                      <a:prstGeom prst="rect">
                        <a:avLst/>
                      </a:prstGeom>
                      <a:noFill/>
                      <a:ln w="6350">
                        <a:noFill/>
                      </a:ln>
                    </wps:spPr>
                    <wps:txbx>
                      <w:txbxContent>
                        <w:p/>
                      </w:txbxContent>
                    </wps:txbx>
                    <wps:bodyPr lIns="0" tIns="0" rIns="0" bIns="0" upright="1"/>
                  </wps:wsp>
                </a:graphicData>
              </a:graphic>
            </wp:anchor>
          </w:drawing>
        </mc:Choice>
        <mc:Fallback>
          <w:pict>
            <v:shape id="文本框 10" o:spid="_x0000_s1026" o:spt="202" type="#_x0000_t202" style="position:absolute;left:0pt;margin-left:293.6pt;margin-top:0.85pt;height:24.05pt;width:36.95pt;mso-position-horizontal-relative:margin;z-index:251667456;mso-width-relative:page;mso-height-relative:page;" filled="f" stroked="f" coordsize="21600,21600" o:gfxdata="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LUsu41wAAAAgBAAAP&#10;AAAAAAAAAAEAIAAAACIAAABkcnMvZG93bnJldi54bWxQSwECFAAUAAAACACHTuJAptckY6cBAAAt&#10;AwAADgAAAAAAAAABACAAAAAmAQAAZHJzL2Uyb0RvYy54bWxQSwUGAAAAAAYABgBZAQAAPwUAAAAA&#10;">
              <v:fill on="f" focussize="0,0"/>
              <v:stroke on="f" weight="0.5pt"/>
              <v:imagedata o:title=""/>
              <o:lock v:ext="edit" aspectratio="f"/>
              <v:textbox inset="0mm,0mm,0mm,0mm">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6" name="410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19"/>
                            <w:rPr>
                              <w:rStyle w:val="29"/>
                            </w:rPr>
                          </w:pPr>
                        </w:p>
                      </w:txbxContent>
                    </wps:txbx>
                    <wps:bodyPr rot="0" vert="horz" wrap="none" lIns="0" tIns="0" rIns="0" bIns="0" anchor="t" anchorCtr="0" upright="1">
                      <a:spAutoFit/>
                    </wps:bodyPr>
                  </wps:wsp>
                </a:graphicData>
              </a:graphic>
            </wp:anchor>
          </w:drawing>
        </mc:Choice>
        <mc:Fallback>
          <w:pict>
            <v:shape id="4101" o:spid="_x0000_s1026" o:spt="202" type="#_x0000_t202" style="position:absolute;left:0pt;margin-top:0pt;height:10.35pt;width:4.55pt;mso-position-horizontal:center;mso-position-horizontal-relative:margin;mso-wrap-style:none;z-index:25166438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i91E0AAAAAIBAAAPAAAAAAAA&#10;AAEAIAAAACIAAABkcnMvZG93bnJldi54bWxQSwECFAAUAAAACACHTuJADFuTneEBAAC6AwAADgAA&#10;AAAAAAABACAAAAAfAQAAZHJzL2Uyb0RvYy54bWxQSwUGAAAAAAYABgBZAQAAcgUAAAAA&#10;">
              <v:fill on="f" focussize="0,0"/>
              <v:stroke on="f"/>
              <v:imagedata o:title=""/>
              <o:lock v:ext="edit" aspectratio="f"/>
              <v:textbox inset="0mm,0mm,0mm,0mm" style="mso-fit-shape-to-text:t;">
                <w:txbxContent>
                  <w:p>
                    <w:pPr>
                      <w:pStyle w:val="19"/>
                      <w:rPr>
                        <w:rStyle w:val="29"/>
                      </w:rPr>
                    </w:pPr>
                  </w:p>
                </w:txbxContent>
              </v:textbox>
            </v:shape>
          </w:pict>
        </mc:Fallback>
      </mc:AlternateContent>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9"/>
      </w:rPr>
    </w:pPr>
    <w:r>
      <w:fldChar w:fldCharType="begin"/>
    </w:r>
    <w:r>
      <w:rPr>
        <w:rStyle w:val="29"/>
      </w:rPr>
      <w:instrText xml:space="preserve">PAGE  </w:instrText>
    </w:r>
    <w:r>
      <w:fldChar w:fldCharType="end"/>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SVju&#10;0AAAAAUBAAAPAAAAAAAAAAEAIAAAACIAAABkcnMvZG93bnJldi54bWxQSwECFAAUAAAACACHTuJA&#10;wgI6jrcBAABWAwAADgAAAAAAAAABACAAAAAfAQAAZHJzL2Uyb0RvYy54bWxQSwUGAAAAAAYABgBZ&#10;AQAAS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2926080</wp:posOffset>
              </wp:positionH>
              <wp:positionV relativeFrom="paragraph">
                <wp:posOffset>19050</wp:posOffset>
              </wp:positionV>
              <wp:extent cx="114935" cy="153035"/>
              <wp:effectExtent l="0" t="0" r="0" b="0"/>
              <wp:wrapNone/>
              <wp:docPr id="2" name="4103"/>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4103" o:spid="_x0000_s1026" o:spt="202" type="#_x0000_t202" style="position:absolute;left:0pt;margin-left:230.4pt;margin-top:1.5pt;height:12.05pt;width:9.05pt;mso-position-horizontal-relative:margin;mso-wrap-style:none;z-index:251660288;mso-width-relative:page;mso-height-relative:page;" filled="f" stroked="f" coordsize="21600,21600" o:gfxdata="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Pg1G1QAAAAgBAAAPAAAA&#10;AAAAAAEAIAAAACIAAABkcnMvZG93bnJldi54bWxQSwECFAAUAAAACACHTuJAqEmaK98BAAC7AwAA&#10;DgAAAAAAAAABACAAAAAkAQAAZHJzL2Uyb0RvYy54bWxQSwUGAAAAAAYABgBZAQAAdQU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3" name="4104"/>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4104"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QVPmtAAAAADAQAADwAAAAAAAAAB&#10;ACAAAAAiAAAAZHJzL2Rvd25yZXYueG1sUEsBAhQAFAAAAAgAh07iQERrd9LfAQAAuwMAAA4AAAAA&#10;AAAAAQAgAAAAHwEAAGRycy9lMm9Eb2MueG1sUEsFBgAAAAAGAAYAWQEAAHAFA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262890"/>
              <wp:effectExtent l="0" t="0" r="0" b="0"/>
              <wp:wrapNone/>
              <wp:docPr id="4" name="4105"/>
              <wp:cNvGraphicFramePr/>
              <a:graphic xmlns:a="http://schemas.openxmlformats.org/drawingml/2006/main">
                <a:graphicData uri="http://schemas.microsoft.com/office/word/2010/wordprocessingShape">
                  <wps:wsp>
                    <wps:cNvSpPr txBox="1">
                      <a:spLocks noChangeArrowheads="1"/>
                    </wps:cNvSpPr>
                    <wps:spPr bwMode="auto">
                      <a:xfrm>
                        <a:off x="0" y="0"/>
                        <a:ext cx="114935" cy="262890"/>
                      </a:xfrm>
                      <a:prstGeom prst="rect">
                        <a:avLst/>
                      </a:prstGeom>
                      <a:noFill/>
                      <a:ln>
                        <a:noFill/>
                      </a:ln>
                      <a:effectLst/>
                    </wps:spPr>
                    <wps:txbx>
                      <w:txbxContent>
                        <w:p>
                          <w:pPr>
                            <w:pStyle w:val="19"/>
                          </w:pPr>
                          <w:r>
                            <w:rPr>
                              <w:rFonts w:hint="eastAsia"/>
                            </w:rPr>
                            <w:t>3</w:t>
                          </w:r>
                        </w:p>
                        <w:p>
                          <w:pPr>
                            <w:pStyle w:val="19"/>
                          </w:pPr>
                        </w:p>
                      </w:txbxContent>
                    </wps:txbx>
                    <wps:bodyPr rot="0" vert="horz" wrap="none" lIns="0" tIns="0" rIns="0" bIns="0" anchor="t" anchorCtr="0" upright="1">
                      <a:spAutoFit/>
                    </wps:bodyPr>
                  </wps:wsp>
                </a:graphicData>
              </a:graphic>
            </wp:anchor>
          </w:drawing>
        </mc:Choice>
        <mc:Fallback>
          <w:pict>
            <v:shape id="4105" o:spid="_x0000_s1026" o:spt="202" type="#_x0000_t202" style="position:absolute;left:0pt;margin-top:0pt;height:20.7pt;width:9.05pt;mso-position-horizontal:center;mso-position-horizontal-relative:margin;mso-wrap-style:none;z-index:251662336;mso-width-relative:page;mso-height-relative:page;" filled="f" stroked="f" coordsize="21600,21600" o:gfxdata="UEsDBAoAAAAAAIdO4kAAAAAAAAAAAAAAAAAEAAAAZHJzL1BLAwQUAAAACACHTuJAal1yed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l1yedAAAAADAQAADwAAAAAA&#10;AAABACAAAAAiAAAAZHJzL2Rvd25yZXYueG1sUEsBAhQAFAAAAAgAh07iQGN5yZjiAQAAuwMAAA4A&#10;AAAAAAAAAQAgAAAAHwEAAGRycy9lMm9Eb2MueG1sUEsFBgAAAAAGAAYAWQEAAHMFAAAAAA==&#10;">
              <v:fill on="f" focussize="0,0"/>
              <v:stroke on="f"/>
              <v:imagedata o:title=""/>
              <o:lock v:ext="edit" aspectratio="f"/>
              <v:textbox inset="0mm,0mm,0mm,0mm" style="mso-fit-shape-to-text:t;">
                <w:txbxContent>
                  <w:p>
                    <w:pPr>
                      <w:pStyle w:val="19"/>
                    </w:pPr>
                    <w:r>
                      <w:rPr>
                        <w:rFonts w:hint="eastAsia"/>
                      </w:rPr>
                      <w:t>3</w:t>
                    </w:r>
                  </w:p>
                  <w:p>
                    <w:pPr>
                      <w:pStyle w:val="19"/>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5" name="410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19"/>
                          </w:pPr>
                          <w:r>
                            <w:rPr>
                              <w:rFonts w:hint="eastAsia"/>
                            </w:rPr>
                            <w:t>3</w:t>
                          </w:r>
                        </w:p>
                      </w:txbxContent>
                    </wps:txbx>
                    <wps:bodyPr rot="0" vert="horz" wrap="none" lIns="0" tIns="0" rIns="0" bIns="0" anchor="t" anchorCtr="0" upright="1">
                      <a:spAutoFit/>
                    </wps:bodyPr>
                  </wps:wsp>
                </a:graphicData>
              </a:graphic>
            </wp:anchor>
          </w:drawing>
        </mc:Choice>
        <mc:Fallback>
          <w:pict>
            <v:shape id="4106"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i91E0AAAAAIBAAAPAAAAAAAA&#10;AAEAIAAAACIAAABkcnMvZG93bnJldi54bWxQSwECFAAUAAAACACHTuJAF78nCeEBAAC6AwAADgAA&#10;AAAAAAABACAAAAAfAQAAZHJzL2Uyb0RvYy54bWxQSwUGAAAAAAYABgBZAQAAcgUAAAAA&#10;">
              <v:fill on="f" focussize="0,0"/>
              <v:stroke on="f"/>
              <v:imagedata o:title=""/>
              <o:lock v:ext="edit" aspectratio="f"/>
              <v:textbox inset="0mm,0mm,0mm,0mm" style="mso-fit-shape-to-text:t;">
                <w:txbxContent>
                  <w:p>
                    <w:pPr>
                      <w:pStyle w:val="19"/>
                    </w:pPr>
                    <w:r>
                      <w:rPr>
                        <w:rFonts w:hint="eastAsia"/>
                      </w:rPr>
                      <w:t>3</w:t>
                    </w:r>
                  </w:p>
                </w:txbxContent>
              </v:textbox>
            </v:shape>
          </w:pict>
        </mc:Fallback>
      </mc:AlternateContent>
    </w:r>
  </w:p>
  <w:p>
    <w:pPr>
      <w:pStyle w:val="19"/>
      <w:tabs>
        <w:tab w:val="clear" w:pos="4153"/>
      </w:tabs>
    </w:pPr>
  </w:p>
  <w:p>
    <w:pPr>
      <w:pStyle w:val="19"/>
      <w:tabs>
        <w:tab w:val="clear" w:pos="4153"/>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I5NBDu4AQAAVgMAAA4AAAAAAAAAAQAgAAAAHwEAAGRycy9lMm9Eb2MueG1sUEsFBgAAAAAGAAYA&#10;WQEAAEk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785" cy="131445"/>
              <wp:effectExtent l="0" t="0" r="0" b="0"/>
              <wp:wrapNone/>
              <wp:docPr id="7" name="4110"/>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19"/>
                            <w:rPr>
                              <w:rStyle w:val="29"/>
                            </w:rPr>
                          </w:pPr>
                        </w:p>
                      </w:txbxContent>
                    </wps:txbx>
                    <wps:bodyPr rot="0" vert="horz" wrap="none" lIns="0" tIns="0" rIns="0" bIns="0" anchor="t" anchorCtr="0" upright="1">
                      <a:spAutoFit/>
                    </wps:bodyPr>
                  </wps:wsp>
                </a:graphicData>
              </a:graphic>
            </wp:anchor>
          </w:drawing>
        </mc:Choice>
        <mc:Fallback>
          <w:pict>
            <v:shape id="4110" o:spid="_x0000_s1026" o:spt="202" type="#_x0000_t202" style="position:absolute;left:0pt;margin-top:0pt;height:10.35pt;width:4.55pt;mso-position-horizontal:center;mso-position-horizontal-relative:margin;mso-wrap-style:none;z-index:25166540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L3UTQAAAAAgEAAA8AAAAAAAAA&#10;AQAgAAAAIgAAAGRycy9kb3ducmV2LnhtbFBLAQIUABQAAAAIAIdO4kCU4tQV4AEAALoDAAAOAAAA&#10;AAAAAAEAIAAAAB8BAABkcnMvZTJvRG9jLnhtbFBLBQYAAAAABgAGAFkBAABxBQAAAAA=&#10;">
              <v:fill on="f" focussize="0,0"/>
              <v:stroke on="f"/>
              <v:imagedata o:title=""/>
              <o:lock v:ext="edit" aspectratio="f"/>
              <v:textbox inset="0mm,0mm,0mm,0mm" style="mso-fit-shape-to-text:t;">
                <w:txbxContent>
                  <w:p>
                    <w:pPr>
                      <w:pStyle w:val="19"/>
                      <w:rPr>
                        <w:rStyle w:val="29"/>
                      </w:rPr>
                    </w:pPr>
                  </w:p>
                </w:txbxContent>
              </v:textbox>
            </v:shape>
          </w:pict>
        </mc:Fallback>
      </mc:AlternateContent>
    </w:r>
  </w:p>
  <w:p>
    <w:pPr>
      <w:pStyle w:val="1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 w:val="clear" w:pos="8306"/>
      </w:tabs>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fldChar w:fldCharType="begin"/>
                          </w:r>
                          <w:r>
                            <w:instrText xml:space="preserve"> PAGE  \* MERGEFORMAT </w:instrText>
                          </w:r>
                          <w:r>
                            <w:fldChar w:fldCharType="separate"/>
                          </w:r>
                          <w:r>
                            <w:t>31</w:t>
                          </w:r>
                          <w:r>
                            <w:fldChar w:fldCharType="end"/>
                          </w:r>
                        </w:p>
                      </w:txbxContent>
                    </wps:txbx>
                    <wps:bodyPr wrap="none" lIns="0" tIns="0" rIns="0" bIns="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NJ&#10;WO7QAAAABQEAAA8AAAAAAAAAAQAgAAAAIgAAAGRycy9kb3ducmV2LnhtbFBLAQIUABQAAAAIAIdO&#10;4kCEtVt9uQEAAFYDAAAOAAAAAAAAAAEAIAAAAB8BAABkcnMvZTJvRG9jLnhtbFBLBQYAAAAABgAG&#10;AFkBAABK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31</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6DCBF3"/>
    <w:multiLevelType w:val="singleLevel"/>
    <w:tmpl w:val="AD6DCBF3"/>
    <w:lvl w:ilvl="0" w:tentative="0">
      <w:start w:val="3"/>
      <w:numFmt w:val="decimal"/>
      <w:suff w:val="nothing"/>
      <w:lvlText w:val="%1）"/>
      <w:lvlJc w:val="left"/>
    </w:lvl>
  </w:abstractNum>
  <w:abstractNum w:abstractNumId="1">
    <w:nsid w:val="00000002"/>
    <w:multiLevelType w:val="singleLevel"/>
    <w:tmpl w:val="00000002"/>
    <w:lvl w:ilvl="0" w:tentative="0">
      <w:start w:val="2"/>
      <w:numFmt w:val="decimal"/>
      <w:suff w:val="nothing"/>
      <w:lvlText w:val="%1、"/>
      <w:lvlJc w:val="left"/>
    </w:lvl>
  </w:abstractNum>
  <w:abstractNum w:abstractNumId="2">
    <w:nsid w:val="00000003"/>
    <w:multiLevelType w:val="singleLevel"/>
    <w:tmpl w:val="00000003"/>
    <w:lvl w:ilvl="0" w:tentative="0">
      <w:start w:val="9"/>
      <w:numFmt w:val="decimal"/>
      <w:suff w:val="nothing"/>
      <w:lvlText w:val="（%1）"/>
      <w:lvlJc w:val="left"/>
    </w:lvl>
  </w:abstractNum>
  <w:abstractNum w:abstractNumId="3">
    <w:nsid w:val="00000004"/>
    <w:multiLevelType w:val="singleLevel"/>
    <w:tmpl w:val="00000004"/>
    <w:lvl w:ilvl="0" w:tentative="0">
      <w:start w:val="2"/>
      <w:numFmt w:val="decimal"/>
      <w:suff w:val="nothing"/>
      <w:lvlText w:val="（%1）"/>
      <w:lvlJc w:val="left"/>
    </w:lvl>
  </w:abstractNum>
  <w:abstractNum w:abstractNumId="4">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7"/>
    <w:multiLevelType w:val="singleLevel"/>
    <w:tmpl w:val="00000007"/>
    <w:lvl w:ilvl="0" w:tentative="0">
      <w:start w:val="9"/>
      <w:numFmt w:val="decimal"/>
      <w:suff w:val="nothing"/>
      <w:lvlText w:val="（%1）"/>
      <w:lvlJc w:val="left"/>
    </w:lvl>
  </w:abstractNum>
  <w:abstractNum w:abstractNumId="7">
    <w:nsid w:val="1D213DC0"/>
    <w:multiLevelType w:val="multilevel"/>
    <w:tmpl w:val="1D213D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420"/>
  <w:characterSpacingControl w:val="doNotCompress"/>
  <w:hdrShapeDefaults>
    <o:shapelayout v:ext="edit">
      <o:idmap v:ext="edit" data="1"/>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62188A"/>
    <w:rsid w:val="000012F0"/>
    <w:rsid w:val="00021D6C"/>
    <w:rsid w:val="000401A8"/>
    <w:rsid w:val="00063162"/>
    <w:rsid w:val="000929B2"/>
    <w:rsid w:val="00094719"/>
    <w:rsid w:val="000A055B"/>
    <w:rsid w:val="000E3EB1"/>
    <w:rsid w:val="001100C2"/>
    <w:rsid w:val="00117CFA"/>
    <w:rsid w:val="00125FD4"/>
    <w:rsid w:val="00152DFC"/>
    <w:rsid w:val="00157681"/>
    <w:rsid w:val="001A7F41"/>
    <w:rsid w:val="00233A2E"/>
    <w:rsid w:val="0024011F"/>
    <w:rsid w:val="00264E69"/>
    <w:rsid w:val="002935D2"/>
    <w:rsid w:val="002B1890"/>
    <w:rsid w:val="002C47D1"/>
    <w:rsid w:val="002D5F94"/>
    <w:rsid w:val="0031739D"/>
    <w:rsid w:val="00322CC6"/>
    <w:rsid w:val="003537EC"/>
    <w:rsid w:val="00363737"/>
    <w:rsid w:val="003A061A"/>
    <w:rsid w:val="003A4EAD"/>
    <w:rsid w:val="003F1A82"/>
    <w:rsid w:val="004A77E2"/>
    <w:rsid w:val="004B4EDA"/>
    <w:rsid w:val="004F26DE"/>
    <w:rsid w:val="00554184"/>
    <w:rsid w:val="0056787E"/>
    <w:rsid w:val="0057692F"/>
    <w:rsid w:val="005B7C8F"/>
    <w:rsid w:val="00605371"/>
    <w:rsid w:val="006137E1"/>
    <w:rsid w:val="0062188A"/>
    <w:rsid w:val="00690CF0"/>
    <w:rsid w:val="006C7886"/>
    <w:rsid w:val="007213C4"/>
    <w:rsid w:val="00723EF5"/>
    <w:rsid w:val="00763CC4"/>
    <w:rsid w:val="007A2F27"/>
    <w:rsid w:val="007D78F0"/>
    <w:rsid w:val="007E28A3"/>
    <w:rsid w:val="00A00E5C"/>
    <w:rsid w:val="00A03BF6"/>
    <w:rsid w:val="00A2665F"/>
    <w:rsid w:val="00A435A6"/>
    <w:rsid w:val="00A449E0"/>
    <w:rsid w:val="00AA7F2F"/>
    <w:rsid w:val="00AE1BCE"/>
    <w:rsid w:val="00AF6FCB"/>
    <w:rsid w:val="00B15D67"/>
    <w:rsid w:val="00B54BD6"/>
    <w:rsid w:val="00B6133B"/>
    <w:rsid w:val="00B72C90"/>
    <w:rsid w:val="00BC6CCE"/>
    <w:rsid w:val="00BE0FDB"/>
    <w:rsid w:val="00CD2C36"/>
    <w:rsid w:val="00D02B31"/>
    <w:rsid w:val="00D27633"/>
    <w:rsid w:val="00D76E82"/>
    <w:rsid w:val="00DF5D3F"/>
    <w:rsid w:val="00E63A09"/>
    <w:rsid w:val="00E7042C"/>
    <w:rsid w:val="00ED00C0"/>
    <w:rsid w:val="00ED11FB"/>
    <w:rsid w:val="00F15EE4"/>
    <w:rsid w:val="00F253D4"/>
    <w:rsid w:val="00F34CB1"/>
    <w:rsid w:val="00F52E1C"/>
    <w:rsid w:val="00F56213"/>
    <w:rsid w:val="00F706FB"/>
    <w:rsid w:val="00FE686B"/>
    <w:rsid w:val="00FF2E3E"/>
    <w:rsid w:val="018F13E6"/>
    <w:rsid w:val="01CE59EE"/>
    <w:rsid w:val="02655F8C"/>
    <w:rsid w:val="035717DD"/>
    <w:rsid w:val="05CF7D50"/>
    <w:rsid w:val="06833B0E"/>
    <w:rsid w:val="071023CF"/>
    <w:rsid w:val="07C75183"/>
    <w:rsid w:val="08326375"/>
    <w:rsid w:val="0A312D88"/>
    <w:rsid w:val="0ACA6D38"/>
    <w:rsid w:val="0C9413AC"/>
    <w:rsid w:val="0CBB3FC5"/>
    <w:rsid w:val="0D4E59FF"/>
    <w:rsid w:val="0E970955"/>
    <w:rsid w:val="0F7B6853"/>
    <w:rsid w:val="10EA3C90"/>
    <w:rsid w:val="11427629"/>
    <w:rsid w:val="11AB1672"/>
    <w:rsid w:val="12503FC7"/>
    <w:rsid w:val="128F5FC0"/>
    <w:rsid w:val="12AF0CEE"/>
    <w:rsid w:val="12CE0A4E"/>
    <w:rsid w:val="12D93FBD"/>
    <w:rsid w:val="12E34E3B"/>
    <w:rsid w:val="13111E52"/>
    <w:rsid w:val="13692FAC"/>
    <w:rsid w:val="14382F65"/>
    <w:rsid w:val="146B333A"/>
    <w:rsid w:val="152B4878"/>
    <w:rsid w:val="15867667"/>
    <w:rsid w:val="15F9724C"/>
    <w:rsid w:val="16B26FFE"/>
    <w:rsid w:val="1864257A"/>
    <w:rsid w:val="188E75F7"/>
    <w:rsid w:val="18CA0CDF"/>
    <w:rsid w:val="19243D1F"/>
    <w:rsid w:val="19B66E06"/>
    <w:rsid w:val="1AB621C2"/>
    <w:rsid w:val="1BB05AD7"/>
    <w:rsid w:val="1BD73063"/>
    <w:rsid w:val="1C4C4058"/>
    <w:rsid w:val="1CCD20B8"/>
    <w:rsid w:val="1D077978"/>
    <w:rsid w:val="1D491D3F"/>
    <w:rsid w:val="1D8D3C20"/>
    <w:rsid w:val="1E0F4D36"/>
    <w:rsid w:val="1EA60132"/>
    <w:rsid w:val="1EE12B77"/>
    <w:rsid w:val="1EFBEFF6"/>
    <w:rsid w:val="1F69491A"/>
    <w:rsid w:val="212C3E51"/>
    <w:rsid w:val="21517470"/>
    <w:rsid w:val="21891E0D"/>
    <w:rsid w:val="223631D9"/>
    <w:rsid w:val="225A5718"/>
    <w:rsid w:val="22682C67"/>
    <w:rsid w:val="2492400C"/>
    <w:rsid w:val="249266C1"/>
    <w:rsid w:val="24B959FC"/>
    <w:rsid w:val="25302162"/>
    <w:rsid w:val="25382DC5"/>
    <w:rsid w:val="253D711F"/>
    <w:rsid w:val="256516E0"/>
    <w:rsid w:val="266554D1"/>
    <w:rsid w:val="26695200"/>
    <w:rsid w:val="278A3680"/>
    <w:rsid w:val="27D8263D"/>
    <w:rsid w:val="28304227"/>
    <w:rsid w:val="28FE60D3"/>
    <w:rsid w:val="293E2974"/>
    <w:rsid w:val="29F25F7B"/>
    <w:rsid w:val="2A521C1D"/>
    <w:rsid w:val="2B0025D7"/>
    <w:rsid w:val="2BC74EA2"/>
    <w:rsid w:val="2C544C1B"/>
    <w:rsid w:val="2C697D08"/>
    <w:rsid w:val="2CCE2260"/>
    <w:rsid w:val="2CDF7FCA"/>
    <w:rsid w:val="2D3F1F71"/>
    <w:rsid w:val="2E56075F"/>
    <w:rsid w:val="2EA8720D"/>
    <w:rsid w:val="2EFBD120"/>
    <w:rsid w:val="2F6F7D2B"/>
    <w:rsid w:val="307D2FD7"/>
    <w:rsid w:val="310426F5"/>
    <w:rsid w:val="3168FCDF"/>
    <w:rsid w:val="3330157F"/>
    <w:rsid w:val="339D07EA"/>
    <w:rsid w:val="34671D89"/>
    <w:rsid w:val="358636D8"/>
    <w:rsid w:val="359758E5"/>
    <w:rsid w:val="36B479A0"/>
    <w:rsid w:val="37386C54"/>
    <w:rsid w:val="37A442EA"/>
    <w:rsid w:val="37C52BDE"/>
    <w:rsid w:val="37DE77FC"/>
    <w:rsid w:val="37FF7772"/>
    <w:rsid w:val="381369CA"/>
    <w:rsid w:val="38B93DC5"/>
    <w:rsid w:val="39CD7B28"/>
    <w:rsid w:val="39E3559D"/>
    <w:rsid w:val="3A8A5A19"/>
    <w:rsid w:val="3BA76535"/>
    <w:rsid w:val="3C4D4F50"/>
    <w:rsid w:val="3C6504EB"/>
    <w:rsid w:val="3C7626F9"/>
    <w:rsid w:val="3D0715A3"/>
    <w:rsid w:val="3D766728"/>
    <w:rsid w:val="3DBB4D38"/>
    <w:rsid w:val="3DE25992"/>
    <w:rsid w:val="3DFFD199"/>
    <w:rsid w:val="3E210442"/>
    <w:rsid w:val="3E377C66"/>
    <w:rsid w:val="3E554590"/>
    <w:rsid w:val="3E8804C1"/>
    <w:rsid w:val="3E990920"/>
    <w:rsid w:val="3EAA48DB"/>
    <w:rsid w:val="3EB27791"/>
    <w:rsid w:val="3F3B9246"/>
    <w:rsid w:val="3F7052E0"/>
    <w:rsid w:val="3FE8A86B"/>
    <w:rsid w:val="3FED3524"/>
    <w:rsid w:val="3FFE7E0D"/>
    <w:rsid w:val="415428DD"/>
    <w:rsid w:val="42402E61"/>
    <w:rsid w:val="42F02AD9"/>
    <w:rsid w:val="432F3601"/>
    <w:rsid w:val="44C47D79"/>
    <w:rsid w:val="457572C5"/>
    <w:rsid w:val="45B222C8"/>
    <w:rsid w:val="45F14B9E"/>
    <w:rsid w:val="45F75F2C"/>
    <w:rsid w:val="47BC11DC"/>
    <w:rsid w:val="482D3E87"/>
    <w:rsid w:val="4851401A"/>
    <w:rsid w:val="48873598"/>
    <w:rsid w:val="493B2278"/>
    <w:rsid w:val="4A0B01F8"/>
    <w:rsid w:val="4BAFE261"/>
    <w:rsid w:val="4BB02E05"/>
    <w:rsid w:val="4BFAF62B"/>
    <w:rsid w:val="4CA30BBC"/>
    <w:rsid w:val="4D5325E2"/>
    <w:rsid w:val="4D653AE1"/>
    <w:rsid w:val="4DBC3CE3"/>
    <w:rsid w:val="4E3F78E4"/>
    <w:rsid w:val="4EB1136E"/>
    <w:rsid w:val="4EEF208C"/>
    <w:rsid w:val="50371D47"/>
    <w:rsid w:val="51AE428B"/>
    <w:rsid w:val="51E01241"/>
    <w:rsid w:val="523E59A1"/>
    <w:rsid w:val="52C607E9"/>
    <w:rsid w:val="53AF6B6F"/>
    <w:rsid w:val="53BC2C8F"/>
    <w:rsid w:val="54280325"/>
    <w:rsid w:val="550B38B0"/>
    <w:rsid w:val="55766E6E"/>
    <w:rsid w:val="55A51501"/>
    <w:rsid w:val="55BDCC1C"/>
    <w:rsid w:val="55C951EF"/>
    <w:rsid w:val="562700AF"/>
    <w:rsid w:val="56D51151"/>
    <w:rsid w:val="56ED315F"/>
    <w:rsid w:val="5765719A"/>
    <w:rsid w:val="57CD4D3F"/>
    <w:rsid w:val="58317531"/>
    <w:rsid w:val="5BDB5C7C"/>
    <w:rsid w:val="5C5872CD"/>
    <w:rsid w:val="5DDB01B6"/>
    <w:rsid w:val="5DEF41AF"/>
    <w:rsid w:val="5EC2740F"/>
    <w:rsid w:val="5F0E76A2"/>
    <w:rsid w:val="607B17DC"/>
    <w:rsid w:val="60B6497E"/>
    <w:rsid w:val="62151D32"/>
    <w:rsid w:val="624D0F56"/>
    <w:rsid w:val="63A80195"/>
    <w:rsid w:val="64CA4AE0"/>
    <w:rsid w:val="651636FD"/>
    <w:rsid w:val="654523B9"/>
    <w:rsid w:val="654B2514"/>
    <w:rsid w:val="66636F9A"/>
    <w:rsid w:val="66DE4873"/>
    <w:rsid w:val="67065B78"/>
    <w:rsid w:val="69DA7573"/>
    <w:rsid w:val="6A4B66C3"/>
    <w:rsid w:val="6ABE7492"/>
    <w:rsid w:val="6B3727A3"/>
    <w:rsid w:val="6B99520C"/>
    <w:rsid w:val="6C111246"/>
    <w:rsid w:val="6C4909E0"/>
    <w:rsid w:val="6C7F31D6"/>
    <w:rsid w:val="6CDB1656"/>
    <w:rsid w:val="6CFA7F2C"/>
    <w:rsid w:val="6D7EC0C6"/>
    <w:rsid w:val="6E4B6C92"/>
    <w:rsid w:val="6E647D53"/>
    <w:rsid w:val="6F306A41"/>
    <w:rsid w:val="6F567754"/>
    <w:rsid w:val="704F7D4A"/>
    <w:rsid w:val="70787AE6"/>
    <w:rsid w:val="70C20EAF"/>
    <w:rsid w:val="70D2369A"/>
    <w:rsid w:val="71C07997"/>
    <w:rsid w:val="71FACBA3"/>
    <w:rsid w:val="724063E2"/>
    <w:rsid w:val="72BA43E6"/>
    <w:rsid w:val="738E22A1"/>
    <w:rsid w:val="739E71A7"/>
    <w:rsid w:val="747B1953"/>
    <w:rsid w:val="750E79AD"/>
    <w:rsid w:val="75824BD9"/>
    <w:rsid w:val="761F4A15"/>
    <w:rsid w:val="76465F91"/>
    <w:rsid w:val="764665BF"/>
    <w:rsid w:val="765A8CC4"/>
    <w:rsid w:val="76607052"/>
    <w:rsid w:val="76E67720"/>
    <w:rsid w:val="7A287E87"/>
    <w:rsid w:val="7C887303"/>
    <w:rsid w:val="7CC145C3"/>
    <w:rsid w:val="7D3F3684"/>
    <w:rsid w:val="7EF591D6"/>
    <w:rsid w:val="7FB16B71"/>
    <w:rsid w:val="B37F4D6D"/>
    <w:rsid w:val="BB7FDF47"/>
    <w:rsid w:val="DD658DFA"/>
    <w:rsid w:val="E32DAC7D"/>
    <w:rsid w:val="E43F3C24"/>
    <w:rsid w:val="EFFB1A74"/>
    <w:rsid w:val="F4EBEF67"/>
    <w:rsid w:val="F5BFFEE1"/>
    <w:rsid w:val="F7EF7FF8"/>
    <w:rsid w:val="FA77DEC4"/>
    <w:rsid w:val="FBB7CF6F"/>
    <w:rsid w:val="FBBF1057"/>
    <w:rsid w:val="FCFD762A"/>
    <w:rsid w:val="FEF86FBB"/>
    <w:rsid w:val="FFCD593F"/>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0"/>
    <w:qFormat/>
    <w:uiPriority w:val="0"/>
    <w:pPr>
      <w:keepNext/>
      <w:keepLines/>
      <w:spacing w:before="260" w:after="260" w:line="416" w:lineRule="auto"/>
      <w:outlineLvl w:val="2"/>
    </w:pPr>
    <w:rPr>
      <w:b/>
      <w:bCs/>
      <w:sz w:val="32"/>
      <w:szCs w:val="32"/>
    </w:rPr>
  </w:style>
  <w:style w:type="paragraph" w:styleId="7">
    <w:name w:val="heading 4"/>
    <w:basedOn w:val="1"/>
    <w:next w:val="1"/>
    <w:link w:val="41"/>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2"/>
    <w:qFormat/>
    <w:uiPriority w:val="9"/>
    <w:pPr>
      <w:spacing w:before="100" w:beforeAutospacing="1" w:after="100" w:afterAutospacing="1"/>
      <w:jc w:val="left"/>
      <w:outlineLvl w:val="4"/>
    </w:pPr>
    <w:rPr>
      <w:rFonts w:ascii="宋体" w:hAnsi="宋体"/>
      <w:b/>
      <w:kern w:val="0"/>
      <w:sz w:val="20"/>
      <w:szCs w:val="20"/>
    </w:rPr>
  </w:style>
  <w:style w:type="character" w:default="1" w:styleId="27">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45"/>
    <w:qFormat/>
    <w:uiPriority w:val="0"/>
    <w:pPr>
      <w:jc w:val="center"/>
    </w:pPr>
  </w:style>
  <w:style w:type="paragraph" w:styleId="5">
    <w:name w:val="Normal Indent"/>
    <w:basedOn w:val="1"/>
    <w:link w:val="39"/>
    <w:qFormat/>
    <w:uiPriority w:val="0"/>
    <w:pPr>
      <w:ind w:firstLine="420" w:firstLineChars="200"/>
    </w:pPr>
  </w:style>
  <w:style w:type="paragraph" w:styleId="9">
    <w:name w:val="annotation subject"/>
    <w:basedOn w:val="10"/>
    <w:next w:val="10"/>
    <w:link w:val="55"/>
    <w:qFormat/>
    <w:uiPriority w:val="0"/>
    <w:rPr>
      <w:b/>
      <w:bCs/>
    </w:rPr>
  </w:style>
  <w:style w:type="paragraph" w:styleId="10">
    <w:name w:val="annotation text"/>
    <w:basedOn w:val="1"/>
    <w:link w:val="43"/>
    <w:qFormat/>
    <w:uiPriority w:val="0"/>
    <w:pPr>
      <w:jc w:val="left"/>
    </w:p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Body Text 3"/>
    <w:basedOn w:val="1"/>
    <w:link w:val="44"/>
    <w:qFormat/>
    <w:uiPriority w:val="99"/>
    <w:pPr>
      <w:spacing w:after="120"/>
    </w:pPr>
    <w:rPr>
      <w:sz w:val="16"/>
      <w:szCs w:val="16"/>
    </w:rPr>
  </w:style>
  <w:style w:type="paragraph" w:styleId="13">
    <w:name w:val="Body Text Indent"/>
    <w:basedOn w:val="1"/>
    <w:link w:val="46"/>
    <w:qFormat/>
    <w:uiPriority w:val="0"/>
    <w:pPr>
      <w:ind w:firstLine="830" w:firstLineChars="352"/>
    </w:pPr>
    <w:rPr>
      <w:rFonts w:ascii="仿宋_GB2312" w:eastAsia="仿宋_GB2312"/>
      <w:kern w:val="0"/>
      <w:sz w:val="32"/>
      <w:szCs w:val="20"/>
    </w:rPr>
  </w:style>
  <w:style w:type="paragraph" w:styleId="14">
    <w:name w:val="toc 3"/>
    <w:basedOn w:val="1"/>
    <w:next w:val="1"/>
    <w:qFormat/>
    <w:uiPriority w:val="39"/>
    <w:pPr>
      <w:tabs>
        <w:tab w:val="right" w:leader="dot" w:pos="9476"/>
      </w:tabs>
      <w:spacing w:line="500" w:lineRule="exact"/>
    </w:pPr>
    <w:rPr>
      <w:rFonts w:eastAsia="仿宋_GB2312"/>
    </w:rPr>
  </w:style>
  <w:style w:type="paragraph" w:styleId="15">
    <w:name w:val="Plain Text"/>
    <w:basedOn w:val="1"/>
    <w:next w:val="7"/>
    <w:link w:val="47"/>
    <w:qFormat/>
    <w:uiPriority w:val="0"/>
    <w:rPr>
      <w:rFonts w:ascii="宋体" w:hAnsi="Courier New"/>
      <w:kern w:val="0"/>
      <w:sz w:val="20"/>
      <w:szCs w:val="21"/>
    </w:rPr>
  </w:style>
  <w:style w:type="paragraph" w:styleId="16">
    <w:name w:val="Date"/>
    <w:basedOn w:val="1"/>
    <w:next w:val="1"/>
    <w:link w:val="48"/>
    <w:qFormat/>
    <w:uiPriority w:val="0"/>
    <w:pPr>
      <w:ind w:left="100" w:leftChars="2500"/>
    </w:pPr>
  </w:style>
  <w:style w:type="paragraph" w:styleId="17">
    <w:name w:val="Body Text Indent 2"/>
    <w:basedOn w:val="1"/>
    <w:link w:val="49"/>
    <w:qFormat/>
    <w:uiPriority w:val="0"/>
    <w:pPr>
      <w:spacing w:after="120" w:line="480" w:lineRule="auto"/>
      <w:ind w:left="420" w:leftChars="200"/>
    </w:pPr>
  </w:style>
  <w:style w:type="paragraph" w:styleId="18">
    <w:name w:val="Balloon Text"/>
    <w:basedOn w:val="1"/>
    <w:link w:val="50"/>
    <w:qFormat/>
    <w:uiPriority w:val="99"/>
    <w:rPr>
      <w:sz w:val="18"/>
      <w:szCs w:val="18"/>
    </w:rPr>
  </w:style>
  <w:style w:type="paragraph" w:styleId="19">
    <w:name w:val="footer"/>
    <w:basedOn w:val="1"/>
    <w:link w:val="51"/>
    <w:qFormat/>
    <w:uiPriority w:val="0"/>
    <w:pPr>
      <w:tabs>
        <w:tab w:val="center" w:pos="4153"/>
        <w:tab w:val="right" w:pos="8306"/>
      </w:tabs>
      <w:snapToGrid w:val="0"/>
      <w:jc w:val="left"/>
    </w:pPr>
    <w:rPr>
      <w:kern w:val="0"/>
      <w:sz w:val="18"/>
      <w:szCs w:val="18"/>
    </w:rPr>
  </w:style>
  <w:style w:type="paragraph" w:styleId="20">
    <w:name w:val="header"/>
    <w:basedOn w:val="1"/>
    <w:link w:val="52"/>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style>
  <w:style w:type="paragraph" w:styleId="22">
    <w:name w:val="List"/>
    <w:basedOn w:val="1"/>
    <w:qFormat/>
    <w:uiPriority w:val="0"/>
    <w:pPr>
      <w:ind w:left="200" w:hanging="200" w:hangingChars="200"/>
    </w:pPr>
    <w:rPr>
      <w:sz w:val="28"/>
    </w:rPr>
  </w:style>
  <w:style w:type="paragraph" w:styleId="23">
    <w:name w:val="Body Text Indent 3"/>
    <w:basedOn w:val="1"/>
    <w:link w:val="53"/>
    <w:qFormat/>
    <w:uiPriority w:val="99"/>
    <w:pPr>
      <w:spacing w:after="120"/>
      <w:ind w:left="420" w:leftChars="200"/>
    </w:pPr>
    <w:rPr>
      <w:sz w:val="16"/>
      <w:szCs w:val="16"/>
    </w:rPr>
  </w:style>
  <w:style w:type="paragraph" w:styleId="24">
    <w:name w:val="Body Text 2"/>
    <w:basedOn w:val="1"/>
    <w:qFormat/>
    <w:uiPriority w:val="99"/>
    <w:pPr>
      <w:spacing w:after="120" w:line="480" w:lineRule="auto"/>
    </w:pPr>
    <w:rPr>
      <w:kern w:val="0"/>
      <w:sz w:val="20"/>
      <w:szCs w:val="20"/>
    </w:rPr>
  </w:style>
  <w:style w:type="paragraph" w:styleId="25">
    <w:name w:val="HTML Preformatted"/>
    <w:basedOn w:val="1"/>
    <w:link w:val="5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6">
    <w:name w:val="Normal (Web)"/>
    <w:basedOn w:val="1"/>
    <w:qFormat/>
    <w:uiPriority w:val="99"/>
    <w:pPr>
      <w:widowControl/>
      <w:spacing w:before="100" w:beforeAutospacing="1" w:after="100" w:afterAutospacing="1"/>
      <w:jc w:val="left"/>
    </w:pPr>
    <w:rPr>
      <w:rFonts w:hint="eastAsia" w:ascii="宋体" w:hAnsi="宋体"/>
      <w:kern w:val="0"/>
      <w:sz w:val="24"/>
    </w:rPr>
  </w:style>
  <w:style w:type="character" w:styleId="28">
    <w:name w:val="Strong"/>
    <w:qFormat/>
    <w:uiPriority w:val="22"/>
    <w:rPr>
      <w:b/>
      <w:bCs/>
    </w:rPr>
  </w:style>
  <w:style w:type="character" w:styleId="29">
    <w:name w:val="page number"/>
    <w:qFormat/>
    <w:uiPriority w:val="0"/>
  </w:style>
  <w:style w:type="character" w:styleId="30">
    <w:name w:val="FollowedHyperlink"/>
    <w:qFormat/>
    <w:uiPriority w:val="0"/>
    <w:rPr>
      <w:color w:val="800080"/>
      <w:u w:val="single"/>
    </w:rPr>
  </w:style>
  <w:style w:type="character" w:styleId="31">
    <w:name w:val="Hyperlink"/>
    <w:qFormat/>
    <w:uiPriority w:val="0"/>
    <w:rPr>
      <w:color w:val="0000FF"/>
      <w:u w:val="single"/>
    </w:rPr>
  </w:style>
  <w:style w:type="character" w:styleId="32">
    <w:name w:val="annotation reference"/>
    <w:qFormat/>
    <w:uiPriority w:val="0"/>
    <w:rPr>
      <w:sz w:val="21"/>
      <w:szCs w:val="21"/>
    </w:rPr>
  </w:style>
  <w:style w:type="character" w:styleId="33">
    <w:name w:val="HTML Cite"/>
    <w:qFormat/>
    <w:uiPriority w:val="0"/>
  </w:style>
  <w:style w:type="table" w:styleId="35">
    <w:name w:val="Table Grid"/>
    <w:basedOn w:val="3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36">
    <w:name w:val="表格文字"/>
    <w:basedOn w:val="1"/>
    <w:qFormat/>
    <w:uiPriority w:val="0"/>
    <w:pPr>
      <w:spacing w:before="25" w:after="25"/>
      <w:jc w:val="left"/>
    </w:pPr>
    <w:rPr>
      <w:bCs/>
      <w:spacing w:val="10"/>
      <w:kern w:val="0"/>
      <w:sz w:val="24"/>
    </w:rPr>
  </w:style>
  <w:style w:type="character" w:customStyle="1" w:styleId="37">
    <w:name w:val="标题 1 字符"/>
    <w:link w:val="3"/>
    <w:qFormat/>
    <w:uiPriority w:val="0"/>
    <w:rPr>
      <w:b/>
      <w:bCs/>
      <w:kern w:val="44"/>
      <w:sz w:val="44"/>
      <w:szCs w:val="44"/>
    </w:rPr>
  </w:style>
  <w:style w:type="character" w:customStyle="1" w:styleId="38">
    <w:name w:val="标题 2 字符"/>
    <w:link w:val="4"/>
    <w:qFormat/>
    <w:uiPriority w:val="0"/>
    <w:rPr>
      <w:rFonts w:ascii="Arial" w:hAnsi="Arial" w:eastAsia="黑体"/>
      <w:b/>
      <w:bCs/>
      <w:kern w:val="2"/>
      <w:sz w:val="32"/>
      <w:szCs w:val="32"/>
    </w:rPr>
  </w:style>
  <w:style w:type="character" w:customStyle="1" w:styleId="39">
    <w:name w:val="正文缩进 字符"/>
    <w:link w:val="5"/>
    <w:qFormat/>
    <w:uiPriority w:val="0"/>
    <w:rPr>
      <w:kern w:val="2"/>
      <w:sz w:val="21"/>
      <w:szCs w:val="24"/>
    </w:rPr>
  </w:style>
  <w:style w:type="character" w:customStyle="1" w:styleId="40">
    <w:name w:val="标题 3 字符"/>
    <w:link w:val="6"/>
    <w:qFormat/>
    <w:uiPriority w:val="0"/>
    <w:rPr>
      <w:b/>
      <w:bCs/>
      <w:kern w:val="2"/>
      <w:sz w:val="32"/>
      <w:szCs w:val="32"/>
    </w:rPr>
  </w:style>
  <w:style w:type="character" w:customStyle="1" w:styleId="41">
    <w:name w:val="标题 4 字符"/>
    <w:link w:val="7"/>
    <w:qFormat/>
    <w:uiPriority w:val="9"/>
    <w:rPr>
      <w:rFonts w:ascii="宋体" w:hAnsi="宋体"/>
      <w:b/>
      <w:sz w:val="24"/>
      <w:szCs w:val="24"/>
    </w:rPr>
  </w:style>
  <w:style w:type="character" w:customStyle="1" w:styleId="42">
    <w:name w:val="标题 5 字符"/>
    <w:link w:val="8"/>
    <w:qFormat/>
    <w:uiPriority w:val="9"/>
    <w:rPr>
      <w:rFonts w:ascii="宋体" w:hAnsi="宋体" w:cs="宋体"/>
      <w:b/>
    </w:rPr>
  </w:style>
  <w:style w:type="character" w:customStyle="1" w:styleId="43">
    <w:name w:val="批注文字 字符"/>
    <w:link w:val="10"/>
    <w:qFormat/>
    <w:uiPriority w:val="0"/>
    <w:rPr>
      <w:rFonts w:ascii="Times New Roman" w:hAnsi="Times New Roman"/>
      <w:kern w:val="2"/>
      <w:sz w:val="21"/>
      <w:szCs w:val="24"/>
    </w:rPr>
  </w:style>
  <w:style w:type="character" w:customStyle="1" w:styleId="44">
    <w:name w:val="正文文本 3 字符"/>
    <w:link w:val="12"/>
    <w:qFormat/>
    <w:uiPriority w:val="99"/>
    <w:rPr>
      <w:kern w:val="2"/>
      <w:sz w:val="16"/>
      <w:szCs w:val="16"/>
    </w:rPr>
  </w:style>
  <w:style w:type="character" w:customStyle="1" w:styleId="45">
    <w:name w:val="正文文本 字符"/>
    <w:link w:val="2"/>
    <w:qFormat/>
    <w:uiPriority w:val="0"/>
    <w:rPr>
      <w:kern w:val="2"/>
      <w:sz w:val="21"/>
      <w:szCs w:val="24"/>
    </w:rPr>
  </w:style>
  <w:style w:type="character" w:customStyle="1" w:styleId="46">
    <w:name w:val="正文文本缩进 字符1"/>
    <w:link w:val="13"/>
    <w:qFormat/>
    <w:uiPriority w:val="0"/>
    <w:rPr>
      <w:rFonts w:ascii="仿宋_GB2312" w:hAnsi="Times New Roman" w:eastAsia="仿宋_GB2312" w:cs="Times New Roman"/>
      <w:sz w:val="32"/>
      <w:szCs w:val="20"/>
    </w:rPr>
  </w:style>
  <w:style w:type="character" w:customStyle="1" w:styleId="47">
    <w:name w:val="纯文本 字符1"/>
    <w:link w:val="15"/>
    <w:qFormat/>
    <w:uiPriority w:val="0"/>
    <w:rPr>
      <w:rFonts w:ascii="宋体" w:hAnsi="Courier New" w:eastAsia="宋体" w:cs="Courier New"/>
      <w:szCs w:val="21"/>
    </w:rPr>
  </w:style>
  <w:style w:type="character" w:customStyle="1" w:styleId="48">
    <w:name w:val="日期 字符"/>
    <w:link w:val="16"/>
    <w:qFormat/>
    <w:uiPriority w:val="0"/>
    <w:rPr>
      <w:kern w:val="2"/>
      <w:sz w:val="21"/>
      <w:szCs w:val="24"/>
    </w:rPr>
  </w:style>
  <w:style w:type="character" w:customStyle="1" w:styleId="49">
    <w:name w:val="正文文本缩进 2 字符"/>
    <w:link w:val="17"/>
    <w:qFormat/>
    <w:uiPriority w:val="0"/>
    <w:rPr>
      <w:kern w:val="2"/>
      <w:sz w:val="21"/>
      <w:szCs w:val="24"/>
    </w:rPr>
  </w:style>
  <w:style w:type="character" w:customStyle="1" w:styleId="50">
    <w:name w:val="批注框文本 字符"/>
    <w:link w:val="18"/>
    <w:qFormat/>
    <w:uiPriority w:val="99"/>
    <w:rPr>
      <w:kern w:val="2"/>
      <w:sz w:val="18"/>
      <w:szCs w:val="18"/>
    </w:rPr>
  </w:style>
  <w:style w:type="character" w:customStyle="1" w:styleId="51">
    <w:name w:val="页脚 字符1"/>
    <w:link w:val="19"/>
    <w:qFormat/>
    <w:uiPriority w:val="0"/>
    <w:rPr>
      <w:sz w:val="18"/>
      <w:szCs w:val="18"/>
    </w:rPr>
  </w:style>
  <w:style w:type="character" w:customStyle="1" w:styleId="52">
    <w:name w:val="页眉 字符1"/>
    <w:link w:val="20"/>
    <w:qFormat/>
    <w:uiPriority w:val="0"/>
    <w:rPr>
      <w:sz w:val="18"/>
      <w:szCs w:val="18"/>
    </w:rPr>
  </w:style>
  <w:style w:type="character" w:customStyle="1" w:styleId="53">
    <w:name w:val="正文文本缩进 3 字符"/>
    <w:link w:val="23"/>
    <w:qFormat/>
    <w:uiPriority w:val="99"/>
    <w:rPr>
      <w:kern w:val="2"/>
      <w:sz w:val="16"/>
      <w:szCs w:val="16"/>
    </w:rPr>
  </w:style>
  <w:style w:type="character" w:customStyle="1" w:styleId="54">
    <w:name w:val="HTML 预设格式 字符"/>
    <w:link w:val="25"/>
    <w:qFormat/>
    <w:uiPriority w:val="99"/>
    <w:rPr>
      <w:rFonts w:ascii="宋体" w:hAnsi="宋体" w:cs="宋体"/>
      <w:sz w:val="24"/>
      <w:szCs w:val="24"/>
    </w:rPr>
  </w:style>
  <w:style w:type="character" w:customStyle="1" w:styleId="55">
    <w:name w:val="批注主题 字符"/>
    <w:link w:val="9"/>
    <w:qFormat/>
    <w:uiPriority w:val="0"/>
    <w:rPr>
      <w:rFonts w:ascii="Times New Roman" w:hAnsi="Times New Roman"/>
      <w:b/>
      <w:bCs/>
      <w:kern w:val="2"/>
      <w:sz w:val="21"/>
      <w:szCs w:val="24"/>
    </w:rPr>
  </w:style>
  <w:style w:type="character" w:customStyle="1" w:styleId="56">
    <w:name w:val="页脚 字符"/>
    <w:qFormat/>
    <w:uiPriority w:val="99"/>
    <w:rPr>
      <w:rFonts w:ascii="Times New Roman" w:hAnsi="Times New Roman" w:eastAsia="宋体" w:cs="Times New Roman"/>
      <w:sz w:val="18"/>
      <w:szCs w:val="18"/>
    </w:rPr>
  </w:style>
  <w:style w:type="character" w:customStyle="1" w:styleId="57">
    <w:name w:val="font91"/>
    <w:qFormat/>
    <w:uiPriority w:val="0"/>
    <w:rPr>
      <w:rFonts w:hint="default" w:ascii="仿宋_GB2312" w:eastAsia="仿宋_GB2312" w:cs="仿宋_GB2312"/>
      <w:color w:val="000000"/>
      <w:sz w:val="22"/>
      <w:szCs w:val="22"/>
      <w:u w:val="none"/>
    </w:rPr>
  </w:style>
  <w:style w:type="character" w:customStyle="1" w:styleId="58">
    <w:name w:val="普通文字 Char Char3"/>
    <w:qFormat/>
    <w:uiPriority w:val="0"/>
    <w:rPr>
      <w:rFonts w:ascii="宋体" w:hAnsi="Courier New" w:eastAsia="宋体"/>
      <w:kern w:val="2"/>
      <w:sz w:val="21"/>
      <w:lang w:val="en-US" w:eastAsia="zh-CN" w:bidi="ar-SA"/>
    </w:rPr>
  </w:style>
  <w:style w:type="character" w:customStyle="1" w:styleId="59">
    <w:name w:val="纯文本 字符"/>
    <w:qFormat/>
    <w:uiPriority w:val="0"/>
    <w:rPr>
      <w:rFonts w:ascii="宋体" w:hAnsi="Courier New" w:eastAsia="宋体" w:cs="Courier New"/>
      <w:szCs w:val="21"/>
    </w:rPr>
  </w:style>
  <w:style w:type="character" w:customStyle="1" w:styleId="60">
    <w:name w:val="标题 3 Char"/>
    <w:qFormat/>
    <w:uiPriority w:val="0"/>
    <w:rPr>
      <w:rFonts w:eastAsia="宋体"/>
      <w:b/>
      <w:bCs/>
      <w:kern w:val="2"/>
      <w:sz w:val="32"/>
      <w:szCs w:val="32"/>
      <w:lang w:val="en-US" w:eastAsia="zh-CN" w:bidi="ar-SA"/>
    </w:rPr>
  </w:style>
  <w:style w:type="character" w:customStyle="1" w:styleId="61">
    <w:name w:val="正文文本1"/>
    <w:qFormat/>
    <w:uiPriority w:val="0"/>
    <w:rPr>
      <w:rFonts w:ascii="MingLiU" w:hAnsi="MingLiU" w:eastAsia="MingLiU" w:cs="MingLiU"/>
      <w:color w:val="000000"/>
      <w:spacing w:val="0"/>
      <w:w w:val="100"/>
      <w:position w:val="0"/>
      <w:sz w:val="22"/>
      <w:szCs w:val="22"/>
      <w:u w:val="none"/>
      <w:lang w:val="zh-TW"/>
    </w:rPr>
  </w:style>
  <w:style w:type="character" w:customStyle="1" w:styleId="62">
    <w:name w:val="页眉 字符"/>
    <w:qFormat/>
    <w:uiPriority w:val="0"/>
    <w:rPr>
      <w:rFonts w:ascii="Times New Roman" w:hAnsi="Times New Roman" w:eastAsia="宋体" w:cs="Times New Roman"/>
      <w:sz w:val="18"/>
      <w:szCs w:val="18"/>
    </w:rPr>
  </w:style>
  <w:style w:type="character" w:customStyle="1" w:styleId="63">
    <w:name w:val="font01"/>
    <w:qFormat/>
    <w:uiPriority w:val="0"/>
    <w:rPr>
      <w:rFonts w:hint="eastAsia" w:ascii="宋体" w:hAnsi="宋体" w:eastAsia="宋体" w:cs="宋体"/>
      <w:b/>
      <w:color w:val="000000"/>
      <w:sz w:val="20"/>
      <w:szCs w:val="20"/>
      <w:u w:val="none"/>
    </w:rPr>
  </w:style>
  <w:style w:type="character" w:customStyle="1" w:styleId="64">
    <w:name w:val="Char Char3"/>
    <w:qFormat/>
    <w:uiPriority w:val="0"/>
    <w:rPr>
      <w:rFonts w:ascii="宋体" w:hAnsi="Courier New" w:eastAsia="宋体"/>
      <w:b/>
      <w:kern w:val="2"/>
      <w:sz w:val="21"/>
      <w:lang w:val="en-US" w:eastAsia="zh-CN"/>
    </w:rPr>
  </w:style>
  <w:style w:type="character" w:customStyle="1" w:styleId="65">
    <w:name w:val="font71"/>
    <w:qFormat/>
    <w:uiPriority w:val="0"/>
    <w:rPr>
      <w:rFonts w:hint="default" w:ascii="Arial" w:hAnsi="Arial" w:cs="Arial"/>
      <w:color w:val="000000"/>
      <w:sz w:val="22"/>
      <w:szCs w:val="22"/>
      <w:u w:val="none"/>
    </w:rPr>
  </w:style>
  <w:style w:type="character" w:customStyle="1" w:styleId="66">
    <w:name w:val="font11"/>
    <w:qFormat/>
    <w:uiPriority w:val="0"/>
    <w:rPr>
      <w:rFonts w:hint="eastAsia" w:ascii="宋体" w:hAnsi="宋体" w:eastAsia="宋体" w:cs="宋体"/>
      <w:color w:val="000000"/>
      <w:sz w:val="20"/>
      <w:szCs w:val="20"/>
      <w:u w:val="none"/>
    </w:rPr>
  </w:style>
  <w:style w:type="character" w:customStyle="1" w:styleId="67">
    <w:name w:val="纯文本 Char1"/>
    <w:qFormat/>
    <w:uiPriority w:val="0"/>
    <w:rPr>
      <w:rFonts w:ascii="宋体" w:hAnsi="Courier New" w:eastAsia="宋体" w:cs="Courier New"/>
      <w:szCs w:val="21"/>
    </w:rPr>
  </w:style>
  <w:style w:type="character" w:customStyle="1" w:styleId="68">
    <w:name w:val="正文文本缩进 字符"/>
    <w:qFormat/>
    <w:uiPriority w:val="0"/>
    <w:rPr>
      <w:rFonts w:ascii="仿宋_GB2312" w:hAnsi="Times New Roman" w:eastAsia="仿宋_GB2312" w:cs="Times New Roman"/>
      <w:sz w:val="32"/>
      <w:szCs w:val="20"/>
    </w:rPr>
  </w:style>
  <w:style w:type="character" w:customStyle="1" w:styleId="69">
    <w:name w:val="font121"/>
    <w:qFormat/>
    <w:uiPriority w:val="0"/>
    <w:rPr>
      <w:rFonts w:hint="eastAsia" w:ascii="宋体" w:hAnsi="宋体" w:eastAsia="宋体" w:cs="宋体"/>
      <w:b/>
      <w:bCs/>
      <w:color w:val="000000"/>
      <w:sz w:val="20"/>
      <w:szCs w:val="20"/>
      <w:u w:val="none"/>
    </w:rPr>
  </w:style>
  <w:style w:type="character" w:customStyle="1" w:styleId="70">
    <w:name w:val="纯文本 Char"/>
    <w:qFormat/>
    <w:uiPriority w:val="0"/>
    <w:rPr>
      <w:rFonts w:ascii="宋体" w:hAnsi="Courier New" w:eastAsia="宋体"/>
      <w:szCs w:val="21"/>
      <w:lang w:bidi="ar-SA"/>
    </w:rPr>
  </w:style>
  <w:style w:type="character" w:customStyle="1" w:styleId="71">
    <w:name w:val="apple-converted-space"/>
    <w:qFormat/>
    <w:uiPriority w:val="0"/>
  </w:style>
  <w:style w:type="paragraph" w:customStyle="1" w:styleId="72">
    <w:name w:val="_Style 5"/>
    <w:basedOn w:val="1"/>
    <w:qFormat/>
    <w:uiPriority w:val="34"/>
    <w:pPr>
      <w:ind w:firstLine="420" w:firstLineChars="200"/>
    </w:pPr>
  </w:style>
  <w:style w:type="paragraph" w:customStyle="1" w:styleId="73">
    <w:name w:val="表格字体"/>
    <w:basedOn w:val="1"/>
    <w:qFormat/>
    <w:uiPriority w:val="0"/>
    <w:rPr>
      <w:sz w:val="18"/>
      <w:szCs w:val="18"/>
    </w:rPr>
  </w:style>
  <w:style w:type="paragraph" w:customStyle="1" w:styleId="74">
    <w:name w:val="彩色列表 - 强调文字颜色 11"/>
    <w:basedOn w:val="1"/>
    <w:qFormat/>
    <w:uiPriority w:val="0"/>
    <w:pPr>
      <w:ind w:firstLine="420" w:firstLineChars="200"/>
    </w:pPr>
    <w:rPr>
      <w:rFonts w:ascii="Calibri" w:hAnsi="Calibri"/>
      <w:szCs w:val="22"/>
    </w:rPr>
  </w:style>
  <w:style w:type="paragraph" w:customStyle="1" w:styleId="75">
    <w:name w:val="p0"/>
    <w:basedOn w:val="1"/>
    <w:qFormat/>
    <w:uiPriority w:val="0"/>
    <w:pPr>
      <w:widowControl/>
    </w:pPr>
    <w:rPr>
      <w:kern w:val="0"/>
      <w:szCs w:val="21"/>
    </w:rPr>
  </w:style>
  <w:style w:type="paragraph" w:customStyle="1" w:styleId="76">
    <w:name w:val="_Style 1"/>
    <w:basedOn w:val="1"/>
    <w:qFormat/>
    <w:uiPriority w:val="34"/>
    <w:pPr>
      <w:spacing w:line="560" w:lineRule="exact"/>
      <w:ind w:firstLine="420" w:firstLineChars="200"/>
    </w:pPr>
    <w:rPr>
      <w:szCs w:val="21"/>
    </w:rPr>
  </w:style>
  <w:style w:type="paragraph" w:customStyle="1" w:styleId="77">
    <w:name w:val="默认段落字体 Para Char Char Char Char Char Char Char Char Char1 Char Char Char Char Char Char Char"/>
    <w:basedOn w:val="1"/>
    <w:qFormat/>
    <w:uiPriority w:val="0"/>
    <w:rPr>
      <w:b/>
      <w:bCs/>
      <w:sz w:val="36"/>
      <w:szCs w:val="32"/>
    </w:rPr>
  </w:style>
  <w:style w:type="paragraph" w:customStyle="1" w:styleId="78">
    <w:name w:val="1"/>
    <w:basedOn w:val="1"/>
    <w:next w:val="15"/>
    <w:qFormat/>
    <w:uiPriority w:val="0"/>
    <w:rPr>
      <w:rFonts w:ascii="宋体" w:hAnsi="Courier New"/>
      <w:szCs w:val="20"/>
    </w:rPr>
  </w:style>
  <w:style w:type="paragraph" w:customStyle="1" w:styleId="79">
    <w:name w:val="Table Paragraph"/>
    <w:basedOn w:val="1"/>
    <w:qFormat/>
    <w:uiPriority w:val="1"/>
    <w:rPr>
      <w:rFonts w:ascii="宋体" w:hAnsi="宋体" w:cs="宋体"/>
      <w:lang w:val="zh-CN" w:bidi="zh-CN"/>
    </w:rPr>
  </w:style>
  <w:style w:type="paragraph" w:customStyle="1" w:styleId="80">
    <w:name w:val="Char Char"/>
    <w:basedOn w:val="1"/>
    <w:qFormat/>
    <w:uiPriority w:val="0"/>
    <w:rPr>
      <w:rFonts w:ascii="仿宋_GB2312" w:eastAsia="仿宋_GB2312"/>
      <w:b/>
      <w:sz w:val="32"/>
      <w:szCs w:val="32"/>
    </w:rPr>
  </w:style>
  <w:style w:type="paragraph" w:customStyle="1" w:styleId="81">
    <w:name w:val="Char"/>
    <w:basedOn w:val="1"/>
    <w:qFormat/>
    <w:uiPriority w:val="0"/>
  </w:style>
  <w:style w:type="paragraph" w:customStyle="1" w:styleId="82">
    <w:name w:val="Char1"/>
    <w:basedOn w:val="1"/>
    <w:qFormat/>
    <w:uiPriority w:val="0"/>
    <w:rPr>
      <w:rFonts w:ascii="仿宋_GB2312" w:eastAsia="仿宋_GB2312"/>
      <w:b/>
      <w:sz w:val="32"/>
      <w:szCs w:val="32"/>
    </w:rPr>
  </w:style>
  <w:style w:type="paragraph" w:customStyle="1" w:styleId="83">
    <w:name w:val="Char1 Char Char Char Char Char"/>
    <w:basedOn w:val="1"/>
    <w:qFormat/>
    <w:uiPriority w:val="0"/>
    <w:rPr>
      <w:rFonts w:eastAsia="Times New Roman"/>
      <w:b/>
      <w:bCs/>
      <w:kern w:val="0"/>
      <w:sz w:val="36"/>
      <w:szCs w:val="32"/>
    </w:rPr>
  </w:style>
  <w:style w:type="paragraph" w:customStyle="1" w:styleId="84">
    <w:name w:val="Char1 Char Char Char"/>
    <w:basedOn w:val="1"/>
    <w:qFormat/>
    <w:uiPriority w:val="0"/>
    <w:rPr>
      <w:rFonts w:ascii="Tahoma" w:hAnsi="Tahoma"/>
      <w:sz w:val="24"/>
      <w:szCs w:val="20"/>
    </w:rPr>
  </w:style>
  <w:style w:type="paragraph" w:customStyle="1" w:styleId="85">
    <w:name w:val="修订1"/>
    <w:qFormat/>
    <w:uiPriority w:val="99"/>
    <w:rPr>
      <w:rFonts w:ascii="Times New Roman" w:hAnsi="Times New Roman" w:eastAsia="宋体" w:cs="Times New Roman"/>
      <w:kern w:val="2"/>
      <w:sz w:val="21"/>
      <w:szCs w:val="24"/>
      <w:lang w:val="en-US" w:eastAsia="zh-CN" w:bidi="ar-SA"/>
    </w:rPr>
  </w:style>
  <w:style w:type="paragraph" w:customStyle="1" w:styleId="86">
    <w:name w:val="List Paragraph_5c905af4-ca67-41ba-9cfd-e418a4550956"/>
    <w:basedOn w:val="1"/>
    <w:qFormat/>
    <w:uiPriority w:val="0"/>
    <w:pPr>
      <w:ind w:firstLine="420" w:firstLineChars="200"/>
    </w:pPr>
  </w:style>
  <w:style w:type="paragraph" w:customStyle="1" w:styleId="87">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88">
    <w:name w:val="列表段落1"/>
    <w:basedOn w:val="1"/>
    <w:qFormat/>
    <w:uiPriority w:val="34"/>
    <w:pPr>
      <w:ind w:firstLine="420" w:firstLineChars="200"/>
    </w:pPr>
    <w:rPr>
      <w:szCs w:val="20"/>
    </w:rPr>
  </w:style>
  <w:style w:type="paragraph" w:customStyle="1" w:styleId="89">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90">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91">
    <w:name w:val="列出段落1"/>
    <w:qFormat/>
    <w:uiPriority w:val="0"/>
    <w:pPr>
      <w:ind w:firstLine="200" w:firstLineChars="200"/>
    </w:pPr>
    <w:rPr>
      <w:rFonts w:ascii="Times New Roman" w:hAnsi="Times New Roman" w:eastAsia="宋体" w:cs="Times New Roman"/>
      <w:szCs w:val="22"/>
      <w:lang w:val="en-US" w:eastAsia="zh-CN" w:bidi="ar-SA"/>
    </w:rPr>
  </w:style>
  <w:style w:type="paragraph" w:customStyle="1" w:styleId="92">
    <w:name w:val="修订3"/>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3488</Words>
  <Characters>19882</Characters>
  <Lines>165</Lines>
  <Paragraphs>46</Paragraphs>
  <TotalTime>0</TotalTime>
  <ScaleCrop>false</ScaleCrop>
  <LinksUpToDate>false</LinksUpToDate>
  <CharactersWithSpaces>23324</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2022-05-13T23:40:00Z</dcterms:created>
  <dc:creator>唐冰</dc:creator>
  <cp:lastModifiedBy>韦宝</cp:lastModifiedBy>
  <cp:lastPrinted>2019-04-17T16:11:00Z</cp:lastPrinted>
  <dcterms:modified xsi:type="dcterms:W3CDTF">2022-12-27T02:26:25Z</dcterms:modified>
  <dc:title>竞争性谈判文件规范</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y fmtid="{D5CDD505-2E9C-101B-9397-08002B2CF9AE}" pid="3" name="KSOSaveFontToCloudKey">
    <vt:lpwstr>0_embed</vt:lpwstr>
  </property>
  <property fmtid="{D5CDD505-2E9C-101B-9397-08002B2CF9AE}" pid="4" name="ICV">
    <vt:lpwstr>29BA13B18484470CB27839D1FB84BA9F</vt:lpwstr>
  </property>
</Properties>
</file>