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2023年广西壮族自治区政务公开第三方评估项目采购需求</w:t>
      </w:r>
    </w:p>
    <w:p>
      <w:pPr>
        <w:pStyle w:val="2"/>
        <w:rPr>
          <w:rFonts w:hint="eastAsia" w:ascii="方正小标宋_GBK" w:hAnsi="方正小标宋_GBK" w:eastAsia="方正小标宋_GBK" w:cs="方正小标宋_GBK"/>
          <w:color w:val="000000"/>
          <w:sz w:val="44"/>
          <w:szCs w:val="44"/>
          <w:lang w:eastAsia="zh-CN"/>
        </w:rPr>
      </w:pPr>
    </w:p>
    <w:tbl>
      <w:tblPr>
        <w:tblStyle w:val="8"/>
        <w:tblW w:w="9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5"/>
        <w:gridCol w:w="340"/>
        <w:gridCol w:w="816"/>
        <w:gridCol w:w="644"/>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rPr>
            </w:pPr>
            <w:r>
              <w:rPr>
                <w:rFonts w:hint="eastAsia" w:ascii="宋体" w:hAnsi="宋体"/>
              </w:rPr>
              <w:t>项号</w:t>
            </w: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rPr>
            </w:pPr>
            <w:r>
              <w:rPr>
                <w:rFonts w:hint="eastAsia" w:ascii="宋体" w:hAnsi="宋体"/>
              </w:rPr>
              <w:t>服务名称</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rPr>
            </w:pPr>
            <w:r>
              <w:rPr>
                <w:rFonts w:hint="eastAsia" w:ascii="宋体" w:hAnsi="宋体"/>
              </w:rPr>
              <w:t>数量</w:t>
            </w:r>
          </w:p>
        </w:tc>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rPr>
            </w:pPr>
            <w:r>
              <w:rPr>
                <w:rFonts w:hint="eastAsia" w:ascii="宋体" w:hAnsi="宋体"/>
              </w:rPr>
              <w:t>单位</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rPr>
            </w:pPr>
            <w:r>
              <w:rPr>
                <w:rFonts w:hint="eastAsia" w:hAnsi="宋体"/>
              </w:rPr>
              <w:t>服务项目要求</w:t>
            </w:r>
            <w:r>
              <w:rPr>
                <w:rFonts w:hAnsi="宋体"/>
              </w:rPr>
              <w:t>(</w:t>
            </w:r>
            <w:r>
              <w:rPr>
                <w:rFonts w:hint="eastAsia" w:hAnsi="宋体"/>
              </w:rPr>
              <w:t>或技术参数需求</w:t>
            </w:r>
            <w:r>
              <w:rPr>
                <w:rFonts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rPr>
            </w:pPr>
            <w:r>
              <w:rPr>
                <w:rFonts w:hint="eastAsia" w:ascii="宋体" w:hAnsi="宋体"/>
              </w:rPr>
              <w:t>1</w:t>
            </w: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default" w:ascii="宋体" w:hAnsi="宋体" w:eastAsia="仿宋_GB2312" w:cs="宋体"/>
                <w:lang w:val="en-US" w:eastAsia="zh-CN"/>
              </w:rPr>
            </w:pPr>
            <w:r>
              <w:rPr>
                <w:rFonts w:hint="eastAsia" w:ascii="宋体" w:hAnsi="宋体" w:cs="宋体"/>
              </w:rPr>
              <w:t>2023年广西壮族自治区政务公开第三方评估采购</w:t>
            </w:r>
            <w:r>
              <w:rPr>
                <w:rFonts w:hint="eastAsia" w:ascii="宋体" w:hAnsi="宋体" w:cs="宋体"/>
                <w:lang w:val="en-US" w:eastAsia="zh-CN"/>
              </w:rPr>
              <w:t>项目</w:t>
            </w:r>
          </w:p>
        </w:tc>
        <w:tc>
          <w:tcPr>
            <w:tcW w:w="81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宋体" w:hAnsi="宋体"/>
              </w:rPr>
            </w:pPr>
            <w:r>
              <w:rPr>
                <w:rFonts w:hint="eastAsia" w:ascii="宋体" w:hAnsi="宋体"/>
              </w:rPr>
              <w:t>1</w:t>
            </w:r>
          </w:p>
        </w:tc>
        <w:tc>
          <w:tcPr>
            <w:tcW w:w="644" w:type="dxa"/>
            <w:tcBorders>
              <w:top w:val="single" w:color="auto" w:sz="4" w:space="0"/>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ascii="宋体" w:hAnsi="宋体"/>
              </w:rPr>
            </w:pPr>
            <w:r>
              <w:rPr>
                <w:rFonts w:ascii="宋体" w:hAnsi="宋体"/>
              </w:rPr>
              <w:t>项</w:t>
            </w:r>
          </w:p>
        </w:tc>
        <w:tc>
          <w:tcPr>
            <w:tcW w:w="6120"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640" w:firstLineChars="200"/>
              <w:rPr>
                <w:rFonts w:hint="eastAsia" w:ascii="宋体" w:hAnsi="宋体"/>
              </w:rPr>
            </w:pPr>
            <w:r>
              <w:rPr>
                <w:rFonts w:hint="eastAsia" w:ascii="宋体" w:hAnsi="宋体"/>
                <w:lang w:val="en-US" w:eastAsia="zh-CN"/>
              </w:rPr>
              <w:t>一</w:t>
            </w:r>
            <w:r>
              <w:rPr>
                <w:rFonts w:hint="eastAsia" w:ascii="宋体" w:hAnsi="宋体"/>
              </w:rPr>
              <w:t>、评估依据</w:t>
            </w:r>
          </w:p>
          <w:p>
            <w:pPr>
              <w:spacing w:line="320" w:lineRule="exact"/>
              <w:ind w:firstLine="640" w:firstLineChars="200"/>
              <w:rPr>
                <w:rFonts w:hint="eastAsia" w:ascii="宋体" w:hAnsi="宋体"/>
              </w:rPr>
            </w:pPr>
            <w:r>
              <w:rPr>
                <w:rFonts w:hint="eastAsia" w:ascii="宋体" w:hAnsi="宋体"/>
              </w:rPr>
              <w:t>1．《中华人民共和国政府信息公开条例》；</w:t>
            </w:r>
          </w:p>
          <w:p>
            <w:pPr>
              <w:spacing w:line="320" w:lineRule="exact"/>
              <w:ind w:firstLine="640" w:firstLineChars="200"/>
              <w:rPr>
                <w:rFonts w:hint="eastAsia" w:ascii="宋体" w:hAnsi="宋体"/>
              </w:rPr>
            </w:pPr>
            <w:r>
              <w:rPr>
                <w:rFonts w:hint="eastAsia" w:ascii="宋体" w:hAnsi="宋体"/>
              </w:rPr>
              <w:t>2．《中共中央办公厅国务院办公厅印发〈关于全面推进政务公开工作的意见〉的通知》（中办发〔2016〕8号）；</w:t>
            </w:r>
          </w:p>
          <w:p>
            <w:pPr>
              <w:spacing w:line="320" w:lineRule="exact"/>
              <w:ind w:firstLine="640" w:firstLineChars="200"/>
              <w:rPr>
                <w:rFonts w:hint="eastAsia" w:ascii="宋体" w:hAnsi="宋体"/>
              </w:rPr>
            </w:pPr>
            <w:r>
              <w:rPr>
                <w:rFonts w:hint="eastAsia" w:ascii="宋体" w:hAnsi="宋体"/>
              </w:rPr>
              <w:t>3．《国务院办公厅印发〈关于全面推进政务公开工作的意见〉实施细则的通知》（国办发〔2016〕80号）；</w:t>
            </w:r>
          </w:p>
          <w:p>
            <w:pPr>
              <w:spacing w:line="320" w:lineRule="exact"/>
              <w:ind w:firstLine="640" w:firstLineChars="200"/>
              <w:rPr>
                <w:rFonts w:hint="eastAsia" w:ascii="宋体" w:hAnsi="宋体"/>
              </w:rPr>
            </w:pPr>
            <w:r>
              <w:rPr>
                <w:rFonts w:hint="eastAsia" w:ascii="宋体" w:hAnsi="宋体"/>
              </w:rPr>
              <w:t>4．《国务院办公厅关于全面推进基层政务公开标准化规范化工作的指导意见》（国办发〔2019〕54号）；</w:t>
            </w:r>
          </w:p>
          <w:p>
            <w:pPr>
              <w:spacing w:line="320" w:lineRule="exact"/>
              <w:ind w:firstLine="640" w:firstLineChars="200"/>
              <w:rPr>
                <w:rFonts w:hint="eastAsia" w:ascii="宋体" w:hAnsi="宋体"/>
              </w:rPr>
            </w:pPr>
            <w:r>
              <w:rPr>
                <w:rFonts w:hint="eastAsia" w:ascii="宋体" w:hAnsi="宋体"/>
              </w:rPr>
              <w:t>5．《自治区党委办公厅自治区人民政府办公厅印发〈关于全面推进政务公开实施意见〉的通知》（桂办发〔2016〕39号）；</w:t>
            </w:r>
          </w:p>
          <w:p>
            <w:pPr>
              <w:spacing w:line="320" w:lineRule="exact"/>
              <w:ind w:firstLine="640" w:firstLineChars="200"/>
              <w:rPr>
                <w:rFonts w:hint="eastAsia" w:ascii="宋体" w:hAnsi="宋体"/>
              </w:rPr>
            </w:pPr>
            <w:r>
              <w:rPr>
                <w:rFonts w:hint="eastAsia" w:ascii="宋体" w:hAnsi="宋体"/>
              </w:rPr>
              <w:t>6．《广西壮族自治区人民政府办公厅关于在政务公开工作中进一步做好政务舆情回应的通知》（桂政办发〔2016〕143号）；</w:t>
            </w:r>
          </w:p>
          <w:p>
            <w:pPr>
              <w:spacing w:line="320" w:lineRule="exact"/>
              <w:ind w:firstLine="640" w:firstLineChars="200"/>
              <w:rPr>
                <w:rFonts w:hint="eastAsia" w:ascii="宋体" w:hAnsi="宋体"/>
              </w:rPr>
            </w:pPr>
            <w:r>
              <w:rPr>
                <w:rFonts w:hint="eastAsia" w:ascii="宋体" w:hAnsi="宋体"/>
              </w:rPr>
              <w:t>7．《广西壮族自治区人民政府办公厅关于印发广西壮族自治区行政机关政策文件解读实施办法的通知》（桂政办发〔2017〕136号）；</w:t>
            </w:r>
          </w:p>
          <w:p>
            <w:pPr>
              <w:spacing w:line="320" w:lineRule="exact"/>
              <w:ind w:firstLine="640" w:firstLineChars="200"/>
              <w:rPr>
                <w:rFonts w:hint="eastAsia" w:ascii="宋体" w:hAnsi="宋体"/>
              </w:rPr>
            </w:pPr>
            <w:r>
              <w:rPr>
                <w:rFonts w:hint="eastAsia" w:ascii="宋体" w:hAnsi="宋体"/>
              </w:rPr>
              <w:t>8．《广西壮族自治区人民政府办公厅关于加强公共资源配置领域政府信息公开工作的通知》（桂政办发〔2018〕66号）</w:t>
            </w:r>
          </w:p>
          <w:p>
            <w:pPr>
              <w:spacing w:line="320" w:lineRule="exact"/>
              <w:ind w:firstLine="640" w:firstLineChars="200"/>
              <w:rPr>
                <w:rFonts w:hint="eastAsia" w:ascii="宋体" w:hAnsi="宋体"/>
              </w:rPr>
            </w:pPr>
            <w:r>
              <w:rPr>
                <w:rFonts w:hint="eastAsia" w:ascii="宋体" w:hAnsi="宋体"/>
              </w:rPr>
              <w:t>9．《广西壮族自治区人民政府办公厅关于切实做好社会公益事业建设领域政府信息公开工作的通知》（桂政办发〔2018〕92号）</w:t>
            </w:r>
          </w:p>
          <w:p>
            <w:pPr>
              <w:spacing w:line="320" w:lineRule="exact"/>
              <w:ind w:firstLine="640" w:firstLineChars="200"/>
              <w:rPr>
                <w:rFonts w:hint="eastAsia" w:ascii="宋体" w:hAnsi="宋体"/>
              </w:rPr>
            </w:pPr>
            <w:r>
              <w:rPr>
                <w:rFonts w:hint="eastAsia" w:ascii="宋体" w:hAnsi="宋体"/>
              </w:rPr>
              <w:t>10．《广西壮族自治区人民政府办公厅关于切实做好重大建设项目批准和实施领域政府信息公开工作的通知》（桂政办发〔2018〕141号）</w:t>
            </w:r>
          </w:p>
          <w:p>
            <w:pPr>
              <w:spacing w:line="320" w:lineRule="exact"/>
              <w:ind w:firstLine="640" w:firstLineChars="200"/>
              <w:rPr>
                <w:rFonts w:hint="eastAsia" w:ascii="宋体" w:hAnsi="宋体"/>
              </w:rPr>
            </w:pPr>
            <w:r>
              <w:rPr>
                <w:rFonts w:hint="eastAsia" w:ascii="宋体" w:hAnsi="宋体"/>
              </w:rPr>
              <w:t>11．《政府信息公开管理规范》DB45/T 1801-2018、国务院办公厅政府信息与政务公开办公室关于印《中华人民共和国政府信息公开工作年度报告格式》的通知（国办公开办函〔2021〕30号）、 国务院办公厅政府信息与政务公开办公厅室关于规范政府信息公开平台有关事项的通知《国办公开办函〔2019〕61号）。</w:t>
            </w:r>
          </w:p>
          <w:p>
            <w:pPr>
              <w:spacing w:line="320" w:lineRule="exact"/>
              <w:ind w:firstLine="640" w:firstLineChars="200"/>
              <w:rPr>
                <w:rFonts w:hint="eastAsia" w:ascii="宋体" w:hAnsi="宋体"/>
              </w:rPr>
            </w:pPr>
            <w:r>
              <w:rPr>
                <w:rFonts w:hint="eastAsia" w:ascii="宋体" w:hAnsi="宋体"/>
              </w:rPr>
              <w:t>12.国务院以及自治区2023年政务公开工作部署文件。</w:t>
            </w:r>
          </w:p>
          <w:p>
            <w:pPr>
              <w:spacing w:line="320" w:lineRule="exact"/>
              <w:ind w:firstLine="640" w:firstLineChars="200"/>
              <w:rPr>
                <w:rFonts w:hint="eastAsia" w:ascii="宋体" w:hAnsi="宋体"/>
              </w:rPr>
            </w:pPr>
            <w:r>
              <w:rPr>
                <w:rFonts w:hint="eastAsia" w:ascii="宋体" w:hAnsi="宋体"/>
                <w:lang w:val="en-US" w:eastAsia="zh-CN"/>
              </w:rPr>
              <w:t>二</w:t>
            </w:r>
            <w:r>
              <w:rPr>
                <w:rFonts w:hint="eastAsia" w:ascii="宋体" w:hAnsi="宋体"/>
              </w:rPr>
              <w:t>、评估对象</w:t>
            </w:r>
          </w:p>
          <w:p>
            <w:pPr>
              <w:spacing w:line="320" w:lineRule="exact"/>
              <w:ind w:firstLine="640" w:firstLineChars="200"/>
              <w:rPr>
                <w:rFonts w:hint="eastAsia" w:ascii="宋体" w:hAnsi="宋体"/>
              </w:rPr>
            </w:pPr>
            <w:r>
              <w:rPr>
                <w:rFonts w:hint="eastAsia" w:ascii="宋体" w:hAnsi="宋体"/>
              </w:rPr>
              <w:t>1．自治区有关部门：自治区人民政府办公厅、自治区发展改革委、自治区教育厅、自治区科技厅、自治区工业和信息化厅、自治区民宗委、自治区公安厅、自治区民政厅、自治区司法厅、自治区财政厅、自治区人力资源社会保障厅、自治区自然资源厅、自治区生态环境厅、自治区住房城乡建设厅、自治区交通运输厅、自治区水利厅、自治区农业农村厅、自治区商务厅、自治区文化和旅游厅、自治区卫生健康委、自治区退役军人厅、自治区应急厅、自治区审计厅、自治区外办、自治区国资委、自治区市场监管局、自治区广电局、自治区体育局、自治区统计局、自治区林业局、自治区地方金融监管局、自治区</w:t>
            </w:r>
            <w:r>
              <w:rPr>
                <w:rFonts w:hint="eastAsia" w:ascii="宋体" w:hAnsi="宋体"/>
                <w:lang w:val="en-US" w:eastAsia="zh-CN"/>
              </w:rPr>
              <w:t>国防动员</w:t>
            </w:r>
            <w:r>
              <w:rPr>
                <w:rFonts w:hint="eastAsia" w:ascii="宋体" w:hAnsi="宋体"/>
              </w:rPr>
              <w:t>办、自治区乡村振兴局、自治区北部湾办、自治区机关事务管理局、自治区大数据发展局、自治区医保局、自治区粮食和物资储备局、自治区海洋局、自治区中医药局、五象新区管委会、凭祥综合保税区、中马钦州综合保税区、东兴试验管委会、广西税务局（直属）、自治区地矿局、自治区供销社、自治区糖业办。</w:t>
            </w:r>
            <w:r>
              <w:rPr>
                <w:rFonts w:hint="eastAsia" w:ascii="宋体" w:hAnsi="宋体"/>
              </w:rPr>
              <w:tab/>
            </w:r>
          </w:p>
          <w:p>
            <w:pPr>
              <w:spacing w:line="320" w:lineRule="exact"/>
              <w:ind w:firstLine="640" w:firstLineChars="200"/>
              <w:rPr>
                <w:rFonts w:hint="eastAsia" w:ascii="宋体" w:hAnsi="宋体"/>
              </w:rPr>
            </w:pPr>
            <w:r>
              <w:rPr>
                <w:rFonts w:hint="eastAsia" w:ascii="宋体" w:hAnsi="宋体"/>
              </w:rPr>
              <w:t>2. 14个市人民政府：南宁市、柳州市、桂林市、梧州市、北海市、防城港市、钦州市、贵港市、玉林市、百色市、贺州市、河池市、来宾市、崇左市人民政府。</w:t>
            </w:r>
          </w:p>
          <w:p>
            <w:pPr>
              <w:spacing w:line="320" w:lineRule="exact"/>
              <w:ind w:firstLine="640" w:firstLineChars="200"/>
              <w:rPr>
                <w:rFonts w:hint="eastAsia" w:ascii="宋体" w:hAnsi="宋体"/>
              </w:rPr>
            </w:pPr>
            <w:r>
              <w:rPr>
                <w:rFonts w:hint="eastAsia" w:ascii="宋体" w:hAnsi="宋体"/>
              </w:rPr>
              <w:t>3.111个县（市、区）人民政府。</w:t>
            </w:r>
          </w:p>
          <w:p>
            <w:pPr>
              <w:spacing w:line="320" w:lineRule="exact"/>
              <w:ind w:firstLine="640" w:firstLineChars="200"/>
              <w:rPr>
                <w:rFonts w:hint="eastAsia" w:ascii="宋体" w:hAnsi="宋体"/>
              </w:rPr>
            </w:pPr>
            <w:r>
              <w:rPr>
                <w:rFonts w:hint="eastAsia" w:ascii="宋体" w:hAnsi="宋体"/>
                <w:lang w:val="en-US" w:eastAsia="zh-CN"/>
              </w:rPr>
              <w:t>三</w:t>
            </w:r>
            <w:r>
              <w:rPr>
                <w:rFonts w:hint="eastAsia" w:ascii="宋体" w:hAnsi="宋体"/>
              </w:rPr>
              <w:t>、评估方法</w:t>
            </w:r>
          </w:p>
          <w:p>
            <w:pPr>
              <w:spacing w:line="320" w:lineRule="exact"/>
              <w:ind w:firstLine="640" w:firstLineChars="200"/>
              <w:rPr>
                <w:rFonts w:hint="eastAsia" w:ascii="宋体" w:hAnsi="宋体"/>
              </w:rPr>
            </w:pPr>
            <w:r>
              <w:rPr>
                <w:rFonts w:hint="eastAsia" w:ascii="宋体" w:hAnsi="宋体"/>
              </w:rPr>
              <w:t>采取通过采集政府门户网站和部门网站信息、分析自报材料和实行依申请公开实际验证等方式开展政务公开评估。鼓励成交供应商采用其他创新的工作方法。</w:t>
            </w:r>
          </w:p>
          <w:p>
            <w:pPr>
              <w:spacing w:line="320" w:lineRule="exact"/>
              <w:ind w:firstLine="640" w:firstLineChars="200"/>
              <w:rPr>
                <w:rFonts w:hint="eastAsia" w:ascii="宋体" w:hAnsi="宋体"/>
              </w:rPr>
            </w:pPr>
            <w:r>
              <w:rPr>
                <w:rFonts w:hint="eastAsia" w:ascii="宋体" w:hAnsi="宋体"/>
                <w:lang w:val="en-US" w:eastAsia="zh-CN"/>
              </w:rPr>
              <w:t>四</w:t>
            </w:r>
            <w:r>
              <w:rPr>
                <w:rFonts w:hint="eastAsia" w:ascii="宋体" w:hAnsi="宋体"/>
              </w:rPr>
              <w:t>、评估内容和要求</w:t>
            </w:r>
          </w:p>
          <w:p>
            <w:pPr>
              <w:spacing w:line="320" w:lineRule="exact"/>
              <w:ind w:firstLine="640" w:firstLineChars="200"/>
              <w:rPr>
                <w:rFonts w:hint="eastAsia" w:ascii="宋体" w:hAnsi="宋体"/>
              </w:rPr>
            </w:pPr>
            <w:r>
              <w:rPr>
                <w:rFonts w:hint="eastAsia" w:ascii="宋体" w:hAnsi="宋体"/>
              </w:rPr>
              <w:t>1．半年度政务公开指数评估：考察14个设区市及111个县（市、区）、自治区有关部门的相关工作部署和阶段性进展情况。围绕主动公开、解读回应、依申请公开、平台建设（网站整体情况，政府信息公开专栏情况，以专栏为重点）、监督保障五个方面，重点考察法定主动公开内容、基层政务公开标准化规范化建设情况、重点领域信息公开、解读回应及政民互动、公开平台建设、依申请公开、服务公开、监督保障等内容。整体半年度政务公开指数评估参考国办抽样方法，采用循环等距抽样，覆盖各个县区。</w:t>
            </w:r>
          </w:p>
          <w:p>
            <w:pPr>
              <w:spacing w:line="320" w:lineRule="exact"/>
              <w:ind w:firstLine="640" w:firstLineChars="200"/>
              <w:rPr>
                <w:rFonts w:hint="eastAsia" w:ascii="宋体" w:hAnsi="宋体"/>
              </w:rPr>
            </w:pPr>
            <w:r>
              <w:rPr>
                <w:rFonts w:hint="eastAsia" w:ascii="宋体" w:hAnsi="宋体"/>
              </w:rPr>
              <w:t>2．年度政务公开第三方综合评估：在当年度政务公开工作要点指导下，对14个设区市、111个县（市、区）、自治区有关部门开展年度整体工作评价，围绕主动公开、解读回应、依申请公开、平台建设（网站整体情况，政府信息公开专栏情况，以专栏为重点）、监督保障五个方面，重点考察法定主动公开内容、基层政务公开标准化规范化建设情况、重点领域信息公开、解读回应及政民互动、公开平台建设、依申请公开、服务公开、监督保障等内容。</w:t>
            </w:r>
          </w:p>
          <w:p>
            <w:pPr>
              <w:spacing w:line="320" w:lineRule="exact"/>
              <w:ind w:firstLine="640" w:firstLineChars="200"/>
              <w:rPr>
                <w:rFonts w:hint="eastAsia" w:ascii="宋体" w:hAnsi="宋体"/>
              </w:rPr>
            </w:pPr>
            <w:r>
              <w:rPr>
                <w:rFonts w:hint="eastAsia" w:ascii="宋体" w:hAnsi="宋体"/>
              </w:rPr>
              <w:t>3.开展一轮广西壮族自治区人民政府门户网站自查工作。深入研究国办考核指标内容，排查当前工作问题，形成问题清单反馈并协助督促整改。</w:t>
            </w:r>
          </w:p>
          <w:p>
            <w:pPr>
              <w:spacing w:line="320" w:lineRule="exact"/>
              <w:ind w:firstLine="640" w:firstLineChars="200"/>
              <w:rPr>
                <w:rFonts w:hint="eastAsia" w:ascii="宋体" w:hAnsi="宋体"/>
              </w:rPr>
            </w:pPr>
            <w:r>
              <w:rPr>
                <w:rFonts w:hint="eastAsia" w:ascii="宋体" w:hAnsi="宋体"/>
              </w:rPr>
              <w:t>4. 安排2人驻场。安排两名政务公开专业工作人员（需参与过至少3个省级政务公开项目）提供全年共1个月驻场服务，协助政务公开与政策法规处完成临时工作。</w:t>
            </w:r>
          </w:p>
          <w:p>
            <w:pPr>
              <w:spacing w:line="320" w:lineRule="exact"/>
              <w:ind w:firstLine="640" w:firstLineChars="200"/>
              <w:rPr>
                <w:rFonts w:hint="eastAsia" w:ascii="宋体" w:hAnsi="宋体"/>
              </w:rPr>
            </w:pPr>
            <w:r>
              <w:rPr>
                <w:rFonts w:hint="eastAsia" w:ascii="宋体" w:hAnsi="宋体"/>
              </w:rPr>
              <w:t>5.收集提供全国各地政务公开工作的优秀经验做法案例。</w:t>
            </w:r>
          </w:p>
          <w:p>
            <w:pPr>
              <w:spacing w:line="320" w:lineRule="exact"/>
              <w:ind w:firstLine="640" w:firstLineChars="200"/>
              <w:rPr>
                <w:rFonts w:hint="eastAsia" w:ascii="宋体" w:hAnsi="宋体"/>
              </w:rPr>
            </w:pPr>
            <w:r>
              <w:rPr>
                <w:rFonts w:hint="eastAsia" w:ascii="宋体" w:hAnsi="宋体"/>
                <w:lang w:val="en-US" w:eastAsia="zh-CN"/>
              </w:rPr>
              <w:t>五</w:t>
            </w:r>
            <w:r>
              <w:rPr>
                <w:rFonts w:hint="eastAsia" w:ascii="宋体" w:hAnsi="宋体"/>
              </w:rPr>
              <w:t>、工作成果</w:t>
            </w:r>
          </w:p>
          <w:p>
            <w:pPr>
              <w:spacing w:line="320" w:lineRule="exact"/>
              <w:ind w:firstLine="640" w:firstLineChars="200"/>
              <w:rPr>
                <w:rFonts w:hint="eastAsia" w:ascii="宋体" w:hAnsi="宋体"/>
              </w:rPr>
            </w:pPr>
            <w:r>
              <w:rPr>
                <w:rFonts w:hint="eastAsia" w:ascii="宋体" w:hAnsi="宋体"/>
              </w:rPr>
              <w:t>1．制定政务公开评估实施方案。将评估具体执行方式、具体抽检内容安排细化形成实施方案。</w:t>
            </w:r>
          </w:p>
          <w:p>
            <w:pPr>
              <w:spacing w:line="320" w:lineRule="exact"/>
              <w:ind w:firstLine="640" w:firstLineChars="200"/>
              <w:rPr>
                <w:rFonts w:hint="eastAsia" w:ascii="宋体" w:hAnsi="宋体"/>
              </w:rPr>
            </w:pPr>
            <w:r>
              <w:rPr>
                <w:rFonts w:hint="eastAsia" w:ascii="宋体" w:hAnsi="宋体"/>
              </w:rPr>
              <w:t>2．各单位评估得分表。根据评估数据，测算全部单位政务公开评估得分，并排名。</w:t>
            </w:r>
          </w:p>
          <w:p>
            <w:pPr>
              <w:spacing w:line="320" w:lineRule="exact"/>
              <w:ind w:firstLine="640" w:firstLineChars="200"/>
              <w:rPr>
                <w:rFonts w:hint="eastAsia" w:ascii="宋体" w:hAnsi="宋体"/>
              </w:rPr>
            </w:pPr>
            <w:r>
              <w:rPr>
                <w:rFonts w:hint="eastAsia" w:ascii="宋体" w:hAnsi="宋体"/>
              </w:rPr>
              <w:t>3．形成问题清单。根据评估情况，汇总单位问题，在分析梳理的基础上，形成各被评价单位的问题书面清单。</w:t>
            </w:r>
          </w:p>
          <w:p>
            <w:pPr>
              <w:spacing w:line="320" w:lineRule="exact"/>
              <w:ind w:firstLine="640" w:firstLineChars="200"/>
              <w:rPr>
                <w:rFonts w:hint="eastAsia" w:ascii="宋体" w:hAnsi="宋体"/>
              </w:rPr>
            </w:pPr>
            <w:r>
              <w:rPr>
                <w:rFonts w:hint="eastAsia" w:ascii="宋体" w:hAnsi="宋体"/>
              </w:rPr>
              <w:t>4．形成两份评估总结报告。一是形成自治区2023年上半年政务公开工作阶段性评价报告。二是形成自治区2023年度政务公开工作总体评价报告。两份报告要深入分析评估数据及评估过程中收集的意见建议，分析要有深度、有广度、有数据支撑，提高评估报告撰写的质量。</w:t>
            </w:r>
          </w:p>
          <w:p>
            <w:pPr>
              <w:spacing w:line="320" w:lineRule="exact"/>
              <w:ind w:firstLine="640" w:firstLineChars="20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73"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rPr>
            </w:pPr>
            <w:r>
              <w:rPr>
                <w:rFonts w:hint="eastAsia" w:ascii="宋体" w:hAnsi="宋体"/>
              </w:rPr>
              <w:t>一、商务要求表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宋体" w:hAnsi="宋体"/>
              </w:rPr>
            </w:pPr>
            <w:r>
              <w:rPr>
                <w:rFonts w:hint="eastAsia" w:ascii="宋体" w:hAnsi="宋体"/>
              </w:rPr>
              <w:t>提交服务成果时间及服务地点：</w:t>
            </w:r>
          </w:p>
        </w:tc>
        <w:tc>
          <w:tcPr>
            <w:tcW w:w="792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640" w:firstLineChars="200"/>
              <w:rPr>
                <w:rFonts w:hint="eastAsia" w:ascii="宋体" w:hAnsi="宋体"/>
              </w:rPr>
            </w:pPr>
            <w:bookmarkStart w:id="0" w:name="_GoBack"/>
            <w:bookmarkEnd w:id="0"/>
            <w:r>
              <w:rPr>
                <w:rFonts w:hint="eastAsia" w:ascii="宋体" w:hAnsi="宋体"/>
                <w:lang w:val="en-US" w:eastAsia="zh-CN"/>
              </w:rPr>
              <w:t>1.</w:t>
            </w:r>
            <w:r>
              <w:rPr>
                <w:rFonts w:hint="eastAsia" w:ascii="宋体" w:hAnsi="宋体"/>
              </w:rPr>
              <w:t>服务期限：2023年3月31日-2024年3月31日前。其中评估和报告撰写等工作期限以采购人实际工作进度为准。</w:t>
            </w:r>
          </w:p>
          <w:p>
            <w:pPr>
              <w:pStyle w:val="4"/>
              <w:snapToGrid w:val="0"/>
              <w:spacing w:line="300" w:lineRule="exact"/>
              <w:ind w:left="105" w:hanging="160" w:hangingChars="50"/>
              <w:outlineLvl w:val="0"/>
              <w:rPr>
                <w:rFonts w:hAnsi="宋体"/>
              </w:rPr>
            </w:pPr>
            <w:r>
              <w:rPr>
                <w:rFonts w:hint="eastAsia" w:hAnsi="宋体"/>
                <w:lang w:val="en-US" w:eastAsia="zh-CN"/>
              </w:rPr>
              <w:t>2.</w:t>
            </w:r>
            <w:r>
              <w:rPr>
                <w:rFonts w:hint="eastAsia" w:ascii="宋体" w:hAnsi="宋体"/>
              </w:rPr>
              <w:t>服务地点：广西区内采购单位指定地点。。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宋体" w:hAnsi="宋体"/>
              </w:rPr>
            </w:pPr>
            <w:r>
              <w:rPr>
                <w:rFonts w:hint="eastAsia" w:ascii="宋体" w:hAnsi="宋体"/>
              </w:rPr>
              <w:t>付款条件</w:t>
            </w:r>
          </w:p>
        </w:tc>
        <w:tc>
          <w:tcPr>
            <w:tcW w:w="79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rPr>
              <w:t>签订合同后15日，甲方凭有效发票和请款函付50%的款项给乙方；乙方完成半年度指数评估初稿后，凭有效发票和请款函付47%的款项；乙方切实履行了2023年广西壮族自治区政务公开第三方评估全部采购需求，并经过采购方验收合格，无异议后甲方支付3%余款。</w:t>
            </w:r>
            <w:r>
              <w:rPr>
                <w:rFonts w:hint="eastAsia" w:ascii="宋体" w:hAnsi="宋体" w:eastAsia="宋体" w:cs="宋体"/>
                <w:lang w:val="en-US" w:eastAsia="zh-CN"/>
              </w:rPr>
              <w:t>每次付款前乙方应当向甲方提供请款函及合法有效的发票。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宋体" w:hAnsi="宋体"/>
              </w:rPr>
            </w:pPr>
            <w:r>
              <w:rPr>
                <w:rFonts w:hint="eastAsia" w:ascii="宋体" w:hAnsi="宋体"/>
              </w:rPr>
              <w:t>其他要求</w:t>
            </w:r>
          </w:p>
        </w:tc>
        <w:tc>
          <w:tcPr>
            <w:tcW w:w="792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rPr>
            </w:pPr>
            <w:r>
              <w:rPr>
                <w:rFonts w:hint="eastAsia" w:ascii="宋体" w:hAnsi="宋体"/>
              </w:rPr>
              <w:t>对各参评单位评估结果，进行答疑解惑，帮助各参评单位严格落实中央和自治区关于政务公开的工作部署和有关文件要求。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673"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rPr>
            </w:pPr>
            <w:r>
              <w:rPr>
                <w:rFonts w:hint="eastAsia" w:ascii="宋体" w:hAnsi="宋体"/>
              </w:rPr>
              <w:t>三、</w:t>
            </w:r>
            <w:r>
              <w:rPr>
                <w:rFonts w:hint="eastAsia" w:ascii="宋体" w:hAnsi="宋体"/>
                <w:lang w:eastAsia="zh-CN"/>
              </w:rPr>
              <w:t>评审</w:t>
            </w:r>
            <w:r>
              <w:rPr>
                <w:rFonts w:hint="eastAsia" w:ascii="宋体" w:hAnsi="宋体"/>
              </w:rPr>
              <w:t>小组根据与</w:t>
            </w:r>
            <w:r>
              <w:rPr>
                <w:rFonts w:hint="eastAsia" w:ascii="宋体" w:hAnsi="宋体"/>
                <w:lang w:eastAsia="zh-CN"/>
              </w:rPr>
              <w:t>供应商评审</w:t>
            </w:r>
            <w:r>
              <w:rPr>
                <w:rFonts w:hint="eastAsia" w:ascii="宋体" w:hAnsi="宋体"/>
              </w:rPr>
              <w:t>情况可能实质性变动的内容：付款条件。</w:t>
            </w:r>
          </w:p>
        </w:tc>
      </w:tr>
    </w:tbl>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rPr>
      </w:pPr>
    </w:p>
    <w:p>
      <w:pPr>
        <w:pStyle w:val="2"/>
        <w:rPr>
          <w:rFonts w:hint="eastAsia" w:ascii="Times New Roman" w:hAnsi="Times New Roman" w:eastAsia="方正仿宋_GBK" w:cs="方正仿宋_GBK"/>
          <w:color w:val="auto"/>
        </w:rPr>
      </w:pPr>
    </w:p>
    <w:p>
      <w:pPr>
        <w:pStyle w:val="2"/>
        <w:rPr>
          <w:rFonts w:hint="eastAsia" w:ascii="Times New Roman" w:hAnsi="Times New Roman" w:eastAsia="方正仿宋_GBK" w:cs="方正仿宋_GBK"/>
          <w:color w:val="auto"/>
        </w:rPr>
      </w:pPr>
    </w:p>
    <w:p>
      <w:pPr>
        <w:pStyle w:val="2"/>
        <w:rPr>
          <w:rFonts w:hint="eastAsia" w:ascii="Times New Roman" w:hAnsi="Times New Roman" w:eastAsia="方正仿宋_GBK" w:cs="方正仿宋_GBK"/>
          <w:color w:val="auto"/>
        </w:rPr>
      </w:pPr>
    </w:p>
    <w:p>
      <w:pPr>
        <w:keepNext w:val="0"/>
        <w:keepLines w:val="0"/>
        <w:pageBreakBefore w:val="0"/>
        <w:widowControl/>
        <w:kinsoku/>
        <w:wordWrap/>
        <w:overflowPunct/>
        <w:topLinePunct w:val="0"/>
        <w:autoSpaceDE/>
        <w:autoSpaceDN/>
        <w:bidi w:val="0"/>
        <w:spacing w:line="560" w:lineRule="exact"/>
        <w:ind w:left="0" w:leftChars="0"/>
        <w:rPr>
          <w:rFonts w:hint="eastAsia" w:eastAsia="方正仿宋_GBK" w:cs="方正仿宋_GBK"/>
          <w:color w:val="auto"/>
          <w:kern w:val="0"/>
          <w:sz w:val="32"/>
          <w:szCs w:val="32"/>
          <w:highlight w:val="none"/>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NjdlOTNlZjViNTBkMjM3MmE0MmJhMjZhNzZiODkifQ=="/>
  </w:docVars>
  <w:rsids>
    <w:rsidRoot w:val="005D7A84"/>
    <w:rsid w:val="00047EBA"/>
    <w:rsid w:val="001153C8"/>
    <w:rsid w:val="001E1BEB"/>
    <w:rsid w:val="0037089E"/>
    <w:rsid w:val="00386302"/>
    <w:rsid w:val="003D1DFE"/>
    <w:rsid w:val="004A653D"/>
    <w:rsid w:val="005154C9"/>
    <w:rsid w:val="00527653"/>
    <w:rsid w:val="005B3241"/>
    <w:rsid w:val="005B7899"/>
    <w:rsid w:val="005D7A84"/>
    <w:rsid w:val="005F2E76"/>
    <w:rsid w:val="005F77C3"/>
    <w:rsid w:val="00664AE7"/>
    <w:rsid w:val="00704F14"/>
    <w:rsid w:val="00792810"/>
    <w:rsid w:val="00980D88"/>
    <w:rsid w:val="00A34E70"/>
    <w:rsid w:val="00AE504D"/>
    <w:rsid w:val="00BB08A0"/>
    <w:rsid w:val="00C305FF"/>
    <w:rsid w:val="00C842F5"/>
    <w:rsid w:val="00CD037E"/>
    <w:rsid w:val="00E71F50"/>
    <w:rsid w:val="00EF2AB8"/>
    <w:rsid w:val="00FB2A6D"/>
    <w:rsid w:val="00FD305A"/>
    <w:rsid w:val="0849203C"/>
    <w:rsid w:val="0E0133A0"/>
    <w:rsid w:val="212F6075"/>
    <w:rsid w:val="22A52323"/>
    <w:rsid w:val="2FFF39C2"/>
    <w:rsid w:val="32C620FA"/>
    <w:rsid w:val="335FB8D4"/>
    <w:rsid w:val="3F4C7741"/>
    <w:rsid w:val="46334B38"/>
    <w:rsid w:val="4C74766A"/>
    <w:rsid w:val="4D5A3970"/>
    <w:rsid w:val="4DB21EB1"/>
    <w:rsid w:val="50AF1DC7"/>
    <w:rsid w:val="515F2198"/>
    <w:rsid w:val="533802B0"/>
    <w:rsid w:val="562B2BC5"/>
    <w:rsid w:val="5AFDE804"/>
    <w:rsid w:val="603B13E0"/>
    <w:rsid w:val="6173727D"/>
    <w:rsid w:val="657E06C9"/>
    <w:rsid w:val="67F9E67C"/>
    <w:rsid w:val="68F71D0E"/>
    <w:rsid w:val="6F78F265"/>
    <w:rsid w:val="6F9F6CA7"/>
    <w:rsid w:val="6FF354DE"/>
    <w:rsid w:val="706B5CC1"/>
    <w:rsid w:val="79BFFAA0"/>
    <w:rsid w:val="7E6FC4E3"/>
    <w:rsid w:val="7EFBB885"/>
    <w:rsid w:val="A7FED374"/>
    <w:rsid w:val="D9FD83AD"/>
    <w:rsid w:val="EC33CC91"/>
    <w:rsid w:val="FBDA2250"/>
    <w:rsid w:val="FF376C1C"/>
    <w:rsid w:val="FFED26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szCs w:val="2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character" w:styleId="10">
    <w:name w:val="page number"/>
    <w:qFormat/>
    <w:uiPriority w:val="0"/>
    <w:rPr>
      <w:rFonts w:cs="Times New Roman"/>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Body text|3"/>
    <w:basedOn w:val="1"/>
    <w:qFormat/>
    <w:uiPriority w:val="0"/>
    <w:pPr>
      <w:spacing w:after="460"/>
      <w:jc w:val="center"/>
    </w:pPr>
    <w:rPr>
      <w:rFonts w:ascii="宋体" w:hAnsi="宋体" w:eastAsia="Times New Roman"/>
      <w:kern w:val="0"/>
      <w:sz w:val="34"/>
      <w:szCs w:val="34"/>
    </w:rPr>
  </w:style>
  <w:style w:type="paragraph" w:customStyle="1" w:styleId="14">
    <w:name w:val="Body text|1"/>
    <w:basedOn w:val="1"/>
    <w:qFormat/>
    <w:uiPriority w:val="0"/>
    <w:pPr>
      <w:spacing w:line="352" w:lineRule="auto"/>
      <w:ind w:firstLine="400"/>
      <w:jc w:val="left"/>
    </w:pPr>
    <w:rPr>
      <w:rFonts w:ascii="宋体" w:hAnsi="宋体" w:eastAsia="Times New Roman"/>
      <w:kern w:val="0"/>
      <w:sz w:val="30"/>
      <w:szCs w:val="30"/>
    </w:rPr>
  </w:style>
  <w:style w:type="paragraph" w:customStyle="1" w:styleId="15">
    <w:name w:val="p16"/>
    <w:basedOn w:val="1"/>
    <w:qFormat/>
    <w:uiPriority w:val="0"/>
    <w:pPr>
      <w:widowControl/>
    </w:pPr>
    <w:rPr>
      <w:rFonts w:ascii="宋体" w:hAnsi="宋体" w:cs="宋体"/>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12</Pages>
  <Words>4117</Words>
  <Characters>4262</Characters>
  <Lines>12</Lines>
  <Paragraphs>3</Paragraphs>
  <TotalTime>4</TotalTime>
  <ScaleCrop>false</ScaleCrop>
  <LinksUpToDate>false</LinksUpToDate>
  <CharactersWithSpaces>5135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2021-05-08T02:31:00Z</dcterms:created>
  <dc:creator>DELL</dc:creator>
  <cp:lastModifiedBy>ฅ'ω'ฅ</cp:lastModifiedBy>
  <cp:lastPrinted>2022-03-16T11:50:00Z</cp:lastPrinted>
  <dcterms:modified xsi:type="dcterms:W3CDTF">2023-02-28T02:32:24Z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9CC521A80C8C43019F55470893914DD3</vt:lpwstr>
  </property>
</Properties>
</file>