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outlineLvl w:val="0"/>
        <w:rPr>
          <w:rFonts w:eastAsia="仿宋"/>
          <w:sz w:val="72"/>
          <w:szCs w:val="72"/>
          <w:highlight w:val="none"/>
        </w:rPr>
      </w:pPr>
      <w:r>
        <w:rPr>
          <w:rFonts w:hint="eastAsia" w:eastAsia="仿宋"/>
          <w:sz w:val="72"/>
          <w:szCs w:val="72"/>
          <w:highlight w:val="none"/>
        </w:rPr>
        <w:t>项目</w:t>
      </w:r>
      <w:r>
        <w:rPr>
          <w:rFonts w:eastAsia="仿宋"/>
          <w:sz w:val="72"/>
          <w:szCs w:val="72"/>
          <w:highlight w:val="none"/>
        </w:rPr>
        <w:t>采购文件</w:t>
      </w:r>
    </w:p>
    <w:p>
      <w:pPr>
        <w:snapToGrid w:val="0"/>
        <w:spacing w:before="156" w:beforeLines="50" w:line="360" w:lineRule="auto"/>
        <w:rPr>
          <w:rFonts w:eastAsia="仿宋"/>
          <w:sz w:val="30"/>
          <w:szCs w:val="72"/>
          <w:highlight w:val="none"/>
        </w:rPr>
      </w:pPr>
    </w:p>
    <w:p>
      <w:pPr>
        <w:pStyle w:val="15"/>
        <w:snapToGrid w:val="0"/>
        <w:spacing w:before="120" w:after="120" w:line="360" w:lineRule="auto"/>
        <w:jc w:val="center"/>
        <w:rPr>
          <w:rFonts w:ascii="Times New Roman" w:hAnsi="Times New Roman" w:eastAsia="仿宋"/>
          <w:b/>
          <w:bCs/>
          <w:sz w:val="30"/>
          <w:szCs w:val="30"/>
          <w:highlight w:val="none"/>
        </w:rPr>
      </w:pPr>
      <w:r>
        <w:rPr>
          <w:rFonts w:ascii="Times New Roman" w:hAnsi="Times New Roman" w:eastAsia="仿宋"/>
          <w:b/>
          <w:bCs/>
          <w:sz w:val="30"/>
          <w:szCs w:val="30"/>
          <w:highlight w:val="none"/>
        </w:rPr>
        <w:t xml:space="preserve">       </w:t>
      </w:r>
    </w:p>
    <w:p>
      <w:pPr>
        <w:pStyle w:val="15"/>
        <w:snapToGrid w:val="0"/>
        <w:spacing w:before="120" w:after="120" w:line="360" w:lineRule="auto"/>
        <w:jc w:val="center"/>
        <w:rPr>
          <w:rFonts w:ascii="Times New Roman" w:hAnsi="Times New Roman" w:eastAsia="仿宋"/>
          <w:b/>
          <w:bCs/>
          <w:sz w:val="30"/>
          <w:szCs w:val="30"/>
          <w:highlight w:val="none"/>
        </w:rPr>
      </w:pPr>
    </w:p>
    <w:p>
      <w:pPr>
        <w:overflowPunct w:val="0"/>
        <w:autoSpaceDE w:val="0"/>
        <w:autoSpaceDN w:val="0"/>
        <w:spacing w:line="560" w:lineRule="exact"/>
        <w:jc w:val="center"/>
        <w:rPr>
          <w:rFonts w:eastAsia="仿宋"/>
          <w:b/>
          <w:sz w:val="30"/>
          <w:szCs w:val="72"/>
          <w:highlight w:val="none"/>
        </w:rPr>
      </w:pPr>
      <w:r>
        <w:rPr>
          <w:rFonts w:eastAsia="仿宋"/>
          <w:b/>
          <w:sz w:val="30"/>
          <w:szCs w:val="72"/>
          <w:highlight w:val="none"/>
        </w:rPr>
        <w:t>项目名称：</w:t>
      </w:r>
      <w:r>
        <w:rPr>
          <w:rFonts w:hint="eastAsia" w:eastAsia="仿宋"/>
          <w:b/>
          <w:sz w:val="30"/>
          <w:szCs w:val="72"/>
          <w:highlight w:val="none"/>
        </w:rPr>
        <w:t>广西自治区级公共安全视频监控建设联网应用项目</w:t>
      </w:r>
    </w:p>
    <w:p>
      <w:pPr>
        <w:overflowPunct w:val="0"/>
        <w:autoSpaceDE w:val="0"/>
        <w:autoSpaceDN w:val="0"/>
        <w:spacing w:line="560" w:lineRule="exact"/>
        <w:jc w:val="center"/>
        <w:rPr>
          <w:rFonts w:eastAsia="仿宋"/>
          <w:b/>
          <w:color w:val="000000" w:themeColor="text1"/>
          <w:sz w:val="30"/>
          <w:szCs w:val="72"/>
          <w:highlight w:val="none"/>
          <w:lang w:val="en"/>
          <w14:textFill>
            <w14:solidFill>
              <w14:schemeClr w14:val="tx1"/>
            </w14:solidFill>
          </w14:textFill>
        </w:rPr>
      </w:pPr>
      <w:r>
        <w:rPr>
          <w:rFonts w:hint="eastAsia" w:eastAsia="仿宋"/>
          <w:b/>
          <w:sz w:val="30"/>
          <w:szCs w:val="72"/>
          <w:highlight w:val="none"/>
        </w:rPr>
        <w:t>第一批变更设备采购</w:t>
      </w:r>
    </w:p>
    <w:p>
      <w:pPr>
        <w:pStyle w:val="15"/>
        <w:snapToGrid w:val="0"/>
        <w:spacing w:before="120" w:after="120" w:line="360" w:lineRule="auto"/>
        <w:ind w:firstLine="1656" w:firstLineChars="550"/>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jc w:val="center"/>
        <w:outlineLvl w:val="0"/>
        <w:rPr>
          <w:rFonts w:ascii="Times New Roman" w:hAnsi="Times New Roman" w:eastAsia="仿宋"/>
          <w:b/>
          <w:sz w:val="30"/>
          <w:szCs w:val="72"/>
          <w:highlight w:val="none"/>
        </w:rPr>
      </w:pPr>
      <w:r>
        <w:rPr>
          <w:rFonts w:ascii="Times New Roman" w:hAnsi="Times New Roman" w:eastAsia="仿宋"/>
          <w:b/>
          <w:sz w:val="30"/>
          <w:szCs w:val="72"/>
          <w:highlight w:val="none"/>
        </w:rPr>
        <w:t>采购单位：广西壮族自治区信息中心</w:t>
      </w:r>
    </w:p>
    <w:p>
      <w:pPr>
        <w:spacing w:before="1092" w:beforeLines="350" w:after="468" w:afterLines="150" w:line="240" w:lineRule="atLeast"/>
        <w:jc w:val="center"/>
        <w:outlineLvl w:val="0"/>
        <w:rPr>
          <w:rFonts w:eastAsia="仿宋"/>
          <w:b/>
          <w:bCs/>
          <w:w w:val="95"/>
          <w:sz w:val="30"/>
          <w:szCs w:val="30"/>
          <w:highlight w:val="none"/>
        </w:rPr>
        <w:sectPr>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r>
        <w:rPr>
          <w:rFonts w:eastAsia="仿宋"/>
          <w:b/>
          <w:bCs/>
          <w:w w:val="95"/>
          <w:sz w:val="30"/>
          <w:szCs w:val="30"/>
          <w:highlight w:val="none"/>
        </w:rPr>
        <w:t>202</w:t>
      </w:r>
      <w:r>
        <w:rPr>
          <w:rFonts w:hint="eastAsia" w:eastAsia="仿宋"/>
          <w:b/>
          <w:bCs/>
          <w:w w:val="95"/>
          <w:sz w:val="30"/>
          <w:szCs w:val="30"/>
          <w:highlight w:val="none"/>
        </w:rPr>
        <w:t>3</w:t>
      </w:r>
      <w:r>
        <w:rPr>
          <w:rFonts w:eastAsia="仿宋"/>
          <w:b/>
          <w:bCs/>
          <w:w w:val="95"/>
          <w:sz w:val="30"/>
          <w:szCs w:val="30"/>
          <w:highlight w:val="none"/>
        </w:rPr>
        <w:t>年</w:t>
      </w:r>
      <w:r>
        <w:rPr>
          <w:rFonts w:hint="eastAsia" w:eastAsia="仿宋"/>
          <w:b/>
          <w:bCs/>
          <w:w w:val="95"/>
          <w:sz w:val="30"/>
          <w:szCs w:val="30"/>
          <w:highlight w:val="none"/>
        </w:rPr>
        <w:t>3</w:t>
      </w:r>
      <w:r>
        <w:rPr>
          <w:rFonts w:eastAsia="仿宋"/>
          <w:b/>
          <w:bCs/>
          <w:w w:val="95"/>
          <w:sz w:val="30"/>
          <w:szCs w:val="30"/>
          <w:highlight w:val="none"/>
        </w:rPr>
        <w:t>月</w:t>
      </w:r>
    </w:p>
    <w:p>
      <w:pPr>
        <w:spacing w:before="1092" w:beforeLines="350" w:after="468" w:afterLines="150" w:line="240" w:lineRule="atLeast"/>
        <w:jc w:val="center"/>
        <w:outlineLvl w:val="0"/>
        <w:rPr>
          <w:rFonts w:ascii="宋体" w:hAnsi="宋体"/>
          <w:b/>
          <w:sz w:val="44"/>
          <w:szCs w:val="44"/>
          <w:highlight w:val="none"/>
        </w:rPr>
      </w:pPr>
      <w:r>
        <w:rPr>
          <w:rFonts w:hint="eastAsia" w:ascii="宋体" w:hAnsi="宋体"/>
          <w:b/>
          <w:sz w:val="44"/>
          <w:szCs w:val="44"/>
          <w:highlight w:val="none"/>
        </w:rPr>
        <w:t>目   录</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采购公告…………………………………………………………3</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供应商须知及前附表……………………………………………4</w:t>
      </w:r>
    </w:p>
    <w:p>
      <w:pPr>
        <w:numPr>
          <w:ilvl w:val="0"/>
          <w:numId w:val="1"/>
        </w:numPr>
        <w:spacing w:line="800" w:lineRule="exact"/>
        <w:ind w:left="1077" w:hanging="717"/>
        <w:jc w:val="left"/>
        <w:outlineLvl w:val="0"/>
        <w:rPr>
          <w:rFonts w:ascii="宋体" w:hAnsi="宋体"/>
          <w:b/>
          <w:sz w:val="28"/>
          <w:szCs w:val="32"/>
          <w:highlight w:val="none"/>
        </w:rPr>
      </w:pPr>
      <w:r>
        <w:rPr>
          <w:rFonts w:hint="eastAsia" w:hAnsi="宋体"/>
          <w:b/>
          <w:sz w:val="28"/>
          <w:szCs w:val="32"/>
          <w:highlight w:val="none"/>
        </w:rPr>
        <w:t>服务需求及说明</w:t>
      </w:r>
      <w:r>
        <w:rPr>
          <w:rFonts w:hint="eastAsia" w:ascii="宋体" w:hAnsi="宋体"/>
          <w:b/>
          <w:sz w:val="28"/>
          <w:szCs w:val="32"/>
          <w:highlight w:val="none"/>
        </w:rPr>
        <w:t>…………………………………………………12</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评审办法及成交标准……………………………………………</w:t>
      </w:r>
      <w:r>
        <w:rPr>
          <w:rFonts w:hint="eastAsia" w:ascii="宋体" w:hAnsi="宋体"/>
          <w:b/>
          <w:sz w:val="28"/>
          <w:szCs w:val="32"/>
          <w:highlight w:val="none"/>
          <w:lang w:val="en-US" w:eastAsia="zh-CN"/>
        </w:rPr>
        <w:t>17</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响应文件格式……………………………………………………2</w:t>
      </w:r>
      <w:r>
        <w:rPr>
          <w:rFonts w:hint="eastAsia" w:ascii="宋体" w:hAnsi="宋体"/>
          <w:b/>
          <w:sz w:val="28"/>
          <w:szCs w:val="32"/>
          <w:highlight w:val="none"/>
          <w:lang w:val="en-US" w:eastAsia="zh-CN"/>
        </w:rPr>
        <w:t>0</w:t>
      </w:r>
    </w:p>
    <w:p>
      <w:pPr>
        <w:spacing w:line="400" w:lineRule="exact"/>
        <w:jc w:val="left"/>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rPr>
          <w:rFonts w:ascii="宋体" w:hAnsi="宋体"/>
          <w:b/>
          <w:sz w:val="32"/>
          <w:szCs w:val="32"/>
          <w:highlight w:val="none"/>
        </w:rPr>
      </w:pPr>
    </w:p>
    <w:p>
      <w:pPr>
        <w:numPr>
          <w:ilvl w:val="0"/>
          <w:numId w:val="2"/>
        </w:numPr>
        <w:spacing w:line="500" w:lineRule="exact"/>
        <w:jc w:val="center"/>
        <w:rPr>
          <w:rFonts w:ascii="宋体" w:hAnsi="宋体"/>
          <w:b/>
          <w:sz w:val="28"/>
          <w:szCs w:val="28"/>
          <w:highlight w:val="none"/>
        </w:rPr>
        <w:sectPr>
          <w:footerReference r:id="rId6" w:type="first"/>
          <w:footerReference r:id="rId5" w:type="default"/>
          <w:pgSz w:w="11906" w:h="16838"/>
          <w:pgMar w:top="1304" w:right="1247" w:bottom="1304" w:left="1247" w:header="794" w:footer="992" w:gutter="0"/>
          <w:cols w:space="720" w:num="1"/>
          <w:docGrid w:type="lines" w:linePitch="312" w:charSpace="0"/>
        </w:sectPr>
      </w:pPr>
    </w:p>
    <w:p>
      <w:pPr>
        <w:numPr>
          <w:ilvl w:val="0"/>
          <w:numId w:val="2"/>
        </w:numPr>
        <w:spacing w:line="500" w:lineRule="exact"/>
        <w:jc w:val="center"/>
        <w:outlineLvl w:val="0"/>
        <w:rPr>
          <w:rFonts w:ascii="宋体" w:hAnsi="宋体"/>
          <w:b/>
          <w:sz w:val="28"/>
          <w:szCs w:val="28"/>
          <w:highlight w:val="none"/>
        </w:rPr>
      </w:pPr>
      <w:r>
        <w:rPr>
          <w:rFonts w:hint="eastAsia" w:ascii="宋体" w:hAnsi="宋体"/>
          <w:b/>
          <w:sz w:val="28"/>
          <w:szCs w:val="28"/>
          <w:highlight w:val="none"/>
        </w:rPr>
        <w:t xml:space="preserve"> 采购公告</w:t>
      </w:r>
    </w:p>
    <w:p>
      <w:pPr>
        <w:pStyle w:val="89"/>
        <w:spacing w:line="600" w:lineRule="exac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广西自治区级公共安全视频监控建设联网应用项目</w:t>
      </w:r>
    </w:p>
    <w:p>
      <w:pPr>
        <w:pStyle w:val="89"/>
        <w:spacing w:line="600" w:lineRule="exact"/>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第一批变更设备采购公告</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根据我中心的工作需求，现就广西自治区级公共安全视频监控建设联网应用项目第一批变更项目进行采购，按照《中华人民共和国政府采购法》等有关规定要求，本着公开、公平、公正的原则，邀请符合条件且有意向承接该项工作的供应商参加报价。</w:t>
      </w:r>
    </w:p>
    <w:p>
      <w:pPr>
        <w:spacing w:line="400" w:lineRule="exact"/>
        <w:ind w:firstLine="481"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一、采购项目名称：</w:t>
      </w:r>
      <w:r>
        <w:rPr>
          <w:rFonts w:hint="eastAsia" w:ascii="宋体" w:hAnsi="宋体"/>
          <w:bCs/>
          <w:color w:val="000000" w:themeColor="text1"/>
          <w:sz w:val="24"/>
          <w:highlight w:val="none"/>
          <w14:textFill>
            <w14:solidFill>
              <w14:schemeClr w14:val="tx1"/>
            </w14:solidFill>
          </w14:textFill>
        </w:rPr>
        <w:t>广西自治区级公共安全视频监控建设联网应用项目第一批变更设备。</w:t>
      </w:r>
    </w:p>
    <w:p>
      <w:pPr>
        <w:pStyle w:val="36"/>
        <w:ind w:firstLine="480"/>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二、采购项目的名称、数量、简要规格描述或项目基本概况介绍：</w:t>
      </w:r>
      <w:r>
        <w:rPr>
          <w:rFonts w:hint="eastAsia" w:ascii="宋体" w:hAnsi="宋体"/>
          <w:color w:val="000000" w:themeColor="text1"/>
          <w:highlight w:val="none"/>
          <w14:textFill>
            <w14:solidFill>
              <w14:schemeClr w14:val="tx1"/>
            </w14:solidFill>
          </w14:textFill>
        </w:rPr>
        <w:t>广西自治区级公共安全视频监控建设联网应用项目第一批变更设备采购1项，具体要求详见采购文件。</w:t>
      </w:r>
    </w:p>
    <w:p>
      <w:pPr>
        <w:pStyle w:val="36"/>
        <w:ind w:firstLine="480"/>
        <w:rPr>
          <w:rFonts w:ascii="宋体" w:hAnsi="宋体"/>
          <w:color w:val="000000" w:themeColor="text1"/>
          <w:highlight w:val="none"/>
          <w14:textFill>
            <w14:solidFill>
              <w14:schemeClr w14:val="tx1"/>
            </w14:solidFill>
          </w14:textFill>
        </w:rPr>
      </w:pPr>
      <w:r>
        <w:rPr>
          <w:rFonts w:hint="eastAsia" w:ascii="宋体" w:hAnsi="宋体"/>
          <w:b/>
          <w:bCs w:val="0"/>
          <w:color w:val="000000" w:themeColor="text1"/>
          <w:highlight w:val="none"/>
          <w14:textFill>
            <w14:solidFill>
              <w14:schemeClr w14:val="tx1"/>
            </w14:solidFill>
          </w14:textFill>
        </w:rPr>
        <w:t>三、采购预算金额（人民币）：</w:t>
      </w:r>
      <w:r>
        <w:rPr>
          <w:rFonts w:hint="eastAsia" w:ascii="宋体" w:hAnsi="宋体"/>
          <w:bCs w:val="0"/>
          <w:color w:val="000000" w:themeColor="text1"/>
          <w:highlight w:val="none"/>
          <w14:textFill>
            <w14:solidFill>
              <w14:schemeClr w14:val="tx1"/>
            </w14:solidFill>
          </w14:textFill>
        </w:rPr>
        <w:t>壹拾柒万玖仟玖佰贰拾壹元整（￥179,921.00）。供应商的报价不得超出项目预算，否则按无效报价处理。</w:t>
      </w:r>
    </w:p>
    <w:p>
      <w:pPr>
        <w:spacing w:line="400" w:lineRule="exact"/>
        <w:ind w:firstLine="481"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四、供应商资格要求：</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1.符合《中华人民共和国政府采购法》第二十二条规定的供应商资格条件。</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2.国内注册（指按国家有关规定要求注册的），提供本次采购服务，具备独立法人资格。</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w:t>
      </w:r>
      <w:r>
        <w:rPr>
          <w:rFonts w:ascii="宋体" w:hAnsi="宋体"/>
          <w:bCs/>
          <w:color w:val="000000" w:themeColor="text1"/>
          <w:sz w:val="24"/>
          <w:highlight w:val="none"/>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 xml:space="preserve">本项目不接受联合体报价。 </w:t>
      </w:r>
    </w:p>
    <w:p>
      <w:pPr>
        <w:spacing w:line="400" w:lineRule="exact"/>
        <w:ind w:firstLine="480" w:firstLineChars="200"/>
        <w:jc w:val="left"/>
        <w:rPr>
          <w:rFonts w:hint="eastAsia" w:ascii="宋体" w:hAnsi="宋体"/>
          <w:b/>
          <w:bCs w:val="0"/>
          <w:color w:val="000000" w:themeColor="text1"/>
          <w:sz w:val="24"/>
          <w:highlight w:val="none"/>
          <w:lang w:val="en-US" w:eastAsia="zh-CN"/>
          <w14:textFill>
            <w14:solidFill>
              <w14:schemeClr w14:val="tx1"/>
            </w14:solidFill>
          </w14:textFill>
        </w:rPr>
      </w:pPr>
      <w:r>
        <w:rPr>
          <w:rFonts w:hint="eastAsia" w:ascii="宋体" w:hAnsi="宋体"/>
          <w:b/>
          <w:bCs w:val="0"/>
          <w:color w:val="000000" w:themeColor="text1"/>
          <w:sz w:val="24"/>
          <w:highlight w:val="none"/>
          <w:lang w:val="en-US" w:eastAsia="zh-CN"/>
          <w14:textFill>
            <w14:solidFill>
              <w14:schemeClr w14:val="tx1"/>
            </w14:solidFill>
          </w14:textFill>
        </w:rPr>
        <w:t>五、需报送的材料:</w:t>
      </w:r>
    </w:p>
    <w:p>
      <w:pPr>
        <w:spacing w:line="400" w:lineRule="exact"/>
        <w:ind w:firstLine="480" w:firstLineChars="200"/>
        <w:jc w:val="left"/>
        <w:rPr>
          <w:rFonts w:hint="eastAsia" w:ascii="宋体" w:hAnsi="宋体"/>
          <w:bCs/>
          <w:color w:val="000000" w:themeColor="text1"/>
          <w:sz w:val="24"/>
          <w:highlight w:val="none"/>
          <w:lang w:val="en-US" w:eastAsia="zh-CN"/>
          <w14:textFill>
            <w14:solidFill>
              <w14:schemeClr w14:val="tx1"/>
            </w14:solidFill>
          </w14:textFill>
        </w:rPr>
      </w:pPr>
      <w:r>
        <w:rPr>
          <w:rFonts w:hint="eastAsia" w:ascii="宋体" w:hAnsi="宋体"/>
          <w:bCs/>
          <w:color w:val="000000" w:themeColor="text1"/>
          <w:sz w:val="24"/>
          <w:highlight w:val="none"/>
          <w:lang w:val="en-US" w:eastAsia="zh-CN"/>
          <w14:textFill>
            <w14:solidFill>
              <w14:schemeClr w14:val="tx1"/>
            </w14:solidFill>
          </w14:textFill>
        </w:rPr>
        <w:t>1.响应文件；</w:t>
      </w:r>
    </w:p>
    <w:p>
      <w:pPr>
        <w:spacing w:line="400" w:lineRule="exact"/>
        <w:ind w:firstLine="480" w:firstLineChars="20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lang w:val="en-US" w:eastAsia="zh-CN"/>
          <w14:textFill>
            <w14:solidFill>
              <w14:schemeClr w14:val="tx1"/>
            </w14:solidFill>
          </w14:textFill>
        </w:rPr>
        <w:t>2.供应商单位联系人姓名及联系方式。</w:t>
      </w:r>
      <w:r>
        <w:rPr>
          <w:rFonts w:hint="eastAsia" w:ascii="宋体" w:hAnsi="宋体"/>
          <w:bCs/>
          <w:color w:val="000000" w:themeColor="text1"/>
          <w:sz w:val="24"/>
          <w:highlight w:val="none"/>
          <w14:textFill>
            <w14:solidFill>
              <w14:schemeClr w14:val="tx1"/>
            </w14:solidFill>
          </w14:textFill>
        </w:rPr>
        <w:t xml:space="preserve"> </w:t>
      </w:r>
    </w:p>
    <w:p>
      <w:pPr>
        <w:spacing w:line="400" w:lineRule="exact"/>
        <w:ind w:firstLine="480" w:firstLineChars="200"/>
        <w:jc w:val="left"/>
        <w:rPr>
          <w:rFonts w:hint="eastAsia" w:ascii="宋体" w:hAnsi="宋体"/>
          <w:b/>
          <w:bCs w:val="0"/>
          <w:color w:val="000000" w:themeColor="text1"/>
          <w:sz w:val="24"/>
          <w:highlight w:val="none"/>
          <w14:textFill>
            <w14:solidFill>
              <w14:schemeClr w14:val="tx1"/>
            </w14:solidFill>
          </w14:textFill>
        </w:rPr>
      </w:pPr>
      <w:r>
        <w:rPr>
          <w:rFonts w:hint="eastAsia" w:ascii="宋体" w:hAnsi="宋体"/>
          <w:b/>
          <w:bCs w:val="0"/>
          <w:color w:val="000000" w:themeColor="text1"/>
          <w:sz w:val="24"/>
          <w:highlight w:val="none"/>
          <w14:textFill>
            <w14:solidFill>
              <w14:schemeClr w14:val="tx1"/>
            </w14:solidFill>
          </w14:textFill>
        </w:rPr>
        <w:t>六、响应文件递交截止时间和地点：</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供应商应于</w:t>
      </w:r>
      <w:r>
        <w:rPr>
          <w:rFonts w:hint="eastAsia" w:ascii="宋体" w:hAnsi="宋体"/>
          <w:bCs/>
          <w:color w:val="000000" w:themeColor="text1"/>
          <w:sz w:val="24"/>
          <w:highlight w:val="yellow"/>
          <w14:textFill>
            <w14:solidFill>
              <w14:schemeClr w14:val="tx1"/>
            </w14:solidFill>
          </w14:textFill>
        </w:rPr>
        <w:t>2023年</w:t>
      </w:r>
      <w:r>
        <w:rPr>
          <w:rFonts w:hint="eastAsia" w:ascii="宋体" w:hAnsi="宋体"/>
          <w:bCs/>
          <w:color w:val="000000" w:themeColor="text1"/>
          <w:sz w:val="24"/>
          <w:highlight w:val="yellow"/>
          <w:lang w:val="en-US" w:eastAsia="zh-CN"/>
          <w14:textFill>
            <w14:solidFill>
              <w14:schemeClr w14:val="tx1"/>
            </w14:solidFill>
          </w14:textFill>
        </w:rPr>
        <w:t>3</w:t>
      </w:r>
      <w:r>
        <w:rPr>
          <w:rFonts w:hint="eastAsia" w:ascii="宋体" w:hAnsi="宋体"/>
          <w:bCs/>
          <w:color w:val="000000" w:themeColor="text1"/>
          <w:sz w:val="24"/>
          <w:highlight w:val="yellow"/>
          <w14:textFill>
            <w14:solidFill>
              <w14:schemeClr w14:val="tx1"/>
            </w14:solidFill>
          </w14:textFill>
        </w:rPr>
        <w:t>月</w:t>
      </w:r>
      <w:r>
        <w:rPr>
          <w:rFonts w:hint="eastAsia" w:ascii="宋体" w:hAnsi="宋体"/>
          <w:bCs/>
          <w:color w:val="000000" w:themeColor="text1"/>
          <w:sz w:val="24"/>
          <w:highlight w:val="yellow"/>
          <w:lang w:val="en-US" w:eastAsia="zh-CN"/>
          <w14:textFill>
            <w14:solidFill>
              <w14:schemeClr w14:val="tx1"/>
            </w14:solidFill>
          </w14:textFill>
        </w:rPr>
        <w:t>7</w:t>
      </w:r>
      <w:r>
        <w:rPr>
          <w:rFonts w:hint="eastAsia" w:ascii="宋体" w:hAnsi="宋体"/>
          <w:bCs/>
          <w:color w:val="000000" w:themeColor="text1"/>
          <w:sz w:val="24"/>
          <w:highlight w:val="yellow"/>
          <w14:textFill>
            <w14:solidFill>
              <w14:schemeClr w14:val="tx1"/>
            </w14:solidFill>
          </w14:textFill>
        </w:rPr>
        <w:t>日18:00前</w:t>
      </w:r>
      <w:r>
        <w:rPr>
          <w:rFonts w:hint="eastAsia" w:ascii="宋体" w:hAnsi="宋体"/>
          <w:bCs/>
          <w:color w:val="000000" w:themeColor="text1"/>
          <w:sz w:val="24"/>
          <w:highlight w:val="none"/>
          <w14:textFill>
            <w14:solidFill>
              <w14:schemeClr w14:val="tx1"/>
            </w14:solidFill>
          </w14:textFill>
        </w:rPr>
        <w:t>，将响应文件密封提交或邮寄到广西壮族自治区信息中心，逾期送达的将予以拒收（或作无效响应文件处理）。</w:t>
      </w:r>
    </w:p>
    <w:p>
      <w:pPr>
        <w:spacing w:line="400" w:lineRule="exact"/>
        <w:ind w:firstLine="481"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val="en-US" w:eastAsia="zh-CN"/>
          <w14:textFill>
            <w14:solidFill>
              <w14:schemeClr w14:val="tx1"/>
            </w14:solidFill>
          </w14:textFill>
        </w:rPr>
        <w:t>七</w:t>
      </w:r>
      <w:r>
        <w:rPr>
          <w:rFonts w:hint="eastAsia" w:ascii="宋体" w:hAnsi="宋体"/>
          <w:b/>
          <w:color w:val="000000" w:themeColor="text1"/>
          <w:sz w:val="24"/>
          <w:highlight w:val="none"/>
          <w14:textFill>
            <w14:solidFill>
              <w14:schemeClr w14:val="tx1"/>
            </w14:solidFill>
          </w14:textFill>
        </w:rPr>
        <w:t>、联系方式及通讯地址：</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1.项目联系人：韦宝，联系电话：0771-6113503;</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2.通讯地址：南宁市良庆区体强路18号16楼1608号房，邮编：530221。</w:t>
      </w:r>
    </w:p>
    <w:p>
      <w:pPr>
        <w:spacing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pPr>
        <w:spacing w:line="400" w:lineRule="exact"/>
        <w:rPr>
          <w:rFonts w:ascii="宋体" w:hAnsi="宋体"/>
          <w:color w:val="000000" w:themeColor="text1"/>
          <w:sz w:val="24"/>
          <w:highlight w:val="none"/>
          <w14:textFill>
            <w14:solidFill>
              <w14:schemeClr w14:val="tx1"/>
            </w14:solidFill>
          </w14:textFill>
        </w:rPr>
      </w:pPr>
    </w:p>
    <w:p>
      <w:pPr>
        <w:spacing w:line="400" w:lineRule="exact"/>
        <w:ind w:firstLine="6840" w:firstLineChars="2850"/>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广西壮族自治区信息中心</w:t>
      </w:r>
    </w:p>
    <w:p>
      <w:pPr>
        <w:spacing w:line="400" w:lineRule="exact"/>
        <w:ind w:firstLine="7320" w:firstLineChars="3050"/>
        <w:jc w:val="left"/>
        <w:rPr>
          <w:rFonts w:ascii="微软雅黑" w:hAnsi="微软雅黑" w:eastAsia="微软雅黑" w:cs="宋体"/>
          <w:color w:val="000000" w:themeColor="text1"/>
          <w:kern w:val="0"/>
          <w:sz w:val="37"/>
          <w:szCs w:val="37"/>
          <w:highlight w:val="none"/>
          <w14:textFill>
            <w14:solidFill>
              <w14:schemeClr w14:val="tx1"/>
            </w14:solidFill>
          </w14:textFill>
        </w:rPr>
      </w:pPr>
      <w:r>
        <w:rPr>
          <w:rFonts w:ascii="宋体" w:hAnsi="宋体"/>
          <w:bCs/>
          <w:color w:val="000000" w:themeColor="text1"/>
          <w:sz w:val="24"/>
          <w:highlight w:val="yellow"/>
          <w14:textFill>
            <w14:solidFill>
              <w14:schemeClr w14:val="tx1"/>
            </w14:solidFill>
          </w14:textFill>
        </w:rPr>
        <w:t>202</w:t>
      </w:r>
      <w:r>
        <w:rPr>
          <w:rFonts w:hint="eastAsia" w:ascii="宋体" w:hAnsi="宋体"/>
          <w:bCs/>
          <w:color w:val="000000" w:themeColor="text1"/>
          <w:sz w:val="24"/>
          <w:highlight w:val="yellow"/>
          <w14:textFill>
            <w14:solidFill>
              <w14:schemeClr w14:val="tx1"/>
            </w14:solidFill>
          </w14:textFill>
        </w:rPr>
        <w:t>3</w:t>
      </w:r>
      <w:r>
        <w:rPr>
          <w:rFonts w:ascii="宋体" w:hAnsi="宋体"/>
          <w:bCs/>
          <w:color w:val="000000" w:themeColor="text1"/>
          <w:sz w:val="24"/>
          <w:highlight w:val="yellow"/>
          <w14:textFill>
            <w14:solidFill>
              <w14:schemeClr w14:val="tx1"/>
            </w14:solidFill>
          </w14:textFill>
        </w:rPr>
        <w:t>年</w:t>
      </w:r>
      <w:r>
        <w:rPr>
          <w:rFonts w:hint="eastAsia" w:ascii="宋体" w:hAnsi="宋体"/>
          <w:bCs/>
          <w:color w:val="000000" w:themeColor="text1"/>
          <w:sz w:val="24"/>
          <w:highlight w:val="yellow"/>
          <w:lang w:val="en-US" w:eastAsia="zh-CN"/>
          <w14:textFill>
            <w14:solidFill>
              <w14:schemeClr w14:val="tx1"/>
            </w14:solidFill>
          </w14:textFill>
        </w:rPr>
        <w:t>3</w:t>
      </w:r>
      <w:r>
        <w:rPr>
          <w:rFonts w:ascii="宋体" w:hAnsi="宋体"/>
          <w:bCs/>
          <w:color w:val="000000" w:themeColor="text1"/>
          <w:sz w:val="24"/>
          <w:highlight w:val="yellow"/>
          <w14:textFill>
            <w14:solidFill>
              <w14:schemeClr w14:val="tx1"/>
            </w14:solidFill>
          </w14:textFill>
        </w:rPr>
        <w:t>月</w:t>
      </w:r>
      <w:r>
        <w:rPr>
          <w:rFonts w:hint="eastAsia" w:ascii="宋体" w:hAnsi="宋体"/>
          <w:bCs/>
          <w:color w:val="000000" w:themeColor="text1"/>
          <w:sz w:val="24"/>
          <w:highlight w:val="yellow"/>
          <w:lang w:val="en-US" w:eastAsia="zh-CN"/>
          <w14:textFill>
            <w14:solidFill>
              <w14:schemeClr w14:val="tx1"/>
            </w14:solidFill>
          </w14:textFill>
        </w:rPr>
        <w:t>3</w:t>
      </w:r>
      <w:r>
        <w:rPr>
          <w:rFonts w:ascii="宋体" w:hAnsi="宋体"/>
          <w:bCs/>
          <w:color w:val="000000" w:themeColor="text1"/>
          <w:sz w:val="24"/>
          <w:highlight w:val="yellow"/>
          <w14:textFill>
            <w14:solidFill>
              <w14:schemeClr w14:val="tx1"/>
            </w14:solidFill>
          </w14:textFill>
        </w:rPr>
        <w:t>日</w:t>
      </w:r>
      <w:r>
        <w:rPr>
          <w:rFonts w:hint="eastAsia" w:ascii="宋体" w:hAnsi="宋体"/>
          <w:bCs/>
          <w:color w:val="000000" w:themeColor="text1"/>
          <w:sz w:val="24"/>
          <w:highlight w:val="none"/>
          <w14:textFill>
            <w14:solidFill>
              <w14:schemeClr w14:val="tx1"/>
            </w14:solidFill>
          </w14:textFill>
        </w:rPr>
        <w:t xml:space="preserve"> </w:t>
      </w:r>
      <w:r>
        <w:rPr>
          <w:rFonts w:ascii="宋体" w:hAnsi="宋体"/>
          <w:bCs/>
          <w:color w:val="000000" w:themeColor="text1"/>
          <w:sz w:val="24"/>
          <w:highlight w:val="none"/>
          <w14:textFill>
            <w14:solidFill>
              <w14:schemeClr w14:val="tx1"/>
            </w14:solidFill>
          </w14:textFill>
        </w:rPr>
        <w:t>   </w:t>
      </w:r>
      <w:r>
        <w:rPr>
          <w:rFonts w:ascii="Arial" w:hAnsi="Arial" w:eastAsia="微软雅黑" w:cs="Arial"/>
          <w:color w:val="000000" w:themeColor="text1"/>
          <w:kern w:val="0"/>
          <w:sz w:val="30"/>
          <w:szCs w:val="30"/>
          <w:highlight w:val="none"/>
          <w14:textFill>
            <w14:solidFill>
              <w14:schemeClr w14:val="tx1"/>
            </w14:solidFill>
          </w14:textFill>
        </w:rPr>
        <w:t>                                                      </w:t>
      </w:r>
    </w:p>
    <w:p>
      <w:pPr>
        <w:spacing w:line="500" w:lineRule="exact"/>
        <w:jc w:val="center"/>
        <w:outlineLvl w:val="0"/>
        <w:rPr>
          <w:rFonts w:ascii="宋体" w:hAnsi="宋体"/>
          <w:b/>
          <w:sz w:val="32"/>
          <w:szCs w:val="32"/>
          <w:highlight w:val="none"/>
        </w:rPr>
      </w:pPr>
      <w:r>
        <w:rPr>
          <w:rFonts w:ascii="宋体" w:hAnsi="宋体"/>
          <w:b/>
          <w:color w:val="000000" w:themeColor="text1"/>
          <w:sz w:val="28"/>
          <w:szCs w:val="32"/>
          <w:highlight w:val="none"/>
          <w14:textFill>
            <w14:solidFill>
              <w14:schemeClr w14:val="tx1"/>
            </w14:solidFill>
          </w14:textFill>
        </w:rPr>
        <w:br w:type="page"/>
      </w:r>
      <w:r>
        <w:rPr>
          <w:rFonts w:hint="eastAsia" w:ascii="宋体" w:hAnsi="宋体"/>
          <w:b/>
          <w:sz w:val="28"/>
          <w:szCs w:val="32"/>
          <w:highlight w:val="none"/>
        </w:rPr>
        <w:t>第二章</w:t>
      </w:r>
      <w:r>
        <w:rPr>
          <w:rFonts w:hint="eastAsia" w:ascii="宋体" w:hAnsi="宋体"/>
          <w:b/>
          <w:sz w:val="32"/>
          <w:szCs w:val="32"/>
          <w:highlight w:val="none"/>
        </w:rPr>
        <w:t xml:space="preserve"> </w:t>
      </w:r>
      <w:r>
        <w:rPr>
          <w:rFonts w:hint="eastAsia" w:ascii="宋体" w:hAnsi="宋体"/>
          <w:b/>
          <w:sz w:val="28"/>
          <w:szCs w:val="32"/>
          <w:highlight w:val="none"/>
        </w:rPr>
        <w:t>供应商须知及前附表</w:t>
      </w:r>
    </w:p>
    <w:p>
      <w:pPr>
        <w:spacing w:line="400" w:lineRule="exact"/>
        <w:jc w:val="center"/>
        <w:rPr>
          <w:rFonts w:ascii="宋体" w:hAnsi="宋体"/>
          <w:b/>
          <w:sz w:val="24"/>
          <w:highlight w:val="none"/>
        </w:rPr>
      </w:pPr>
      <w:r>
        <w:rPr>
          <w:rFonts w:hint="eastAsia" w:ascii="宋体" w:hAnsi="宋体"/>
          <w:b/>
          <w:sz w:val="24"/>
          <w:highlight w:val="none"/>
        </w:rPr>
        <w:t>供应商须知前附表</w:t>
      </w:r>
    </w:p>
    <w:tbl>
      <w:tblPr>
        <w:tblStyle w:val="34"/>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8603" w:type="dxa"/>
            <w:vAlign w:val="center"/>
          </w:tcPr>
          <w:p>
            <w:pPr>
              <w:spacing w:line="36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603" w:type="dxa"/>
            <w:vAlign w:val="center"/>
          </w:tcPr>
          <w:p>
            <w:pPr>
              <w:spacing w:line="40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14:textFill>
                  <w14:solidFill>
                    <w14:schemeClr w14:val="tx1"/>
                  </w14:solidFill>
                </w14:textFill>
              </w:rPr>
              <w:t>广西自治区级公共安全视频监控建设联网应用项目第一批变更设备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603" w:type="dxa"/>
            <w:vAlign w:val="center"/>
          </w:tcPr>
          <w:p>
            <w:pPr>
              <w:spacing w:line="360" w:lineRule="exac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供应商资格及要求：</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1.符合《中华人民共和国政府采购法》第二十二条规定的供应商资格条件。</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2.国内注册（指按国家有关规定要求注册的），提供本次采购服务，具备独立法人资格。</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 xml:space="preserve">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报价</w:t>
            </w:r>
            <w:r>
              <w:rPr>
                <w:rFonts w:hint="eastAsia" w:ascii="宋体" w:hAnsi="宋体" w:cs="宋体"/>
                <w:color w:val="000000" w:themeColor="text1"/>
                <w:sz w:val="24"/>
                <w:highlight w:val="none"/>
                <w14:textFill>
                  <w14:solidFill>
                    <w14:schemeClr w14:val="tx1"/>
                  </w14:solidFill>
                </w14:textFill>
              </w:rPr>
              <w:t>：</w:t>
            </w:r>
          </w:p>
          <w:p>
            <w:pPr>
              <w:spacing w:line="360" w:lineRule="exact"/>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1.供应商必须就《服务需求》中的所有内容作完整唯一报价，否则报价将被拒绝。</w:t>
            </w:r>
          </w:p>
          <w:p>
            <w:pPr>
              <w:spacing w:line="360" w:lineRule="exact"/>
              <w:jc w:val="left"/>
              <w:rPr>
                <w:rFonts w:ascii="宋体" w:hAnsi="宋体" w:cs="宋体"/>
                <w:bCs/>
                <w:color w:val="000000" w:themeColor="text1"/>
                <w:sz w:val="24"/>
                <w:highlight w:val="none"/>
                <w:lang w:val="zh-CN"/>
                <w14:textFill>
                  <w14:solidFill>
                    <w14:schemeClr w14:val="tx1"/>
                  </w14:solidFill>
                </w14:textFill>
              </w:rPr>
            </w:pPr>
            <w:r>
              <w:rPr>
                <w:rFonts w:hint="eastAsia" w:ascii="宋体" w:hAnsi="宋体" w:cs="宋体"/>
                <w:bCs/>
                <w:color w:val="000000" w:themeColor="text1"/>
                <w:sz w:val="24"/>
                <w:highlight w:val="none"/>
                <w:lang w:val="zh-CN"/>
                <w14:textFill>
                  <w14:solidFill>
                    <w14:schemeClr w14:val="tx1"/>
                  </w14:solidFill>
                </w14:textFill>
              </w:rPr>
              <w:t>2.本项目应以人民币报价。</w:t>
            </w:r>
          </w:p>
          <w:p>
            <w:pPr>
              <w:spacing w:line="360" w:lineRule="exact"/>
              <w:jc w:val="left"/>
              <w:rPr>
                <w:rFonts w:ascii="宋体" w:hAnsi="宋体" w:cs="宋体"/>
                <w:bCs/>
                <w:color w:val="000000" w:themeColor="text1"/>
                <w:sz w:val="24"/>
                <w:highlight w:val="none"/>
                <w:lang w:val="zh-CN"/>
                <w14:textFill>
                  <w14:solidFill>
                    <w14:schemeClr w14:val="tx1"/>
                  </w14:solidFill>
                </w14:textFill>
              </w:rPr>
            </w:pPr>
            <w:r>
              <w:rPr>
                <w:rFonts w:hint="eastAsia" w:ascii="宋体" w:hAnsi="宋体" w:cs="宋体"/>
                <w:bCs/>
                <w:color w:val="000000" w:themeColor="text1"/>
                <w:sz w:val="24"/>
                <w:highlight w:val="none"/>
                <w:lang w:val="zh-CN"/>
                <w14:textFill>
                  <w14:solidFill>
                    <w14:schemeClr w14:val="tx1"/>
                  </w14:solidFill>
                </w14:textFill>
              </w:rPr>
              <w:t>3.报价不超过</w:t>
            </w:r>
            <w:r>
              <w:rPr>
                <w:rFonts w:hint="eastAsia" w:ascii="宋体" w:hAnsi="宋体" w:cs="宋体"/>
                <w:bCs/>
                <w:color w:val="000000" w:themeColor="text1"/>
                <w:sz w:val="24"/>
                <w:highlight w:val="none"/>
                <w14:textFill>
                  <w14:solidFill>
                    <w14:schemeClr w14:val="tx1"/>
                  </w14:solidFill>
                </w14:textFill>
              </w:rPr>
              <w:t>采购预算价</w:t>
            </w:r>
            <w:r>
              <w:rPr>
                <w:rFonts w:hint="eastAsia" w:ascii="宋体" w:hAnsi="宋体" w:cs="宋体"/>
                <w:bCs/>
                <w:color w:val="000000" w:themeColor="text1"/>
                <w:sz w:val="24"/>
                <w:highlight w:val="none"/>
                <w:lang w:val="zh-CN"/>
                <w14:textFill>
                  <w14:solidFill>
                    <w14:schemeClr w14:val="tx1"/>
                  </w14:solidFill>
                </w14:textFill>
              </w:rPr>
              <w:t>为有效报价，超过</w:t>
            </w:r>
            <w:r>
              <w:rPr>
                <w:rFonts w:hint="eastAsia" w:ascii="宋体" w:hAnsi="宋体" w:cs="宋体"/>
                <w:bCs/>
                <w:color w:val="000000" w:themeColor="text1"/>
                <w:sz w:val="24"/>
                <w:highlight w:val="none"/>
                <w14:textFill>
                  <w14:solidFill>
                    <w14:schemeClr w14:val="tx1"/>
                  </w14:solidFill>
                </w14:textFill>
              </w:rPr>
              <w:t>采购预算价</w:t>
            </w:r>
            <w:r>
              <w:rPr>
                <w:rFonts w:hint="eastAsia" w:ascii="宋体" w:hAnsi="宋体" w:cs="宋体"/>
                <w:bCs/>
                <w:color w:val="000000" w:themeColor="text1"/>
                <w:sz w:val="24"/>
                <w:highlight w:val="none"/>
                <w:lang w:val="zh-CN"/>
                <w14:textFill>
                  <w14:solidFill>
                    <w14:schemeClr w14:val="tx1"/>
                  </w14:solidFill>
                </w14:textFill>
              </w:rPr>
              <w:t>的报价为无效报价。</w:t>
            </w:r>
          </w:p>
          <w:p>
            <w:pPr>
              <w:spacing w:line="36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zh-CN"/>
                <w14:textFill>
                  <w14:solidFill>
                    <w14:schemeClr w14:val="tx1"/>
                  </w14:solidFill>
                </w14:textFill>
              </w:rPr>
              <w:t>4.</w:t>
            </w:r>
            <w:r>
              <w:rPr>
                <w:rFonts w:hint="eastAsia" w:ascii="宋体" w:hAnsi="宋体" w:cs="宋体"/>
                <w:bCs/>
                <w:color w:val="000000" w:themeColor="text1"/>
                <w:sz w:val="24"/>
                <w:highlight w:val="none"/>
                <w14:textFill>
                  <w14:solidFill>
                    <w14:schemeClr w14:val="tx1"/>
                  </w14:solidFill>
                </w14:textFill>
              </w:rPr>
              <w:t>供应商应自行承担所有与编写和提交报价文件有关的费用，不论采购结果如何，采购人在任何情况下无义务和责任承担此类费用。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响应文件份数</w:t>
            </w:r>
            <w:r>
              <w:rPr>
                <w:rFonts w:hint="eastAsia" w:ascii="宋体" w:hAnsi="宋体" w:cs="宋体"/>
                <w:color w:val="000000" w:themeColor="text1"/>
                <w:sz w:val="24"/>
                <w:highlight w:val="none"/>
                <w14:textFill>
                  <w14:solidFill>
                    <w14:schemeClr w14:val="tx1"/>
                  </w14:solidFill>
                </w14:textFill>
              </w:rPr>
              <w:t>：正本一份  副本二份。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响应文件递交截止时间：</w:t>
            </w:r>
            <w:r>
              <w:rPr>
                <w:rFonts w:hint="eastAsia" w:ascii="宋体" w:hAnsi="宋体"/>
                <w:color w:val="000000" w:themeColor="text1"/>
                <w:sz w:val="24"/>
                <w:highlight w:val="yellow"/>
                <w14:textFill>
                  <w14:solidFill>
                    <w14:schemeClr w14:val="tx1"/>
                  </w14:solidFill>
                </w14:textFill>
              </w:rPr>
              <w:t>2023年</w:t>
            </w:r>
            <w:r>
              <w:rPr>
                <w:rFonts w:hint="eastAsia" w:ascii="宋体" w:hAnsi="宋体"/>
                <w:color w:val="000000" w:themeColor="text1"/>
                <w:sz w:val="24"/>
                <w:highlight w:val="yellow"/>
                <w:lang w:val="en-US" w:eastAsia="zh-CN"/>
                <w14:textFill>
                  <w14:solidFill>
                    <w14:schemeClr w14:val="tx1"/>
                  </w14:solidFill>
                </w14:textFill>
              </w:rPr>
              <w:t>3</w:t>
            </w:r>
            <w:r>
              <w:rPr>
                <w:rFonts w:hint="eastAsia" w:ascii="宋体" w:hAnsi="宋体"/>
                <w:color w:val="000000" w:themeColor="text1"/>
                <w:sz w:val="24"/>
                <w:highlight w:val="yellow"/>
                <w14:textFill>
                  <w14:solidFill>
                    <w14:schemeClr w14:val="tx1"/>
                  </w14:solidFill>
                </w14:textFill>
              </w:rPr>
              <w:t>月</w:t>
            </w:r>
            <w:r>
              <w:rPr>
                <w:rFonts w:hint="eastAsia" w:ascii="宋体" w:hAnsi="宋体"/>
                <w:color w:val="000000" w:themeColor="text1"/>
                <w:sz w:val="24"/>
                <w:highlight w:val="yellow"/>
                <w:lang w:val="en-US" w:eastAsia="zh-CN"/>
                <w14:textFill>
                  <w14:solidFill>
                    <w14:schemeClr w14:val="tx1"/>
                  </w14:solidFill>
                </w14:textFill>
              </w:rPr>
              <w:t>7</w:t>
            </w:r>
            <w:r>
              <w:rPr>
                <w:rFonts w:hint="eastAsia" w:ascii="宋体" w:hAnsi="宋体"/>
                <w:color w:val="000000" w:themeColor="text1"/>
                <w:sz w:val="24"/>
                <w:highlight w:val="yellow"/>
                <w14:textFill>
                  <w14:solidFill>
                    <w14:schemeClr w14:val="tx1"/>
                  </w14:solidFill>
                </w14:textFill>
              </w:rPr>
              <w:t>日18时00分</w:t>
            </w:r>
            <w:r>
              <w:rPr>
                <w:rFonts w:hint="eastAsia" w:ascii="宋体" w:hAnsi="宋体" w:cs="宋体"/>
                <w:color w:val="000000" w:themeColor="text1"/>
                <w:sz w:val="24"/>
                <w:highlight w:val="none"/>
                <w14:textFill>
                  <w14:solidFill>
                    <w14:schemeClr w14:val="tx1"/>
                  </w14:solidFill>
                </w14:textFill>
              </w:rPr>
              <w:t>。</w:t>
            </w:r>
          </w:p>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地址：南宁市良庆区体强路18号</w:t>
            </w:r>
            <w:r>
              <w:rPr>
                <w:rFonts w:ascii="宋体" w:hAnsi="宋体" w:cs="宋体"/>
                <w:color w:val="000000" w:themeColor="text1"/>
                <w:sz w:val="24"/>
                <w:highlight w:val="none"/>
                <w14:textFill>
                  <w14:solidFill>
                    <w14:schemeClr w14:val="tx1"/>
                  </w14:solidFill>
                </w14:textFill>
              </w:rPr>
              <w:t>16</w:t>
            </w:r>
            <w:r>
              <w:rPr>
                <w:rFonts w:hint="eastAsia" w:ascii="宋体" w:hAnsi="宋体" w:cs="宋体"/>
                <w:color w:val="000000" w:themeColor="text1"/>
                <w:sz w:val="24"/>
                <w:highlight w:val="none"/>
                <w14:textFill>
                  <w14:solidFill>
                    <w14:schemeClr w14:val="tx1"/>
                  </w14:solidFill>
                </w14:textFill>
              </w:rPr>
              <w:t>楼</w:t>
            </w:r>
            <w:r>
              <w:rPr>
                <w:rFonts w:ascii="宋体" w:hAnsi="宋体" w:cs="宋体"/>
                <w:color w:val="000000" w:themeColor="text1"/>
                <w:sz w:val="24"/>
                <w:highlight w:val="none"/>
                <w14:textFill>
                  <w14:solidFill>
                    <w14:schemeClr w14:val="tx1"/>
                  </w14:solidFill>
                </w14:textFill>
              </w:rPr>
              <w:t>1608</w:t>
            </w:r>
            <w:r>
              <w:rPr>
                <w:rFonts w:hint="eastAsia" w:ascii="宋体" w:hAnsi="宋体" w:cs="宋体"/>
                <w:color w:val="000000" w:themeColor="text1"/>
                <w:sz w:val="24"/>
                <w:highlight w:val="none"/>
                <w14:textFill>
                  <w14:solidFill>
                    <w14:schemeClr w14:val="tx1"/>
                  </w14:solidFill>
                </w14:textFill>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履约保证金:</w:t>
            </w:r>
            <w:r>
              <w:rPr>
                <w:rFonts w:hint="eastAsia" w:ascii="宋体" w:hAnsi="宋体" w:cs="宋体"/>
                <w:color w:val="000000" w:themeColor="text1"/>
                <w:sz w:val="24"/>
                <w:highlight w:val="none"/>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评标方法：</w:t>
            </w:r>
            <w:r>
              <w:rPr>
                <w:rFonts w:hint="eastAsia" w:ascii="宋体" w:hAnsi="宋体" w:cs="宋体"/>
                <w:color w:val="000000" w:themeColor="text1"/>
                <w:sz w:val="24"/>
                <w:highlight w:val="none"/>
                <w14:textFill>
                  <w14:solidFill>
                    <w14:schemeClr w14:val="tx1"/>
                  </w14:solidFill>
                </w14:textFill>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603" w:type="dxa"/>
            <w:vAlign w:val="center"/>
          </w:tcPr>
          <w:p>
            <w:pPr>
              <w:spacing w:line="360" w:lineRule="exact"/>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本项目采购预算价为：</w:t>
            </w:r>
            <w:r>
              <w:rPr>
                <w:rFonts w:hint="eastAsia" w:ascii="宋体" w:hAnsi="宋体" w:cs="宋体"/>
                <w:color w:val="000000" w:themeColor="text1"/>
                <w:sz w:val="24"/>
                <w:highlight w:val="none"/>
                <w14:textFill>
                  <w14:solidFill>
                    <w14:schemeClr w14:val="tx1"/>
                  </w14:solidFill>
                </w14:textFill>
              </w:rPr>
              <w:t>壹拾柒万玖仟玖佰贰拾壹元整（￥179,921.00）。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采购文件中描述供应商的“公章”是指根据我国对公章的管理规定，用供应商法定主体行为名称制作的印章，除本采购文件有特殊规定外，供应商的财务章、部门章、分公司章、工会章、合同章、竞标专用章、业务专用章等其它形式印章均不能代替公章。</w:t>
            </w:r>
          </w:p>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2.本采购文件中描述供应商的“签字”是指供应商的法定代表人（负责人）或授权委托代理人亲自在采购文件规定签署处亲笔写上个人的名字的行为，私章、签字章、印鉴、影印等其它形式均不能代替亲笔签字。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highlight w:val="none"/>
        </w:rPr>
        <w:sectPr>
          <w:footerReference r:id="rId11" w:type="first"/>
          <w:headerReference r:id="rId7" w:type="default"/>
          <w:footerReference r:id="rId9" w:type="default"/>
          <w:headerReference r:id="rId8" w:type="even"/>
          <w:footerReference r:id="rId10" w:type="even"/>
          <w:pgSz w:w="11906" w:h="16838"/>
          <w:pgMar w:top="1134" w:right="1134" w:bottom="1134" w:left="1134" w:header="851" w:footer="851" w:gutter="0"/>
          <w:pgNumType w:start="3"/>
          <w:cols w:space="720" w:num="1"/>
          <w:docGrid w:linePitch="312" w:charSpace="0"/>
        </w:sectPr>
      </w:pPr>
    </w:p>
    <w:p>
      <w:pPr>
        <w:spacing w:before="48" w:beforeLines="20" w:after="48" w:afterLines="20" w:line="400" w:lineRule="exact"/>
        <w:jc w:val="center"/>
        <w:rPr>
          <w:rFonts w:ascii="宋体" w:hAnsi="宋体"/>
          <w:b/>
          <w:sz w:val="32"/>
          <w:szCs w:val="32"/>
          <w:highlight w:val="none"/>
        </w:rPr>
      </w:pPr>
      <w:r>
        <w:rPr>
          <w:rFonts w:hint="eastAsia" w:ascii="宋体" w:hAnsi="宋体"/>
          <w:b/>
          <w:sz w:val="28"/>
          <w:szCs w:val="32"/>
          <w:highlight w:val="none"/>
        </w:rPr>
        <w:t>供应商须知</w:t>
      </w:r>
    </w:p>
    <w:p>
      <w:pPr>
        <w:pStyle w:val="15"/>
        <w:snapToGrid w:val="0"/>
        <w:spacing w:before="48" w:beforeLines="20" w:after="48" w:afterLines="20" w:line="400" w:lineRule="exact"/>
        <w:jc w:val="center"/>
        <w:rPr>
          <w:rFonts w:hAnsi="宋体" w:cs="宋体"/>
          <w:b/>
          <w:sz w:val="24"/>
          <w:szCs w:val="24"/>
          <w:highlight w:val="none"/>
        </w:rPr>
      </w:pPr>
      <w:r>
        <w:rPr>
          <w:rFonts w:hint="eastAsia" w:hAnsi="宋体" w:cs="宋体"/>
          <w:b/>
          <w:sz w:val="24"/>
          <w:szCs w:val="24"/>
          <w:highlight w:val="none"/>
        </w:rPr>
        <w:t>一、总　则</w:t>
      </w:r>
    </w:p>
    <w:p>
      <w:pPr>
        <w:spacing w:line="400" w:lineRule="exact"/>
        <w:ind w:firstLine="480" w:firstLineChars="200"/>
        <w:outlineLvl w:val="2"/>
        <w:rPr>
          <w:rFonts w:ascii="宋体" w:hAnsi="宋体" w:cs="宋体"/>
          <w:b/>
          <w:sz w:val="24"/>
          <w:highlight w:val="none"/>
        </w:rPr>
      </w:pPr>
      <w:r>
        <w:rPr>
          <w:rFonts w:hint="eastAsia" w:ascii="宋体" w:hAnsi="宋体" w:cs="宋体"/>
          <w:sz w:val="24"/>
          <w:highlight w:val="none"/>
        </w:rPr>
        <w:t>1.适用范围</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本文件仅适用于广西壮族自治区信息中心“</w:t>
      </w:r>
      <w:r>
        <w:rPr>
          <w:rFonts w:hint="eastAsia" w:ascii="宋体" w:hAnsi="宋体"/>
          <w:bCs/>
          <w:color w:val="000000" w:themeColor="text1"/>
          <w:sz w:val="24"/>
          <w:highlight w:val="none"/>
          <w14:textFill>
            <w14:solidFill>
              <w14:schemeClr w14:val="tx1"/>
            </w14:solidFill>
          </w14:textFill>
        </w:rPr>
        <w:t>广西自治区级公共安全视频监控建设联网应用项目第一批变更设备</w:t>
      </w:r>
      <w:r>
        <w:rPr>
          <w:rFonts w:hint="eastAsia" w:ascii="宋体" w:hAnsi="宋体" w:cs="宋体"/>
          <w:color w:val="000000" w:themeColor="text1"/>
          <w:sz w:val="24"/>
          <w:highlight w:val="none"/>
          <w14:textFill>
            <w14:solidFill>
              <w14:schemeClr w14:val="tx1"/>
            </w14:solidFill>
          </w14:textFill>
        </w:rPr>
        <w:t>”项目采购。</w:t>
      </w:r>
    </w:p>
    <w:p>
      <w:pPr>
        <w:spacing w:line="400" w:lineRule="exact"/>
        <w:ind w:firstLine="480" w:firstLineChars="200"/>
        <w:outlineLvl w:val="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定义</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2.1“采购人”：广西壮族自治区信息中心 。</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2.2“供应商”系指符合本次采购项目的提交响应文件的、参与报价的单位或自然人。</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highlight w:val="none"/>
        </w:rPr>
      </w:pPr>
      <w:r>
        <w:rPr>
          <w:rFonts w:hint="eastAsia" w:ascii="宋体" w:hAnsi="宋体" w:cs="宋体"/>
          <w:color w:val="000000" w:themeColor="text1"/>
          <w:sz w:val="24"/>
          <w:highlight w:val="none"/>
          <w14:textFill>
            <w14:solidFill>
              <w14:schemeClr w14:val="tx1"/>
            </w14:solidFill>
          </w14:textFill>
        </w:rPr>
        <w:t>2.4“服务”系指采购文件规定供应商须承担的</w:t>
      </w:r>
      <w:r>
        <w:rPr>
          <w:rFonts w:hint="eastAsia" w:ascii="宋体" w:hAnsi="宋体" w:cs="宋体"/>
          <w:sz w:val="24"/>
          <w:highlight w:val="none"/>
        </w:rPr>
        <w:t>设计开发、集成、安装、调试、技术协助、校准、培训、技术指导以及其他类似的义务。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2.5“项目”系指供应商按采购文件规定向采购人提供的产品和服务。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2.6“书面形式”包括信函、传真、电报等。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2.7“▲”系指实质性要求条款。</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3.供应商的基本条件</w:t>
      </w:r>
    </w:p>
    <w:p>
      <w:pPr>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3.1 供应商资格及要求：</w:t>
      </w:r>
    </w:p>
    <w:p>
      <w:pPr>
        <w:spacing w:line="400" w:lineRule="exact"/>
        <w:ind w:firstLine="480" w:firstLineChars="200"/>
        <w:rPr>
          <w:rFonts w:ascii="宋体" w:hAnsi="宋体" w:cs="宋体"/>
          <w:kern w:val="0"/>
          <w:sz w:val="24"/>
          <w:highlight w:val="none"/>
        </w:rPr>
      </w:pPr>
      <w:r>
        <w:rPr>
          <w:rFonts w:hint="eastAsia" w:ascii="宋体" w:hAnsi="宋体" w:cs="宋体"/>
          <w:kern w:val="0"/>
          <w:sz w:val="24"/>
          <w:highlight w:val="none"/>
        </w:rPr>
        <w:t>（1）符合《中华人民共和国政府采购法》第二十二条规定的供应商资格条件；</w:t>
      </w:r>
    </w:p>
    <w:p>
      <w:pPr>
        <w:spacing w:line="400" w:lineRule="exact"/>
        <w:ind w:firstLine="480" w:firstLineChars="200"/>
        <w:jc w:val="left"/>
        <w:rPr>
          <w:rFonts w:ascii="宋体" w:hAnsi="宋体"/>
          <w:bCs/>
          <w:sz w:val="24"/>
          <w:highlight w:val="none"/>
        </w:rPr>
      </w:pPr>
      <w:r>
        <w:rPr>
          <w:rFonts w:hint="eastAsia" w:ascii="宋体" w:hAnsi="宋体" w:cs="宋体"/>
          <w:kern w:val="0"/>
          <w:sz w:val="24"/>
          <w:highlight w:val="none"/>
        </w:rPr>
        <w:t>（2）</w:t>
      </w:r>
      <w:r>
        <w:rPr>
          <w:rFonts w:hint="eastAsia" w:ascii="宋体" w:hAnsi="宋体"/>
          <w:bCs/>
          <w:sz w:val="24"/>
          <w:highlight w:val="none"/>
        </w:rPr>
        <w:t>国内注册（指按国家有关规定要求注册的），提供本次采购服务，具备独立法人资格。</w:t>
      </w:r>
    </w:p>
    <w:p>
      <w:pPr>
        <w:spacing w:line="400" w:lineRule="exact"/>
        <w:ind w:firstLine="480" w:firstLineChars="200"/>
        <w:rPr>
          <w:rFonts w:ascii="宋体" w:hAnsi="宋体" w:cs="宋体"/>
          <w:kern w:val="0"/>
          <w:sz w:val="24"/>
          <w:highlight w:val="none"/>
        </w:rPr>
      </w:pPr>
      <w:r>
        <w:rPr>
          <w:rFonts w:hint="eastAsia" w:ascii="宋体" w:hAnsi="宋体" w:cs="宋体"/>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highlight w:val="none"/>
        </w:rPr>
      </w:pPr>
      <w:r>
        <w:rPr>
          <w:rFonts w:hint="eastAsia" w:ascii="宋体" w:hAnsi="宋体" w:cs="宋体"/>
          <w:kern w:val="0"/>
          <w:sz w:val="24"/>
          <w:highlight w:val="none"/>
        </w:rPr>
        <w:t xml:space="preserve">（4）本项目不接受联合体报价。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4.费用</w:t>
      </w:r>
    </w:p>
    <w:p>
      <w:pPr>
        <w:spacing w:line="400" w:lineRule="exact"/>
        <w:ind w:firstLine="480" w:firstLineChars="200"/>
        <w:rPr>
          <w:rFonts w:ascii="宋体" w:hAnsi="宋体" w:cs="宋体"/>
          <w:sz w:val="24"/>
          <w:highlight w:val="none"/>
        </w:rPr>
      </w:pPr>
      <w:r>
        <w:rPr>
          <w:rFonts w:hint="eastAsia" w:ascii="宋体" w:hAnsi="宋体" w:cs="宋体"/>
          <w:bCs/>
          <w:sz w:val="24"/>
          <w:highlight w:val="none"/>
        </w:rPr>
        <w:t>供应商应自行承担所有与编写和提交报价文件有关的费用，不论采购结果如何，采购人在任何情况下无义务和责任承担此类费用。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5.联合体报价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6.转包与分包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6.1本项目不允许转包。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6.2本项目不可以分包。</w:t>
      </w:r>
    </w:p>
    <w:p>
      <w:pPr>
        <w:pStyle w:val="15"/>
        <w:numPr>
          <w:ilvl w:val="255"/>
          <w:numId w:val="0"/>
        </w:numPr>
        <w:snapToGrid w:val="0"/>
        <w:spacing w:line="400" w:lineRule="exact"/>
        <w:ind w:firstLine="481" w:firstLineChars="200"/>
        <w:outlineLvl w:val="2"/>
        <w:rPr>
          <w:rFonts w:hAnsi="宋体" w:cs="宋体"/>
          <w:b/>
          <w:sz w:val="24"/>
          <w:highlight w:val="none"/>
        </w:rPr>
      </w:pPr>
      <w:bookmarkStart w:id="0" w:name="_Toc254970673"/>
      <w:bookmarkStart w:id="1" w:name="_Toc254970532"/>
      <w:r>
        <w:rPr>
          <w:rFonts w:hint="eastAsia" w:hAnsi="宋体" w:cs="宋体"/>
          <w:b/>
          <w:sz w:val="24"/>
          <w:highlight w:val="none"/>
        </w:rPr>
        <w:t xml:space="preserve">7.特别说明 </w:t>
      </w:r>
    </w:p>
    <w:bookmarkEnd w:id="0"/>
    <w:bookmarkEnd w:id="1"/>
    <w:p>
      <w:pPr>
        <w:pStyle w:val="15"/>
        <w:snapToGrid w:val="0"/>
        <w:spacing w:line="400" w:lineRule="exact"/>
        <w:ind w:firstLine="480" w:firstLineChars="200"/>
        <w:rPr>
          <w:rFonts w:hAnsi="宋体" w:cs="宋体"/>
          <w:sz w:val="24"/>
          <w:highlight w:val="none"/>
        </w:rPr>
      </w:pPr>
      <w:r>
        <w:rPr>
          <w:rFonts w:hint="eastAsia" w:hAnsi="宋体" w:cs="宋体"/>
          <w:sz w:val="24"/>
          <w:highlight w:val="none"/>
        </w:rPr>
        <w:t>7.1多家供应商参加报价，如其中两家或两家以上供应商的法定代表人（负责人）为同一人或相互之间存在投资关系且达到控股的，应当按一个供应商认定。评审时，取其中通过资格审查后的报价最低一家为有效供应商；当报价相同时，则以技术标最优一家为有效供应商；均相同时，由评审小组集体讨论后决定。</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7.2供应商报价所使用的资格、信誉、荣誉、业绩与企业认证必须为本法人所拥有。供应商报价所使用的采购项目实施人员必须为本法人员工（或必须为本法人或控股公司正式员工）。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7.3供应商应仔细阅读采购文件的所有内容，按照采购文件的要求提交响应文件，并对所提供的全部资料的真实性承担法律责任。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7.4供应商提供任何虚假材料,其报价无效；成交后发现的,成交人须依照《中华人民共和国消费者权益保护法》第49条之规定双倍赔偿采购人，且民事赔偿并不免除违法供应商的行政与刑事责任。</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二、采购文件</w:t>
      </w:r>
    </w:p>
    <w:p>
      <w:pPr>
        <w:pStyle w:val="15"/>
        <w:snapToGrid w:val="0"/>
        <w:spacing w:line="400" w:lineRule="exact"/>
        <w:ind w:firstLine="481" w:firstLineChars="200"/>
        <w:outlineLvl w:val="2"/>
        <w:rPr>
          <w:rFonts w:hAnsi="宋体" w:cs="宋体"/>
          <w:b/>
          <w:sz w:val="24"/>
          <w:szCs w:val="24"/>
          <w:highlight w:val="none"/>
        </w:rPr>
      </w:pPr>
      <w:r>
        <w:rPr>
          <w:rFonts w:hint="eastAsia" w:hAnsi="宋体" w:cs="宋体"/>
          <w:b/>
          <w:sz w:val="24"/>
          <w:szCs w:val="24"/>
          <w:highlight w:val="none"/>
        </w:rPr>
        <w:t>8.采购文件构成</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8.1采购公告；</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8.2供应商须知及前附表；</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8.3项目服务需求及说明；</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8.4评审办法及成交标准；</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8.5响应文件格式。</w:t>
      </w:r>
    </w:p>
    <w:p>
      <w:pPr>
        <w:pStyle w:val="15"/>
        <w:spacing w:line="400" w:lineRule="exact"/>
        <w:ind w:firstLine="472" w:firstLineChars="196"/>
        <w:outlineLvl w:val="2"/>
        <w:rPr>
          <w:rFonts w:hAnsi="宋体" w:cs="宋体"/>
          <w:sz w:val="24"/>
          <w:szCs w:val="24"/>
          <w:highlight w:val="none"/>
        </w:rPr>
      </w:pPr>
      <w:r>
        <w:rPr>
          <w:rFonts w:hint="eastAsia" w:hAnsi="宋体" w:cs="宋体"/>
          <w:b/>
          <w:bCs/>
          <w:sz w:val="24"/>
          <w:szCs w:val="24"/>
          <w:highlight w:val="none"/>
        </w:rPr>
        <w:t>9.</w:t>
      </w:r>
      <w:r>
        <w:rPr>
          <w:rFonts w:hint="eastAsia" w:hAnsi="宋体" w:cs="宋体"/>
          <w:b/>
          <w:sz w:val="24"/>
          <w:szCs w:val="24"/>
          <w:highlight w:val="none"/>
        </w:rPr>
        <w:t>采购文件的澄清和修改</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9.1任何要求澄清采购文件的供应商，均应在报价截止时间前1天的正常工作时间内以书面形式通知采购人，同时认定其他澄清方式为无效。采购人将予以正式答复。逾期不提出澄清要求视为对采购文件无异议。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9.2采购人对已发出的采购文件进行修改的，在采购文件要求提交响应文件截止时间1天前在原采购公告发布地址发布变更公告。该澄清或修改的内容为采购文件的组成部分，供应商自行查阅，采购人不进行电话或书面通知。</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9.3采购人对所有疑问的正式答复或是采购人认为必要修改的内容将以质疑答复公告或变更公告在原采购公告发布地址发布，电话通知提出疑问的供应商查阅公告，其余获取采购文件的供应商自行上网查看公告，但不说明问题的来源。该澄清或修改的内容为采购文件的组成部分。质疑答复公告或变更公告成功发布后将视为供应商收到答疑或补充通知，不需回复确认函。</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9.4特殊情况下，采购人可延长报价截止时间，并将变更时间以变更公告在原采购公告发布地址发布。</w:t>
      </w:r>
    </w:p>
    <w:p>
      <w:pPr>
        <w:pStyle w:val="15"/>
        <w:snapToGrid w:val="0"/>
        <w:spacing w:before="48" w:beforeLines="20" w:after="48" w:afterLines="20" w:line="400" w:lineRule="exact"/>
        <w:ind w:firstLine="481" w:firstLineChars="200"/>
        <w:jc w:val="center"/>
        <w:outlineLvl w:val="1"/>
        <w:rPr>
          <w:rFonts w:hAnsi="宋体" w:cs="宋体"/>
          <w:b/>
          <w:sz w:val="24"/>
          <w:szCs w:val="24"/>
          <w:highlight w:val="none"/>
        </w:rPr>
      </w:pPr>
      <w:r>
        <w:rPr>
          <w:rFonts w:hint="eastAsia" w:hAnsi="宋体" w:cs="宋体"/>
          <w:b/>
          <w:sz w:val="24"/>
          <w:szCs w:val="24"/>
          <w:highlight w:val="none"/>
        </w:rPr>
        <w:t>三、响应文件</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10.响应文件的组成</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10.2资信/商务文件：</w:t>
      </w:r>
    </w:p>
    <w:p>
      <w:pPr>
        <w:spacing w:line="400" w:lineRule="exact"/>
        <w:ind w:firstLine="480" w:firstLineChars="200"/>
        <w:rPr>
          <w:rFonts w:ascii="宋体" w:hAnsi="宋体" w:cs="宋体"/>
          <w:color w:val="000000"/>
          <w:sz w:val="24"/>
          <w:highlight w:val="none"/>
        </w:rPr>
      </w:pPr>
      <w:r>
        <w:rPr>
          <w:rFonts w:hint="eastAsia" w:ascii="宋体" w:hAnsi="宋体" w:cs="宋体"/>
          <w:sz w:val="24"/>
          <w:highlight w:val="none"/>
        </w:rPr>
        <w:t>商务部分是证明供应商有资格参加报价和成交后有能力履行服务的文件，这些文件应能</w:t>
      </w:r>
      <w:r>
        <w:rPr>
          <w:rFonts w:hint="eastAsia" w:ascii="宋体" w:hAnsi="宋体" w:cs="宋体"/>
          <w:color w:val="000000"/>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▲（1）报价声明书（格式见第五章）；</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▲（2）有效的营业执照副本复印件（对于有经营资质要求的，供应商必须提供有效的经营资质证书内页复印件；如供应商提供其他服务机构的服务时，还须提供其他服务机构的有效授权书原件）；</w:t>
      </w:r>
    </w:p>
    <w:p>
      <w:pPr>
        <w:spacing w:line="400" w:lineRule="exact"/>
        <w:ind w:firstLine="480" w:firstLineChars="200"/>
        <w:rPr>
          <w:rFonts w:ascii="宋体" w:hAnsi="宋体" w:cs="宋体"/>
          <w:sz w:val="24"/>
          <w:highlight w:val="none"/>
        </w:rPr>
      </w:pPr>
      <w:r>
        <w:rPr>
          <w:rFonts w:hint="eastAsia" w:ascii="宋体" w:hAnsi="宋体" w:cs="宋体"/>
          <w:color w:val="000000"/>
          <w:sz w:val="24"/>
          <w:highlight w:val="none"/>
        </w:rPr>
        <w:t>▲（3）有效的法定代表人（负责人）身份证正反面复印件（如法定代表人（负责人）非中国国籍应提交护照复印件，要求证件有效并与营业执照中的法定代</w:t>
      </w:r>
      <w:r>
        <w:rPr>
          <w:rFonts w:hint="eastAsia" w:ascii="宋体" w:hAnsi="宋体" w:cs="宋体"/>
          <w:sz w:val="24"/>
          <w:highlight w:val="none"/>
        </w:rPr>
        <w:t>表人（负责人）相符，格式自拟）；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▲（4）法定代表人（负责人）授权委托书（委托代理时提供，格式见第五章）；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6）响应文件递交截止之日前半年内供应商任意连续3个月的有效依法缴纳税费或依法免缴税费的证明（无纳税记录的，应提供由供应商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递交截止之日前半年内供应商任意连续3个月的有效依法缴纳社保费的缴费凭证（无缴费记录的，应提供由供应商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响应文件递交截止之日前半年内任意连续3个月供应商为项目实施人员缴纳的社保证明（社保证明必须经供应商所在地的社保部门盖章确认，依法不参与社保的人员，应出具相关的证明文件；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▲（9）供应商参加政府采购活动前3年内在经营活动中没有重大违法记录的书面声明（格式自拟，原件加盖单位公章）；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▲（10）供应商主体信用记录查询结果截图（加盖供应商单位公章）；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a.信用信息查询渠道：供应商可在“信用中国”网站（www.creditchina.gov.cn）及中国政府采购网（www.ccgp.gov.cn）查询相关供应商主体信用记录；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b.信用信息查询截止时点：相关供应商主体信用记录查询时间应在本项目首次公告至报价截止时间内任意时间有效；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c.信用信息查询记录和证据留存的具体方式：供应商须在上述指定时段内在“信用中国”网站（www.creditchina.gov.cn）及中国政府采购网（www.ccgp.gov.cn）等两个网站查询相关供应商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d.信用信息的使用规则：评审小组核验供应商书面声明及供应商在响应文件中提供的主体信用记录，被列入失信被执行人、重大税收违法案件当事人名单、政府采购严重违法失信行为记录名单及其他不符合《中华人民共和国政府采购法》第二十二条规定条件的供应商，将被拒绝其参与本次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▲（11）商务响应表（格式见第五章）；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▲（12）服务承诺书（格式自拟）；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可作为供应商资信评判的资质证明材料（如有）：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（13）供应商的类似成功案例的业绩证明文件（供应商同类项目实施情况一览表、中标/成交通知书复印件或有效合同复印件并加盖单位公章，格式可自拟）；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10.3技术文件：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技术部分是证明供应商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▲（1）技术响应表（格式见第五章）；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▲（2）实施方案（格式自拟）；</w:t>
      </w:r>
    </w:p>
    <w:p>
      <w:pPr>
        <w:spacing w:line="400" w:lineRule="exact"/>
        <w:ind w:firstLine="480" w:firstLineChars="200"/>
        <w:rPr>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）故障处置</w:t>
      </w:r>
      <w:r>
        <w:rPr>
          <w:rFonts w:ascii="宋体" w:hAnsi="宋体" w:cs="宋体"/>
          <w:sz w:val="24"/>
          <w:highlight w:val="none"/>
        </w:rPr>
        <w:t>方案</w:t>
      </w:r>
      <w:r>
        <w:rPr>
          <w:rFonts w:hint="eastAsia" w:ascii="宋体" w:hAnsi="宋体" w:cs="宋体"/>
          <w:sz w:val="24"/>
          <w:highlight w:val="none"/>
        </w:rPr>
        <w:t>（格式自拟）；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▲（4）项目实施人员一览表（格式见第五章）；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（5）供应商认为需要提供的其他证明材料（格式自拟）；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10.4报价文件：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▲（1）报价函（格式见第五章）；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▲（2）报价表（格式见第五章）；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（3）供应商针对报价需要说明的其他文件和说明（格式自拟）。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▲注：所提供的以上任一材料，均须加盖供应商公章且按采购文件格式要求签字，否则视为无效材料。</w:t>
      </w:r>
    </w:p>
    <w:p>
      <w:pPr>
        <w:pStyle w:val="36"/>
        <w:spacing w:line="400" w:lineRule="exact"/>
        <w:outlineLvl w:val="1"/>
        <w:rPr>
          <w:rFonts w:ascii="宋体" w:hAnsi="宋体"/>
          <w:b/>
          <w:highlight w:val="none"/>
        </w:rPr>
      </w:pPr>
      <w:r>
        <w:rPr>
          <w:rFonts w:hint="eastAsia"/>
          <w:highlight w:val="none"/>
        </w:rPr>
        <w:t xml:space="preserve">   </w:t>
      </w:r>
      <w:r>
        <w:rPr>
          <w:rFonts w:hint="eastAsia" w:ascii="宋体" w:hAnsi="宋体"/>
          <w:highlight w:val="none"/>
        </w:rPr>
        <w:t xml:space="preserve"> </w:t>
      </w:r>
      <w:r>
        <w:rPr>
          <w:rFonts w:hint="eastAsia" w:ascii="宋体" w:hAnsi="宋体"/>
          <w:b/>
          <w:highlight w:val="none"/>
        </w:rPr>
        <w:t>11. 响应文件编制基本要求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11.1供应商对响应文件的编制应按要求装订和封装。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11.2供应商提交的响应文件以及供应商与采购人就本项目采购活动的所有来往函电均应使用中文。供应商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11.3供应商应认真阅读并充分理解本文件的全部内容（包括所有的补充通知和修改内容），承诺并履行本文件中各项条款的规定及要求。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11.4响应文件必须按本文件的全部内容，包括所有的补充通知、修改内容及附件进行编制。</w:t>
      </w:r>
    </w:p>
    <w:p>
      <w:pPr>
        <w:spacing w:line="400" w:lineRule="exact"/>
        <w:ind w:firstLine="480" w:firstLineChars="200"/>
        <w:rPr>
          <w:highlight w:val="none"/>
        </w:rPr>
      </w:pPr>
      <w:r>
        <w:rPr>
          <w:rFonts w:hint="eastAsia" w:ascii="宋体" w:hAnsi="宋体" w:cs="宋体"/>
          <w:sz w:val="24"/>
          <w:highlight w:val="none"/>
        </w:rPr>
        <w:t>11.5如因供应商只填写和提供了本文件要求的部分内容和附件，而给评审造成困难，其可能导致的结果和责任由供应商自行承担。</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12.响应文件的语言及计量</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12.1响应文件以及供应商与采购人就有关采购事宜的所有来往函电，均应以中文汉语书写。除签名、盖章、专用名称等特殊情形外，以中文汉语以外的文字表述的响应文件视同未提供。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13.报价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13.1报价应按采购文件中相关附表格式填写。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▲13.3响应文件只允许有一个报价，有选择的或有条件的报价将不予接受。</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13.4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供应商原因引起的报价失误，并在评审时被接受，其后果由供应商自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13.5供应商报价应包含货物、随配附件、备品备件、工具、货物运抵指定交货地点的各种费用和售后服务、税金及其它所有成本费用的总和。供应商以明显低于行业平均水平的价格报价的，应当在响应文件中主动提交相关说明及证据。评审小组认为供应商报价明显低于其他报价，可能影响服务质量或履约的，可以要求供应商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四、响应文件的递交</w:t>
      </w:r>
    </w:p>
    <w:p>
      <w:pPr>
        <w:spacing w:line="400" w:lineRule="exact"/>
        <w:ind w:firstLine="481" w:firstLineChars="200"/>
        <w:outlineLvl w:val="2"/>
        <w:rPr>
          <w:rFonts w:ascii="宋体" w:hAnsi="宋体" w:cs="宋体"/>
          <w:b/>
          <w:sz w:val="24"/>
          <w:highlight w:val="none"/>
        </w:rPr>
      </w:pPr>
      <w:r>
        <w:rPr>
          <w:rFonts w:ascii="宋体" w:hAnsi="宋体" w:cs="宋体"/>
          <w:b/>
          <w:sz w:val="24"/>
          <w:highlight w:val="none"/>
        </w:rPr>
        <w:t>14</w:t>
      </w:r>
      <w:r>
        <w:rPr>
          <w:rFonts w:hint="eastAsia" w:ascii="宋体" w:hAnsi="宋体" w:cs="宋体"/>
          <w:b/>
          <w:sz w:val="24"/>
          <w:highlight w:val="none"/>
        </w:rPr>
        <w:t>.响应文件的递交</w:t>
      </w:r>
    </w:p>
    <w:p>
      <w:pPr>
        <w:spacing w:line="400" w:lineRule="exact"/>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.1所有响应文件须按采购公告规定的时间前递交到指定地点。</w:t>
      </w:r>
    </w:p>
    <w:p>
      <w:pPr>
        <w:spacing w:line="400" w:lineRule="exact"/>
        <w:ind w:firstLine="481" w:firstLineChars="200"/>
        <w:outlineLvl w:val="2"/>
        <w:rPr>
          <w:rFonts w:ascii="宋体" w:hAnsi="宋体" w:cs="宋体"/>
          <w:b/>
          <w:sz w:val="24"/>
          <w:highlight w:val="none"/>
        </w:rPr>
      </w:pPr>
      <w:r>
        <w:rPr>
          <w:rFonts w:ascii="宋体" w:hAnsi="宋体" w:cs="宋体"/>
          <w:b/>
          <w:sz w:val="24"/>
          <w:highlight w:val="none"/>
        </w:rPr>
        <w:t>15</w:t>
      </w:r>
      <w:r>
        <w:rPr>
          <w:rFonts w:hint="eastAsia" w:ascii="宋体" w:hAnsi="宋体" w:cs="宋体"/>
          <w:b/>
          <w:sz w:val="24"/>
          <w:highlight w:val="none"/>
        </w:rPr>
        <w:t>.迟交的响应文件</w:t>
      </w:r>
    </w:p>
    <w:p>
      <w:pPr>
        <w:spacing w:line="400" w:lineRule="exact"/>
        <w:ind w:firstLine="480" w:firstLineChars="200"/>
        <w:rPr>
          <w:highlight w:val="none"/>
        </w:rPr>
      </w:pPr>
      <w:r>
        <w:rPr>
          <w:rFonts w:hint="eastAsia" w:ascii="宋体" w:hAnsi="宋体" w:cs="宋体"/>
          <w:sz w:val="24"/>
          <w:highlight w:val="none"/>
        </w:rPr>
        <w:t>按《中华人民共和国政府采购法》的规定，采购人将拒绝或原封退回在其规定的递交响应文件截止时间之后收到的任何响应文件。</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五、项目评审</w:t>
      </w:r>
    </w:p>
    <w:p>
      <w:pPr>
        <w:spacing w:line="400" w:lineRule="exact"/>
        <w:ind w:firstLine="481" w:firstLineChars="200"/>
        <w:outlineLvl w:val="2"/>
        <w:rPr>
          <w:rFonts w:ascii="宋体" w:hAnsi="宋体" w:cs="宋体"/>
          <w:b/>
          <w:sz w:val="24"/>
          <w:highlight w:val="none"/>
        </w:rPr>
      </w:pPr>
      <w:bookmarkStart w:id="2" w:name="_Toc304876596"/>
      <w:r>
        <w:rPr>
          <w:rFonts w:ascii="宋体" w:hAnsi="宋体" w:cs="宋体"/>
          <w:b/>
          <w:sz w:val="24"/>
          <w:highlight w:val="none"/>
        </w:rPr>
        <w:t>16</w:t>
      </w:r>
      <w:r>
        <w:rPr>
          <w:rFonts w:hint="eastAsia" w:ascii="宋体" w:hAnsi="宋体" w:cs="宋体"/>
          <w:b/>
          <w:sz w:val="24"/>
          <w:highlight w:val="none"/>
        </w:rPr>
        <w:t>.报价无效的情形</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实质上没有响应采购文件要求的将被视为无效报价。供应商不得通过修正或撤销不合要求的偏离或保留从而使其报价成为实质上响应的报价，但经评审小组认定属于供应商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供应商修改、补正响应文件后，不影响评审小组对其响应文件所作的评价和评分结果。</w:t>
      </w:r>
    </w:p>
    <w:p>
      <w:pPr>
        <w:spacing w:line="400" w:lineRule="exact"/>
        <w:ind w:firstLine="480" w:firstLineChars="200"/>
        <w:rPr>
          <w:rFonts w:ascii="宋体" w:hAnsi="宋体" w:cs="宋体"/>
          <w:sz w:val="24"/>
          <w:highlight w:val="none"/>
        </w:rPr>
      </w:pPr>
      <w:r>
        <w:rPr>
          <w:rFonts w:ascii="宋体" w:hAnsi="宋体" w:cs="宋体"/>
          <w:sz w:val="24"/>
          <w:highlight w:val="none"/>
        </w:rPr>
        <w:t>16</w:t>
      </w:r>
      <w:r>
        <w:rPr>
          <w:rFonts w:hint="eastAsia" w:ascii="宋体" w:hAnsi="宋体" w:cs="宋体"/>
          <w:sz w:val="24"/>
          <w:highlight w:val="none"/>
        </w:rPr>
        <w:t>.1在资格和符合性审查时，如发现下列情形之一的，响应文件将被视为无效：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（1）超越了按照法律法规规定必须获得行政许可或者行政审批的经营范围的；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（2）资格证明文件不全的，或者不符合采购文件标明的资格要求的；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（4）未按采购文件规定要求密封、签署、盖章的；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（6）项目不齐全或者内容虚假的；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（8）未实质性响应采购文件标“▲”条款要求或响应情况与事实不符的；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（9）服务期、质保期等商务条款不能满足采购文件要求的；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（10）响应文件有采购人不能接受的附加条件的。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6.2在技术评审时，如发现下列情形之一的，响应文件将被视为无效：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（3）与其他参加本次报价的供应商的响应文件（技术文件）的差错相同二处以上的。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6.3在报价评审时，如发现下列情形之一的，响应文件将被视为无效：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（1）未采用人民币报价或者未按照采购文件标明的币种报价的；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（2）最终报价超出最高限价，或者超出采购预算金额，采购人不能支付的；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（3）报价具有选择性，或者开标价格与响应文件承诺的优惠（折扣）价格不一致的；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（4）供应商未就全部内容作完整唯一报价的，或有漏项报价的或有选择的或有条件的报价的。</w:t>
      </w:r>
    </w:p>
    <w:bookmarkEnd w:id="2"/>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六、其他事项</w:t>
      </w:r>
    </w:p>
    <w:p>
      <w:pPr>
        <w:pStyle w:val="15"/>
        <w:spacing w:line="400" w:lineRule="exact"/>
        <w:ind w:firstLine="420"/>
        <w:outlineLvl w:val="2"/>
        <w:rPr>
          <w:rFonts w:hAnsi="宋体" w:cs="宋体"/>
          <w:b/>
          <w:sz w:val="24"/>
          <w:szCs w:val="24"/>
          <w:highlight w:val="none"/>
        </w:rPr>
      </w:pPr>
      <w:r>
        <w:rPr>
          <w:rFonts w:hAnsi="宋体" w:cs="宋体"/>
          <w:b/>
          <w:sz w:val="24"/>
          <w:szCs w:val="24"/>
          <w:highlight w:val="none"/>
        </w:rPr>
        <w:t>1</w:t>
      </w:r>
      <w:r>
        <w:rPr>
          <w:rFonts w:hint="eastAsia" w:hAnsi="宋体" w:cs="宋体"/>
          <w:b/>
          <w:sz w:val="24"/>
          <w:szCs w:val="24"/>
          <w:highlight w:val="none"/>
        </w:rPr>
        <w:t>7.适用法律</w:t>
      </w:r>
    </w:p>
    <w:p>
      <w:pPr>
        <w:pStyle w:val="15"/>
        <w:spacing w:line="400" w:lineRule="exact"/>
        <w:ind w:firstLine="420"/>
        <w:rPr>
          <w:rFonts w:hAnsi="宋体" w:cs="宋体"/>
          <w:sz w:val="24"/>
          <w:szCs w:val="24"/>
          <w:highlight w:val="none"/>
        </w:rPr>
      </w:pPr>
      <w:r>
        <w:rPr>
          <w:rFonts w:hAnsi="宋体" w:cs="宋体"/>
          <w:b/>
          <w:sz w:val="24"/>
          <w:szCs w:val="24"/>
          <w:highlight w:val="none"/>
        </w:rPr>
        <w:t>1</w:t>
      </w:r>
      <w:r>
        <w:rPr>
          <w:rFonts w:hint="eastAsia" w:hAnsi="宋体" w:cs="宋体"/>
          <w:b/>
          <w:sz w:val="24"/>
          <w:szCs w:val="24"/>
          <w:highlight w:val="none"/>
        </w:rPr>
        <w:t>7.1</w:t>
      </w:r>
      <w:r>
        <w:rPr>
          <w:rFonts w:hint="eastAsia" w:hAnsi="宋体" w:cs="宋体"/>
          <w:sz w:val="24"/>
          <w:szCs w:val="24"/>
          <w:highlight w:val="none"/>
        </w:rPr>
        <w:t>采购当事人的一切活动均适用于《中华人民共和国政府采购法》及相关规定。</w:t>
      </w:r>
    </w:p>
    <w:p>
      <w:pPr>
        <w:pStyle w:val="15"/>
        <w:snapToGrid w:val="0"/>
        <w:spacing w:line="400" w:lineRule="exact"/>
        <w:jc w:val="center"/>
        <w:outlineLvl w:val="0"/>
        <w:rPr>
          <w:rFonts w:hAnsi="宋体"/>
          <w:b/>
          <w:sz w:val="32"/>
          <w:szCs w:val="32"/>
          <w:highlight w:val="none"/>
        </w:rPr>
      </w:pPr>
      <w:r>
        <w:rPr>
          <w:rFonts w:hint="eastAsia" w:hAnsi="宋体"/>
          <w:b/>
          <w:sz w:val="28"/>
          <w:szCs w:val="32"/>
          <w:highlight w:val="none"/>
        </w:rPr>
        <w:br w:type="textWrapping"/>
      </w:r>
      <w:r>
        <w:rPr>
          <w:rFonts w:hint="eastAsia" w:hAnsi="宋体"/>
          <w:b/>
          <w:sz w:val="28"/>
          <w:szCs w:val="32"/>
          <w:highlight w:val="none"/>
        </w:rPr>
        <w:br w:type="page"/>
      </w:r>
      <w:r>
        <w:rPr>
          <w:rFonts w:hint="eastAsia" w:hAnsi="宋体"/>
          <w:b/>
          <w:sz w:val="28"/>
          <w:szCs w:val="32"/>
          <w:highlight w:val="none"/>
        </w:rPr>
        <w:t>第三章 服务需求及说明</w:t>
      </w:r>
    </w:p>
    <w:p>
      <w:pPr>
        <w:pStyle w:val="15"/>
        <w:spacing w:line="400" w:lineRule="exact"/>
        <w:ind w:firstLine="420"/>
        <w:outlineLvl w:val="1"/>
        <w:rPr>
          <w:rFonts w:hAnsi="宋体" w:cs="宋体"/>
          <w:sz w:val="24"/>
          <w:szCs w:val="24"/>
          <w:highlight w:val="none"/>
        </w:rPr>
      </w:pPr>
      <w:r>
        <w:rPr>
          <w:rFonts w:hAnsi="宋体" w:cs="宋体"/>
          <w:sz w:val="24"/>
          <w:szCs w:val="24"/>
          <w:highlight w:val="none"/>
        </w:rPr>
        <w:t>一、说明：</w:t>
      </w:r>
    </w:p>
    <w:p>
      <w:pPr>
        <w:pStyle w:val="15"/>
        <w:spacing w:line="400" w:lineRule="exact"/>
        <w:ind w:firstLine="420"/>
        <w:rPr>
          <w:rFonts w:hAnsi="宋体" w:cs="宋体"/>
          <w:sz w:val="24"/>
          <w:szCs w:val="24"/>
          <w:highlight w:val="none"/>
        </w:rPr>
      </w:pPr>
      <w:r>
        <w:rPr>
          <w:rFonts w:hAnsi="宋体" w:cs="宋体"/>
          <w:sz w:val="24"/>
          <w:szCs w:val="24"/>
          <w:highlight w:val="none"/>
        </w:rPr>
        <w:t>1.标“▲”为实质性参数要求和条件，</w:t>
      </w:r>
      <w:r>
        <w:rPr>
          <w:rFonts w:hint="eastAsia" w:hAnsi="宋体" w:cs="宋体"/>
          <w:sz w:val="24"/>
          <w:szCs w:val="24"/>
          <w:highlight w:val="none"/>
        </w:rPr>
        <w:t>供应商</w:t>
      </w:r>
      <w:r>
        <w:rPr>
          <w:rFonts w:hAnsi="宋体" w:cs="宋体"/>
          <w:sz w:val="24"/>
          <w:szCs w:val="24"/>
          <w:highlight w:val="none"/>
        </w:rPr>
        <w:t>必须满足并在响应文件中如实作出响应，否则</w:t>
      </w:r>
      <w:r>
        <w:rPr>
          <w:rFonts w:hint="eastAsia" w:hAnsi="宋体" w:cs="宋体"/>
          <w:sz w:val="24"/>
          <w:szCs w:val="24"/>
          <w:highlight w:val="none"/>
        </w:rPr>
        <w:t>视为</w:t>
      </w:r>
      <w:r>
        <w:rPr>
          <w:rFonts w:hAnsi="宋体" w:cs="宋体"/>
          <w:sz w:val="24"/>
          <w:szCs w:val="24"/>
          <w:highlight w:val="none"/>
        </w:rPr>
        <w:t>无效。</w:t>
      </w:r>
    </w:p>
    <w:p>
      <w:pPr>
        <w:pStyle w:val="15"/>
        <w:spacing w:line="400" w:lineRule="exact"/>
        <w:ind w:firstLine="420"/>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供应商</w:t>
      </w:r>
      <w:r>
        <w:rPr>
          <w:rFonts w:hAnsi="宋体" w:cs="宋体"/>
          <w:sz w:val="24"/>
          <w:szCs w:val="24"/>
          <w:highlight w:val="none"/>
        </w:rPr>
        <w:t>应在响应文件中对项目要求及技术需求、</w:t>
      </w:r>
      <w:r>
        <w:rPr>
          <w:rFonts w:hint="eastAsia" w:hAnsi="宋体" w:cs="宋体"/>
          <w:sz w:val="24"/>
          <w:szCs w:val="24"/>
          <w:highlight w:val="none"/>
        </w:rPr>
        <w:t>采购</w:t>
      </w:r>
      <w:r>
        <w:rPr>
          <w:rFonts w:hAnsi="宋体" w:cs="宋体"/>
          <w:sz w:val="24"/>
          <w:szCs w:val="24"/>
          <w:highlight w:val="none"/>
        </w:rPr>
        <w:t>要求、商务要求及附件内容（如有）中所有内容逐条响应并一一对应。</w:t>
      </w:r>
    </w:p>
    <w:p>
      <w:pPr>
        <w:pStyle w:val="15"/>
        <w:spacing w:line="400" w:lineRule="exact"/>
        <w:ind w:firstLine="420"/>
        <w:outlineLvl w:val="1"/>
        <w:rPr>
          <w:rFonts w:hAnsi="宋体" w:cs="宋体"/>
          <w:sz w:val="24"/>
          <w:szCs w:val="24"/>
          <w:highlight w:val="none"/>
        </w:rPr>
      </w:pPr>
      <w:r>
        <w:rPr>
          <w:rFonts w:hAnsi="宋体" w:cs="宋体"/>
          <w:sz w:val="24"/>
          <w:szCs w:val="24"/>
          <w:highlight w:val="none"/>
        </w:rPr>
        <w:t>二、采购内容：</w:t>
      </w:r>
    </w:p>
    <w:tbl>
      <w:tblPr>
        <w:tblStyle w:val="34"/>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72"/>
        <w:gridCol w:w="520"/>
        <w:gridCol w:w="1107"/>
        <w:gridCol w:w="1090"/>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54" w:type="dxa"/>
            <w:gridSpan w:val="6"/>
            <w:vAlign w:val="center"/>
          </w:tcPr>
          <w:p>
            <w:pPr>
              <w:spacing w:line="400" w:lineRule="exact"/>
              <w:rPr>
                <w:rFonts w:ascii="仿宋_GB2312" w:eastAsia="仿宋_GB2312"/>
                <w:b/>
                <w:sz w:val="24"/>
                <w:highlight w:val="none"/>
              </w:rPr>
            </w:pPr>
            <w:r>
              <w:rPr>
                <w:rFonts w:hint="eastAsia" w:ascii="仿宋_GB2312" w:eastAsia="仿宋_GB2312"/>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2" w:type="dxa"/>
            <w:vAlign w:val="center"/>
          </w:tcPr>
          <w:p>
            <w:pPr>
              <w:spacing w:line="400" w:lineRule="exact"/>
              <w:jc w:val="center"/>
              <w:rPr>
                <w:rFonts w:ascii="仿宋_GB2312" w:eastAsia="仿宋_GB2312"/>
                <w:sz w:val="24"/>
                <w:highlight w:val="none"/>
              </w:rPr>
            </w:pPr>
            <w:r>
              <w:rPr>
                <w:rFonts w:hint="eastAsia" w:ascii="仿宋_GB2312" w:eastAsia="仿宋_GB2312"/>
                <w:sz w:val="24"/>
                <w:highlight w:val="none"/>
              </w:rPr>
              <w:t>项号</w:t>
            </w:r>
          </w:p>
        </w:tc>
        <w:tc>
          <w:tcPr>
            <w:tcW w:w="1192" w:type="dxa"/>
            <w:gridSpan w:val="2"/>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项目名称</w:t>
            </w:r>
          </w:p>
        </w:tc>
        <w:tc>
          <w:tcPr>
            <w:tcW w:w="1107" w:type="dxa"/>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数量</w:t>
            </w:r>
          </w:p>
        </w:tc>
        <w:tc>
          <w:tcPr>
            <w:tcW w:w="1090" w:type="dxa"/>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单位</w:t>
            </w:r>
          </w:p>
        </w:tc>
        <w:tc>
          <w:tcPr>
            <w:tcW w:w="5943" w:type="dxa"/>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2" w:type="dxa"/>
            <w:vAlign w:val="center"/>
          </w:tcPr>
          <w:p>
            <w:pPr>
              <w:spacing w:line="400" w:lineRule="exact"/>
              <w:jc w:val="center"/>
              <w:rPr>
                <w:rFonts w:ascii="仿宋_GB2312" w:eastAsia="仿宋_GB2312"/>
                <w:sz w:val="24"/>
                <w:highlight w:val="none"/>
              </w:rPr>
            </w:pPr>
            <w:r>
              <w:rPr>
                <w:rFonts w:hint="eastAsia" w:ascii="仿宋_GB2312" w:eastAsia="仿宋_GB2312"/>
                <w:sz w:val="24"/>
                <w:highlight w:val="none"/>
              </w:rPr>
              <w:t>1</w:t>
            </w:r>
          </w:p>
        </w:tc>
        <w:tc>
          <w:tcPr>
            <w:tcW w:w="1192" w:type="dxa"/>
            <w:gridSpan w:val="2"/>
            <w:vAlign w:val="center"/>
          </w:tcPr>
          <w:p>
            <w:pPr>
              <w:spacing w:line="400" w:lineRule="exact"/>
              <w:jc w:val="left"/>
              <w:rPr>
                <w:rFonts w:ascii="仿宋_GB2312" w:eastAsia="仿宋_GB2312"/>
                <w:color w:val="000000" w:themeColor="text1"/>
                <w:kern w:val="0"/>
                <w:sz w:val="24"/>
                <w:highlight w:val="none"/>
                <w:lang w:val="en"/>
                <w14:textFill>
                  <w14:solidFill>
                    <w14:schemeClr w14:val="tx1"/>
                  </w14:solidFill>
                </w14:textFill>
              </w:rPr>
            </w:pPr>
            <w:bookmarkStart w:id="31" w:name="_GoBack"/>
            <w:r>
              <w:rPr>
                <w:rFonts w:hint="eastAsia" w:ascii="仿宋_GB2312" w:eastAsia="仿宋_GB2312"/>
                <w:color w:val="000000" w:themeColor="text1"/>
                <w:kern w:val="0"/>
                <w:sz w:val="24"/>
                <w:highlight w:val="none"/>
                <w:lang w:val="en"/>
                <w14:textFill>
                  <w14:solidFill>
                    <w14:schemeClr w14:val="tx1"/>
                  </w14:solidFill>
                </w14:textFill>
              </w:rPr>
              <w:t>广西自治区级公共安全视频监控建设联网应用项目第一批变更设备</w:t>
            </w:r>
            <w:bookmarkEnd w:id="31"/>
          </w:p>
        </w:tc>
        <w:tc>
          <w:tcPr>
            <w:tcW w:w="1107" w:type="dxa"/>
            <w:vAlign w:val="center"/>
          </w:tcPr>
          <w:p>
            <w:pPr>
              <w:spacing w:line="400" w:lineRule="exact"/>
              <w:jc w:val="center"/>
              <w:rPr>
                <w:rFonts w:ascii="仿宋_GB2312" w:eastAsia="仿宋_GB2312"/>
                <w:color w:val="000000" w:themeColor="text1"/>
                <w:kern w:val="0"/>
                <w:sz w:val="24"/>
                <w:highlight w:val="none"/>
                <w14:textFill>
                  <w14:solidFill>
                    <w14:schemeClr w14:val="tx1"/>
                  </w14:solidFill>
                </w14:textFill>
              </w:rPr>
            </w:pPr>
            <w:r>
              <w:rPr>
                <w:rFonts w:hint="eastAsia" w:ascii="仿宋_GB2312" w:eastAsia="仿宋_GB2312"/>
                <w:color w:val="000000" w:themeColor="text1"/>
                <w:kern w:val="0"/>
                <w:sz w:val="24"/>
                <w:highlight w:val="none"/>
                <w14:textFill>
                  <w14:solidFill>
                    <w14:schemeClr w14:val="tx1"/>
                  </w14:solidFill>
                </w14:textFill>
              </w:rPr>
              <w:t>1</w:t>
            </w:r>
          </w:p>
        </w:tc>
        <w:tc>
          <w:tcPr>
            <w:tcW w:w="1090" w:type="dxa"/>
            <w:vAlign w:val="center"/>
          </w:tcPr>
          <w:p>
            <w:pPr>
              <w:spacing w:line="400" w:lineRule="exact"/>
              <w:jc w:val="center"/>
              <w:rPr>
                <w:rFonts w:ascii="仿宋_GB2312" w:eastAsia="仿宋_GB2312"/>
                <w:color w:val="000000" w:themeColor="text1"/>
                <w:kern w:val="0"/>
                <w:sz w:val="24"/>
                <w:highlight w:val="none"/>
                <w14:textFill>
                  <w14:solidFill>
                    <w14:schemeClr w14:val="tx1"/>
                  </w14:solidFill>
                </w14:textFill>
              </w:rPr>
            </w:pPr>
            <w:r>
              <w:rPr>
                <w:rFonts w:hint="eastAsia" w:ascii="仿宋_GB2312" w:eastAsia="仿宋_GB2312"/>
                <w:color w:val="000000" w:themeColor="text1"/>
                <w:kern w:val="0"/>
                <w:sz w:val="24"/>
                <w:highlight w:val="none"/>
                <w14:textFill>
                  <w14:solidFill>
                    <w14:schemeClr w14:val="tx1"/>
                  </w14:solidFill>
                </w14:textFill>
              </w:rPr>
              <w:t>项</w:t>
            </w:r>
          </w:p>
        </w:tc>
        <w:tc>
          <w:tcPr>
            <w:tcW w:w="5943" w:type="dxa"/>
            <w:vAlign w:val="center"/>
          </w:tcPr>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一、项目背景</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广西自治区级公共安全视频监控建设联网应用项目（以下简称“雪亮工程”项目）因项目实际建设情况发生变化，需要开展变更设备采购，用于满足雪亮工程项目实际需要。</w:t>
            </w:r>
          </w:p>
          <w:p>
            <w:pPr>
              <w:pStyle w:val="36"/>
              <w:rPr>
                <w:sz w:val="22"/>
                <w:szCs w:val="22"/>
                <w:highlight w:val="none"/>
              </w:rPr>
            </w:pP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二、采购内容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（一）采购设备</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1.核心交换机1台</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2.接入交换机1台</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3.万兆光口交换机2台</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4.堆叠线缆4根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5.万兆多模光纤跳线（3米）8对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6.万兆多模光纤跳线（10米）16对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7.万兆光模块54个</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以上设备参数见附件1设备清单</w:t>
            </w:r>
          </w:p>
          <w:p>
            <w:pPr>
              <w:pStyle w:val="36"/>
              <w:rPr>
                <w:sz w:val="22"/>
                <w:szCs w:val="22"/>
                <w:highlight w:val="none"/>
              </w:rPr>
            </w:pP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（二）服务内容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1.供应商应组建专业的实施团队帮助采购人完成采购设备的调试和安装；</w:t>
            </w:r>
          </w:p>
          <w:p>
            <w:pPr>
              <w:spacing w:after="5"/>
              <w:ind w:firstLine="44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2.供应商应配合采购人和雪亮工程项目承建方完成涉及到本次项目内采购的设备的实施和调整，推进雪亮工程项目建设。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54" w:type="dxa"/>
            <w:gridSpan w:val="6"/>
            <w:vAlign w:val="center"/>
          </w:tcPr>
          <w:p>
            <w:pPr>
              <w:spacing w:line="400" w:lineRule="exact"/>
              <w:rPr>
                <w:rFonts w:ascii="仿宋_GB2312" w:eastAsia="仿宋_GB2312"/>
                <w:b/>
                <w:kern w:val="0"/>
                <w:sz w:val="24"/>
                <w:highlight w:val="none"/>
              </w:rPr>
            </w:pPr>
            <w:bookmarkStart w:id="3" w:name="_Toc254970689"/>
            <w:bookmarkStart w:id="4" w:name="_Toc254970548"/>
            <w:r>
              <w:rPr>
                <w:rFonts w:hint="eastAsia" w:ascii="仿宋_GB2312" w:eastAsia="仿宋_GB2312"/>
                <w:b/>
                <w:kern w:val="0"/>
                <w:sz w:val="24"/>
                <w:highlight w:val="none"/>
              </w:rPr>
              <w:t>（二）</w:t>
            </w:r>
            <w:r>
              <w:rPr>
                <w:rFonts w:hint="eastAsia" w:ascii="仿宋_GB2312" w:eastAsia="仿宋_GB2312"/>
                <w:b/>
                <w:sz w:val="24"/>
                <w:highlight w:val="none"/>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jc w:val="center"/>
              <w:rPr>
                <w:rFonts w:ascii="仿宋_GB2312" w:eastAsia="仿宋_GB2312"/>
                <w:sz w:val="24"/>
                <w:highlight w:val="none"/>
              </w:rPr>
            </w:pPr>
            <w:r>
              <w:rPr>
                <w:rFonts w:hint="eastAsia" w:ascii="仿宋_GB2312" w:eastAsia="仿宋_GB2312"/>
                <w:b/>
                <w:sz w:val="24"/>
                <w:highlight w:val="none"/>
              </w:rPr>
              <w:t>▲</w:t>
            </w:r>
            <w:r>
              <w:rPr>
                <w:rFonts w:hint="eastAsia" w:ascii="仿宋_GB2312" w:eastAsia="仿宋_GB2312"/>
                <w:sz w:val="24"/>
                <w:highlight w:val="none"/>
              </w:rPr>
              <w:t>报价要求</w:t>
            </w:r>
          </w:p>
        </w:tc>
        <w:tc>
          <w:tcPr>
            <w:tcW w:w="8660" w:type="dxa"/>
            <w:gridSpan w:val="4"/>
            <w:vAlign w:val="center"/>
          </w:tcPr>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本项目报价为完成采购人指定内容的整体包干价，包含但不限于实施和完成本项目全部工作所需的劳务费、技术服务费、评审费、交通、通讯、保险、税费和利润等项目有关一切费用。</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供应商的报价≤采购预算（人民币</w:t>
            </w:r>
            <w:r>
              <w:rPr>
                <w:rFonts w:hint="eastAsia" w:ascii="仿宋" w:hAnsi="仿宋" w:eastAsia="仿宋" w:cs="仿宋"/>
                <w:color w:val="000000" w:themeColor="text1"/>
                <w:sz w:val="24"/>
                <w:szCs w:val="24"/>
                <w:highlight w:val="none"/>
                <w14:textFill>
                  <w14:solidFill>
                    <w14:schemeClr w14:val="tx1"/>
                  </w14:solidFill>
                </w14:textFill>
              </w:rPr>
              <w:t>179,921.00</w:t>
            </w:r>
            <w:r>
              <w:rPr>
                <w:rFonts w:hint="eastAsia" w:ascii="仿宋" w:hAnsi="仿宋" w:eastAsia="仿宋" w:cs="仿宋"/>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eastAsia="仿宋_GB2312"/>
                <w:sz w:val="24"/>
                <w:highlight w:val="none"/>
              </w:rPr>
            </w:pPr>
            <w:r>
              <w:rPr>
                <w:rFonts w:hint="eastAsia" w:ascii="仿宋_GB2312" w:hAnsi="仿宋_GB2312" w:eastAsia="仿宋_GB2312" w:cs="仿宋_GB2312"/>
                <w:bCs/>
                <w:kern w:val="0"/>
                <w:sz w:val="24"/>
                <w:highlight w:val="none"/>
              </w:rPr>
              <w:t>▲维保期</w:t>
            </w:r>
          </w:p>
        </w:tc>
        <w:tc>
          <w:tcPr>
            <w:tcW w:w="8660" w:type="dxa"/>
            <w:gridSpan w:val="4"/>
            <w:vAlign w:val="center"/>
          </w:tcPr>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设备维保期：提供原厂三年售后服务，售后维护服务含软硬件维护。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hAnsi="仿宋_GB2312" w:eastAsia="仿宋_GB2312" w:cs="仿宋_GB2312"/>
                <w:bCs/>
                <w:kern w:val="0"/>
                <w:sz w:val="24"/>
                <w:highlight w:val="none"/>
              </w:rPr>
            </w:pPr>
            <w:r>
              <w:rPr>
                <w:rFonts w:hAnsi="宋体" w:cs="宋体"/>
                <w:sz w:val="24"/>
                <w:highlight w:val="none"/>
              </w:rPr>
              <w:t>▲</w:t>
            </w:r>
            <w:r>
              <w:rPr>
                <w:rFonts w:hint="eastAsia" w:ascii="宋体" w:hAnsi="宋体" w:cs="宋体"/>
                <w:color w:val="000000"/>
                <w:kern w:val="0"/>
                <w:sz w:val="24"/>
                <w:highlight w:val="none"/>
              </w:rPr>
              <w:t>提交服务成果时间及地点</w:t>
            </w:r>
          </w:p>
        </w:tc>
        <w:tc>
          <w:tcPr>
            <w:tcW w:w="8660" w:type="dxa"/>
            <w:gridSpan w:val="4"/>
            <w:vAlign w:val="center"/>
          </w:tcPr>
          <w:p>
            <w:pPr>
              <w:pStyle w:val="16"/>
              <w:snapToGrid w:val="0"/>
              <w:spacing w:line="400" w:lineRule="exact"/>
              <w:ind w:left="0" w:leftChars="0"/>
              <w:outlineLvl w:val="0"/>
              <w:rPr>
                <w:rFonts w:ascii="仿宋" w:hAnsi="仿宋" w:eastAsia="仿宋" w:cs="仿宋"/>
                <w:color w:val="000000"/>
                <w:kern w:val="0"/>
                <w:sz w:val="24"/>
                <w:highlight w:val="none"/>
              </w:rPr>
            </w:pPr>
            <w:r>
              <w:rPr>
                <w:rFonts w:ascii="仿宋" w:hAnsi="仿宋" w:eastAsia="仿宋" w:cs="仿宋"/>
                <w:color w:val="000000"/>
                <w:kern w:val="0"/>
                <w:sz w:val="24"/>
                <w:highlight w:val="none"/>
              </w:rPr>
              <w:t>1.</w:t>
            </w:r>
            <w:r>
              <w:rPr>
                <w:rFonts w:hint="eastAsia" w:ascii="仿宋" w:hAnsi="仿宋" w:eastAsia="仿宋" w:cs="仿宋"/>
                <w:color w:val="000000"/>
                <w:kern w:val="0"/>
                <w:sz w:val="24"/>
                <w:highlight w:val="none"/>
              </w:rPr>
              <w:t>交付期</w:t>
            </w:r>
            <w:r>
              <w:rPr>
                <w:rFonts w:ascii="仿宋" w:hAnsi="仿宋" w:eastAsia="仿宋" w:cs="仿宋"/>
                <w:color w:val="000000"/>
                <w:kern w:val="0"/>
                <w:sz w:val="24"/>
                <w:highlight w:val="none"/>
              </w:rPr>
              <w:t>:自签订合同之日起30</w:t>
            </w:r>
            <w:r>
              <w:rPr>
                <w:rFonts w:hint="eastAsia" w:ascii="仿宋" w:hAnsi="仿宋" w:eastAsia="仿宋" w:cs="仿宋"/>
                <w:color w:val="000000"/>
                <w:kern w:val="0"/>
                <w:sz w:val="24"/>
                <w:highlight w:val="none"/>
              </w:rPr>
              <w:t>日</w:t>
            </w:r>
            <w:r>
              <w:rPr>
                <w:rFonts w:ascii="仿宋" w:hAnsi="仿宋" w:eastAsia="仿宋" w:cs="仿宋"/>
                <w:color w:val="000000"/>
                <w:kern w:val="0"/>
                <w:sz w:val="24"/>
                <w:highlight w:val="none"/>
              </w:rPr>
              <w:t>(日历日)</w:t>
            </w:r>
            <w:r>
              <w:rPr>
                <w:rFonts w:hint="eastAsia" w:ascii="仿宋" w:hAnsi="仿宋" w:eastAsia="仿宋" w:cs="仿宋"/>
                <w:kern w:val="0"/>
                <w:sz w:val="24"/>
                <w:highlight w:val="none"/>
              </w:rPr>
              <w:t>设备供货及实施</w:t>
            </w:r>
            <w:r>
              <w:rPr>
                <w:rFonts w:hint="eastAsia" w:ascii="仿宋" w:hAnsi="仿宋" w:eastAsia="仿宋" w:cs="仿宋"/>
                <w:color w:val="000000"/>
                <w:kern w:val="0"/>
                <w:sz w:val="24"/>
                <w:highlight w:val="none"/>
              </w:rPr>
              <w:t>；</w:t>
            </w:r>
          </w:p>
          <w:p>
            <w:pPr>
              <w:pStyle w:val="15"/>
              <w:snapToGrid w:val="0"/>
              <w:spacing w:line="400" w:lineRule="exact"/>
              <w:outlineLvl w:val="0"/>
              <w:rPr>
                <w:rFonts w:ascii="仿宋" w:hAnsi="仿宋" w:eastAsia="仿宋" w:cs="仿宋"/>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提交成果地点：采购人指定的</w:t>
            </w:r>
            <w:r>
              <w:rPr>
                <w:rFonts w:hint="eastAsia" w:ascii="仿宋" w:hAnsi="仿宋" w:eastAsia="仿宋" w:cs="仿宋"/>
                <w:sz w:val="24"/>
                <w:szCs w:val="24"/>
                <w:highlight w:val="none"/>
              </w:rPr>
              <w:t>南宁市</w:t>
            </w:r>
            <w:r>
              <w:rPr>
                <w:rFonts w:hint="eastAsia" w:ascii="仿宋" w:hAnsi="仿宋" w:eastAsia="仿宋" w:cs="仿宋"/>
                <w:color w:val="auto"/>
                <w:sz w:val="24"/>
                <w:szCs w:val="24"/>
                <w:highlight w:val="none"/>
              </w:rPr>
              <w:t>内地点。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hAnsi="仿宋_GB2312" w:eastAsia="仿宋_GB2312" w:cs="仿宋_GB2312"/>
                <w:bCs/>
                <w:kern w:val="0"/>
                <w:sz w:val="24"/>
                <w:highlight w:val="none"/>
              </w:rPr>
            </w:pPr>
            <w:r>
              <w:rPr>
                <w:rFonts w:hint="eastAsia" w:ascii="仿宋_GB2312" w:hAnsi="仿宋_GB2312" w:eastAsia="仿宋_GB2312" w:cs="仿宋_GB2312"/>
                <w:bCs/>
                <w:kern w:val="0"/>
                <w:sz w:val="24"/>
                <w:highlight w:val="none"/>
              </w:rPr>
              <w:t>▲转包与分包</w:t>
            </w:r>
          </w:p>
        </w:tc>
        <w:tc>
          <w:tcPr>
            <w:tcW w:w="8660" w:type="dxa"/>
            <w:gridSpan w:val="4"/>
            <w:vAlign w:val="center"/>
          </w:tcPr>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1、本项目不允许转包。</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2、本项目不可以分包。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jc w:val="center"/>
              <w:rPr>
                <w:rFonts w:ascii="仿宋_GB2312" w:hAnsi="仿宋_GB2312" w:eastAsia="仿宋_GB2312" w:cs="仿宋_GB2312"/>
                <w:bCs/>
                <w:kern w:val="0"/>
                <w:sz w:val="24"/>
                <w:highlight w:val="none"/>
              </w:rPr>
            </w:pPr>
            <w:r>
              <w:rPr>
                <w:rFonts w:hint="eastAsia" w:ascii="仿宋" w:hAnsi="仿宋"/>
                <w:kern w:val="0"/>
                <w:szCs w:val="32"/>
                <w:highlight w:val="none"/>
              </w:rPr>
              <w:t>▲</w:t>
            </w:r>
            <w:r>
              <w:rPr>
                <w:rFonts w:hint="eastAsia" w:ascii="仿宋_GB2312" w:hAnsi="仿宋_GB2312" w:eastAsia="仿宋_GB2312" w:cs="仿宋_GB2312"/>
                <w:bCs/>
                <w:kern w:val="0"/>
                <w:sz w:val="24"/>
                <w:highlight w:val="none"/>
              </w:rPr>
              <w:t>付款条件</w:t>
            </w:r>
          </w:p>
        </w:tc>
        <w:tc>
          <w:tcPr>
            <w:tcW w:w="8660" w:type="dxa"/>
            <w:gridSpan w:val="4"/>
            <w:vAlign w:val="center"/>
          </w:tcPr>
          <w:p>
            <w:pPr>
              <w:pStyle w:val="15"/>
              <w:snapToGrid w:val="0"/>
              <w:spacing w:line="400" w:lineRule="exact"/>
              <w:outlineLvl w:val="0"/>
              <w:rPr>
                <w:rFonts w:ascii="仿宋" w:hAnsi="仿宋" w:eastAsia="仿宋" w:cs="仿宋"/>
                <w:highlight w:val="none"/>
              </w:rPr>
            </w:pPr>
            <w:r>
              <w:rPr>
                <w:rFonts w:hint="eastAsia" w:ascii="仿宋" w:hAnsi="仿宋" w:eastAsia="仿宋" w:cs="仿宋"/>
                <w:sz w:val="24"/>
                <w:szCs w:val="24"/>
                <w:highlight w:val="none"/>
              </w:rPr>
              <w:t>采用分期付款方式： 签订合同之日起</w:t>
            </w:r>
            <w:r>
              <w:rPr>
                <w:rFonts w:ascii="仿宋" w:hAnsi="仿宋" w:eastAsia="仿宋" w:cs="仿宋"/>
                <w:sz w:val="24"/>
                <w:szCs w:val="24"/>
                <w:highlight w:val="none"/>
              </w:rPr>
              <w:t>10</w:t>
            </w:r>
            <w:r>
              <w:rPr>
                <w:rFonts w:hint="eastAsia" w:ascii="仿宋" w:hAnsi="仿宋" w:eastAsia="仿宋" w:cs="仿宋"/>
                <w:sz w:val="24"/>
                <w:szCs w:val="24"/>
                <w:highlight w:val="none"/>
              </w:rPr>
              <w:t>个工作日内，成交人提供合规发票和请款函后，采购人向成交人支付50%的合同款项；成交人完成设备供货且实施完成，设备平稳运行，成交人提供合规发票和请款函后，采购人向成交人支付剩余50%的合同款项。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194" w:type="dxa"/>
            <w:gridSpan w:val="2"/>
            <w:vAlign w:val="center"/>
          </w:tcPr>
          <w:p>
            <w:pPr>
              <w:spacing w:line="400" w:lineRule="exact"/>
              <w:jc w:val="center"/>
              <w:rPr>
                <w:rFonts w:ascii="仿宋_GB2312" w:eastAsia="仿宋_GB2312"/>
                <w:b/>
                <w:sz w:val="24"/>
                <w:highlight w:val="none"/>
              </w:rPr>
            </w:pPr>
            <w:r>
              <w:rPr>
                <w:rFonts w:hint="eastAsia" w:ascii="仿宋" w:hAnsi="仿宋"/>
                <w:kern w:val="0"/>
                <w:szCs w:val="32"/>
                <w:highlight w:val="none"/>
              </w:rPr>
              <w:t>▲</w:t>
            </w:r>
            <w:r>
              <w:rPr>
                <w:rFonts w:hint="eastAsia" w:ascii="仿宋_GB2312" w:hAnsi="仿宋_GB2312" w:eastAsia="仿宋_GB2312" w:cs="仿宋_GB2312"/>
                <w:bCs/>
                <w:kern w:val="0"/>
                <w:sz w:val="24"/>
                <w:highlight w:val="none"/>
              </w:rPr>
              <w:t>其他要求</w:t>
            </w:r>
          </w:p>
        </w:tc>
        <w:tc>
          <w:tcPr>
            <w:tcW w:w="8660" w:type="dxa"/>
            <w:gridSpan w:val="4"/>
            <w:vAlign w:val="center"/>
          </w:tcPr>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1.在服务期间，若由于供应商自身技术不足或违规操作等原因造成的数据丢失、设备损坏等，须承担相应的责任。</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2.成交供应商不得以任何形式向第三方人员提供项目相关文件及所附的有关资料，如违反，必须赔偿采购人的所有损失，且采购人保留追究法律责任的权力。</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3.项目实施保密要求，中标方应承诺：</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1）中标方加强内部保密和信息安全管理，因中标方造成的数据泄密、网络与信息安全问题，由中标方承担所有责任。</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2）中标方和采购方签署保密协议,对中标方在项目实施过程中获得的项目相关信息承担保密责任，对项目实施过程中涉及的信息和数据要求进行保护，因中标方造成泄密、网络与信息安全问题的，由中标方承担所有责任。</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3）本项目中所获取的相关信息和产生的报告，必须提供给采购单位指定人员，不得随意扩散。</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4）数据安全及保密要求：中标方在项目服务过程中，必须对本项目所有项目信息以及接触到数据予以保密，未经采购人书面许可，中标方不得以任何形式向第三方透露的关于本项目的任何内容或数据。</w:t>
            </w:r>
          </w:p>
          <w:p>
            <w:pPr>
              <w:pStyle w:val="15"/>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5）中标方若有失密、泄密和其他违法违规行为，中标方承担所有经济、法律责任。</w:t>
            </w:r>
          </w:p>
        </w:tc>
      </w:tr>
      <w:bookmarkEnd w:id="3"/>
      <w:bookmarkEnd w:id="4"/>
    </w:tbl>
    <w:p>
      <w:pPr>
        <w:rPr>
          <w:rFonts w:ascii="宋体" w:hAnsi="宋体" w:cs="宋体"/>
          <w:sz w:val="24"/>
          <w:highlight w:val="none"/>
        </w:rPr>
      </w:pPr>
    </w:p>
    <w:p>
      <w:pPr>
        <w:pStyle w:val="36"/>
        <w:rPr>
          <w:highlight w:val="none"/>
        </w:rPr>
      </w:pPr>
    </w:p>
    <w:p>
      <w:pPr>
        <w:pStyle w:val="2"/>
        <w:rPr>
          <w:sz w:val="28"/>
          <w:szCs w:val="36"/>
          <w:highlight w:val="none"/>
        </w:rPr>
      </w:pPr>
      <w:r>
        <w:rPr>
          <w:rFonts w:hint="eastAsia"/>
          <w:sz w:val="28"/>
          <w:szCs w:val="36"/>
          <w:highlight w:val="none"/>
        </w:rPr>
        <w:t>附件1 设备清单</w:t>
      </w:r>
    </w:p>
    <w:tbl>
      <w:tblPr>
        <w:tblStyle w:val="34"/>
        <w:tblW w:w="9923" w:type="dxa"/>
        <w:tblInd w:w="-34" w:type="dxa"/>
        <w:tblLayout w:type="fixed"/>
        <w:tblCellMar>
          <w:top w:w="0" w:type="dxa"/>
          <w:left w:w="108" w:type="dxa"/>
          <w:bottom w:w="0" w:type="dxa"/>
          <w:right w:w="108" w:type="dxa"/>
        </w:tblCellMar>
      </w:tblPr>
      <w:tblGrid>
        <w:gridCol w:w="350"/>
        <w:gridCol w:w="916"/>
        <w:gridCol w:w="6926"/>
        <w:gridCol w:w="600"/>
        <w:gridCol w:w="714"/>
        <w:gridCol w:w="417"/>
      </w:tblGrid>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设备名称</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参数配置</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数量</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单位</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备注</w:t>
            </w: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color w:val="000000"/>
                <w:kern w:val="0"/>
                <w:sz w:val="24"/>
                <w:highlight w:val="none"/>
                <w:lang w:bidi="ar"/>
              </w:rPr>
              <w:t>核心交换机</w:t>
            </w:r>
          </w:p>
        </w:tc>
        <w:tc>
          <w:tcPr>
            <w:tcW w:w="6926"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240" w:lineRule="atLeast"/>
              <w:textAlignment w:val="center"/>
              <w:rPr>
                <w:rFonts w:ascii="仿宋" w:hAnsi="仿宋" w:eastAsia="仿宋" w:cs="仿宋"/>
                <w:highlight w:val="none"/>
              </w:rPr>
            </w:pPr>
            <w:r>
              <w:rPr>
                <w:rFonts w:hint="eastAsia" w:ascii="仿宋" w:hAnsi="仿宋" w:eastAsia="仿宋" w:cs="仿宋"/>
                <w:highlight w:val="none"/>
              </w:rPr>
              <w:t>1.设备高度：标准4U尺寸;</w:t>
            </w:r>
          </w:p>
          <w:p>
            <w:pPr>
              <w:pStyle w:val="36"/>
              <w:spacing w:before="0" w:after="0" w:line="240" w:lineRule="atLeast"/>
              <w:rPr>
                <w:rFonts w:ascii="仿宋" w:hAnsi="仿宋" w:eastAsia="仿宋" w:cs="仿宋"/>
                <w:highlight w:val="none"/>
              </w:rPr>
            </w:pPr>
            <w:r>
              <w:rPr>
                <w:rFonts w:hint="eastAsia" w:ascii="仿宋" w:hAnsi="仿宋" w:eastAsia="仿宋" w:cs="仿宋"/>
                <w:snapToGrid w:val="0"/>
                <w:highlight w:val="none"/>
              </w:rPr>
              <w:t>2.配备以太网交换主机1个，</w:t>
            </w:r>
            <w:r>
              <w:rPr>
                <w:rFonts w:hint="eastAsia" w:ascii="仿宋" w:hAnsi="仿宋" w:eastAsia="仿宋" w:cs="仿宋"/>
                <w:highlight w:val="none"/>
              </w:rPr>
              <w:t>配备主控板卡1个，并且交换机可用千兆电口数量≥70个，可用万兆光口数量≥4个，配备交流电源≥2个</w:t>
            </w:r>
            <w:r>
              <w:rPr>
                <w:rFonts w:hint="eastAsia" w:ascii="仿宋" w:hAnsi="仿宋" w:eastAsia="仿宋" w:cs="仿宋"/>
                <w:b/>
                <w:kern w:val="2"/>
                <w:highlight w:val="none"/>
              </w:rPr>
              <w:t>，</w:t>
            </w:r>
            <w:r>
              <w:rPr>
                <w:rFonts w:hint="eastAsia" w:ascii="仿宋" w:hAnsi="仿宋" w:eastAsia="仿宋" w:cs="仿宋"/>
                <w:highlight w:val="none"/>
              </w:rPr>
              <w:t>交换机需要配备4个-SFP-GE-多模光模块(850nm,0.55km,LC);</w:t>
            </w:r>
          </w:p>
          <w:p>
            <w:pPr>
              <w:pStyle w:val="36"/>
              <w:spacing w:before="0" w:after="0" w:line="240" w:lineRule="atLeast"/>
              <w:rPr>
                <w:rFonts w:ascii="仿宋" w:hAnsi="仿宋" w:eastAsia="仿宋" w:cs="仿宋"/>
                <w:highlight w:val="none"/>
              </w:rPr>
            </w:pPr>
            <w:r>
              <w:rPr>
                <w:rFonts w:hint="eastAsia" w:ascii="仿宋" w:hAnsi="仿宋" w:eastAsia="仿宋" w:cs="仿宋"/>
                <w:snapToGrid w:val="0"/>
                <w:highlight w:val="none"/>
              </w:rPr>
              <w:t>3.交换容量和</w:t>
            </w:r>
            <w:r>
              <w:rPr>
                <w:rFonts w:hint="eastAsia" w:ascii="仿宋" w:hAnsi="仿宋" w:eastAsia="仿宋" w:cs="仿宋"/>
                <w:highlight w:val="none"/>
              </w:rPr>
              <w:t>包转发率：交换容量≥19.2Tbps/48Tbps，包转发率≥2880Mpps/16500Mpps;</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4.槽位数量：槽位数量≥3，业务槽位数量≥3；</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5.冗余设计：电源、主控冗余；</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6.二层特性：支持IEEE 802.1P，IEEE 802.1Q，IEEE 802.1d，IEEE 802.1ad，IEEE 802.3x，IEEE 802.3ad，IEEE 802.3，IEEE 802.3z，IEEE 802.3ae，IEEE 802.3af，IEEE 802.3at；</w:t>
            </w:r>
          </w:p>
          <w:p>
            <w:pPr>
              <w:pStyle w:val="36"/>
              <w:spacing w:before="0" w:after="0" w:line="240" w:lineRule="atLeast"/>
              <w:rPr>
                <w:rFonts w:ascii="仿宋" w:hAnsi="仿宋" w:eastAsia="仿宋" w:cs="仿宋"/>
                <w:highlight w:val="none"/>
              </w:rPr>
            </w:pPr>
            <w:r>
              <w:rPr>
                <w:rFonts w:hint="eastAsia" w:ascii="仿宋" w:hAnsi="仿宋" w:eastAsia="仿宋" w:cs="仿宋"/>
                <w:snapToGrid w:val="0"/>
                <w:highlight w:val="none"/>
              </w:rPr>
              <w:t>7.</w:t>
            </w:r>
            <w:r>
              <w:rPr>
                <w:rFonts w:hint="eastAsia" w:ascii="仿宋" w:hAnsi="仿宋" w:eastAsia="仿宋" w:cs="仿宋"/>
                <w:highlight w:val="none"/>
              </w:rPr>
              <w:t>支持OpenFlow标准；实际具备VxLAN功能；</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8.IPv4路由特性：支持ARP Proxy，支持DHCP Relay，支持DHCP Server，支持静态路由，支持RIPv1/v2，支持OSPFv2，支持IS-IS，支持BGPv4，支持OSPF/IS-IS/BGP GR (Graceful Restart优雅重启)，支持等价路由，支持策略路由，支持路由策略；</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9.IPv6路由特性：支持ICMPv6，支持ICMPv6重定向，支持DHCPv6，支持ACLv6，支持OSPFv3，支持RIPng，支持BGP4+，支持IS-ISv6，支持手工隧道，支持ISATAP，支持6to4隧道，支持IPv6和IPv4双栈。</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10.可靠性：支持主控板1+1冗余备份，支持电源1+1冗余备份，采用无源背板设计，所有单板支持热插拔，支持CPU保护技术，支持+/-8KV防雷，支持VRRP，支持Ethernet OAM，支持MAC Tracert，</w:t>
            </w:r>
          </w:p>
          <w:p>
            <w:pPr>
              <w:pStyle w:val="36"/>
              <w:spacing w:before="0" w:after="0" w:line="240" w:lineRule="atLeast"/>
              <w:rPr>
                <w:rFonts w:ascii="仿宋" w:hAnsi="仿宋" w:eastAsia="仿宋" w:cs="仿宋"/>
                <w:highlight w:val="none"/>
              </w:rPr>
            </w:pPr>
            <w:r>
              <w:rPr>
                <w:rFonts w:hint="eastAsia" w:ascii="仿宋" w:hAnsi="仿宋" w:eastAsia="仿宋" w:cs="仿宋"/>
                <w:highlight w:val="none"/>
              </w:rPr>
              <w:t>11.管理和维护：支持XModem/FTP/TFTP加载升级，支持SNMP，支持RMON（Remote Monitoring）；</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台</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万兆交换机</w:t>
            </w:r>
          </w:p>
        </w:tc>
        <w:tc>
          <w:tcPr>
            <w:tcW w:w="6926" w:type="dxa"/>
            <w:tcBorders>
              <w:top w:val="single" w:color="000000" w:sz="4" w:space="0"/>
              <w:left w:val="single" w:color="000000" w:sz="4" w:space="0"/>
              <w:bottom w:val="single" w:color="000000" w:sz="4" w:space="0"/>
              <w:right w:val="single" w:color="000000" w:sz="4" w:space="0"/>
            </w:tcBorders>
            <w:vAlign w:val="center"/>
          </w:tcPr>
          <w:p>
            <w:pPr>
              <w:pStyle w:val="36"/>
              <w:rPr>
                <w:rFonts w:ascii="仿宋" w:hAnsi="仿宋" w:eastAsia="仿宋" w:cs="仿宋"/>
                <w:highlight w:val="none"/>
              </w:rPr>
            </w:pPr>
            <w:r>
              <w:rPr>
                <w:rFonts w:hint="eastAsia" w:ascii="仿宋" w:hAnsi="仿宋" w:eastAsia="仿宋" w:cs="仿宋"/>
                <w:highlight w:val="none"/>
              </w:rPr>
              <w:t>1.设备高度：标准1U尺寸;</w:t>
            </w:r>
          </w:p>
          <w:p>
            <w:pPr>
              <w:pStyle w:val="36"/>
              <w:rPr>
                <w:rFonts w:ascii="仿宋" w:hAnsi="仿宋" w:eastAsia="仿宋" w:cs="仿宋"/>
                <w:highlight w:val="none"/>
              </w:rPr>
            </w:pPr>
            <w:r>
              <w:rPr>
                <w:rFonts w:hint="eastAsia" w:ascii="仿宋" w:hAnsi="仿宋" w:eastAsia="仿宋" w:cs="仿宋"/>
                <w:highlight w:val="none"/>
              </w:rPr>
              <w:t>2.性能要求：交换容量≥2.56Tbps/25.6Tbps，转发容量≥720Mpps/1260Mpps；</w:t>
            </w:r>
          </w:p>
          <w:p>
            <w:pPr>
              <w:pStyle w:val="36"/>
              <w:rPr>
                <w:rFonts w:ascii="仿宋" w:hAnsi="仿宋" w:eastAsia="仿宋" w:cs="仿宋"/>
                <w:highlight w:val="none"/>
              </w:rPr>
            </w:pPr>
            <w:r>
              <w:rPr>
                <w:rFonts w:hint="eastAsia" w:ascii="仿宋" w:hAnsi="仿宋" w:eastAsia="仿宋" w:cs="仿宋"/>
                <w:highlight w:val="none"/>
              </w:rPr>
              <w:t>3.硬件要求：配备SFP+端口≥24个，QSFP+端口≥2个，console口≥1个，USB接口≥1个，管理用以太网口≥1个，2个扩展插槽，配备一个8端口的1/2.5/5/10G BASE-T以太网电接口模块；</w:t>
            </w:r>
          </w:p>
          <w:p>
            <w:pPr>
              <w:pStyle w:val="36"/>
              <w:rPr>
                <w:rFonts w:ascii="仿宋" w:hAnsi="仿宋" w:eastAsia="仿宋" w:cs="仿宋"/>
                <w:highlight w:val="none"/>
              </w:rPr>
            </w:pPr>
            <w:r>
              <w:rPr>
                <w:rFonts w:hint="eastAsia" w:ascii="仿宋" w:hAnsi="仿宋" w:eastAsia="仿宋" w:cs="仿宋"/>
                <w:highlight w:val="none"/>
              </w:rPr>
              <w:t>4.电源风扇：配备双模块化电源和双模块化风扇，前后或后前通风；</w:t>
            </w:r>
          </w:p>
          <w:p>
            <w:pPr>
              <w:pStyle w:val="36"/>
              <w:rPr>
                <w:rFonts w:ascii="仿宋" w:hAnsi="仿宋" w:eastAsia="仿宋" w:cs="仿宋"/>
                <w:highlight w:val="none"/>
              </w:rPr>
            </w:pPr>
            <w:r>
              <w:rPr>
                <w:rFonts w:hint="eastAsia" w:ascii="仿宋" w:hAnsi="仿宋" w:eastAsia="仿宋" w:cs="仿宋"/>
                <w:highlight w:val="none"/>
              </w:rPr>
              <w:t>5.横向虚拟化：支持IRF2智能弹性架构，支持分布式设备管理，分布式链路聚合，分布式弹性路由，支持通过标准以太网接口进行堆叠，支持本地堆叠和远程堆叠，支持基于LACP、BFD、ARP的MAD堆叠分裂检测机制，最大堆叠9台；</w:t>
            </w:r>
          </w:p>
          <w:p>
            <w:pPr>
              <w:pStyle w:val="36"/>
              <w:rPr>
                <w:rFonts w:ascii="仿宋" w:hAnsi="仿宋" w:eastAsia="仿宋" w:cs="仿宋"/>
                <w:highlight w:val="none"/>
              </w:rPr>
            </w:pPr>
            <w:r>
              <w:rPr>
                <w:rFonts w:hint="eastAsia" w:ascii="仿宋" w:hAnsi="仿宋" w:eastAsia="仿宋" w:cs="仿宋"/>
                <w:highlight w:val="none"/>
              </w:rPr>
              <w:t>6.链路聚合：支持10GE端口聚合，支持40GE端口聚合，支持静态聚合、动态聚合；</w:t>
            </w:r>
          </w:p>
          <w:p>
            <w:pPr>
              <w:pStyle w:val="36"/>
              <w:rPr>
                <w:rFonts w:ascii="仿宋" w:hAnsi="仿宋" w:eastAsia="仿宋" w:cs="仿宋"/>
                <w:highlight w:val="none"/>
              </w:rPr>
            </w:pPr>
            <w:r>
              <w:rPr>
                <w:rFonts w:hint="eastAsia" w:ascii="仿宋" w:hAnsi="仿宋" w:eastAsia="仿宋" w:cs="仿宋"/>
                <w:highlight w:val="none"/>
              </w:rPr>
              <w:t>7.支持OpenFlow标准；实际具备VxLAN功能；</w:t>
            </w:r>
          </w:p>
          <w:p>
            <w:pPr>
              <w:pStyle w:val="36"/>
              <w:rPr>
                <w:rFonts w:ascii="仿宋" w:hAnsi="仿宋" w:eastAsia="仿宋" w:cs="仿宋"/>
                <w:highlight w:val="none"/>
              </w:rPr>
            </w:pPr>
            <w:r>
              <w:rPr>
                <w:rFonts w:hint="eastAsia" w:ascii="仿宋" w:hAnsi="仿宋" w:eastAsia="仿宋" w:cs="仿宋"/>
                <w:highlight w:val="none"/>
              </w:rPr>
              <w:t>8.VLAN功能：支持基于端口的VLAN（至少4094个），支持Default VLAN，支持QINQ，支持灵活QINQ，支持VLAN MAPPING，支持PVST+，支持RPVST+</w:t>
            </w:r>
          </w:p>
          <w:p>
            <w:pPr>
              <w:pStyle w:val="36"/>
              <w:rPr>
                <w:rFonts w:ascii="仿宋" w:hAnsi="仿宋" w:eastAsia="仿宋" w:cs="仿宋"/>
                <w:highlight w:val="none"/>
              </w:rPr>
            </w:pPr>
            <w:r>
              <w:rPr>
                <w:rFonts w:hint="eastAsia" w:ascii="仿宋" w:hAnsi="仿宋" w:eastAsia="仿宋" w:cs="仿宋"/>
                <w:highlight w:val="none"/>
              </w:rPr>
              <w:t>9.双栈路由：支持IPv4和IPv6双栈路由，支持RIP、OSPF、ISIS、BGP等IPv4动态路由协议，支持RIPng、OSPFv3、ISISv6、BGP4+等IPv6动态路由协议；</w:t>
            </w:r>
          </w:p>
          <w:p>
            <w:pPr>
              <w:pStyle w:val="36"/>
              <w:rPr>
                <w:rFonts w:ascii="仿宋" w:hAnsi="仿宋" w:eastAsia="仿宋" w:cs="仿宋"/>
                <w:highlight w:val="none"/>
              </w:rPr>
            </w:pPr>
            <w:r>
              <w:rPr>
                <w:rFonts w:hint="eastAsia" w:ascii="仿宋" w:hAnsi="仿宋" w:eastAsia="仿宋" w:cs="仿宋"/>
                <w:highlight w:val="none"/>
              </w:rPr>
              <w:t>10.组播协议：组播协议，支持IGMP Snooping v2/v3，支持IGMP Snooping Fast-leave，支持IGMP Snooping Group-policy，支持PIM-SM,PIM-DM，PIM-SSM，支持PIM snooping，支持MVRP，支持MFF，支持增强三层组播协议</w:t>
            </w:r>
          </w:p>
          <w:p>
            <w:pPr>
              <w:pStyle w:val="36"/>
              <w:rPr>
                <w:rFonts w:ascii="仿宋" w:hAnsi="仿宋" w:eastAsia="仿宋" w:cs="仿宋"/>
                <w:highlight w:val="none"/>
              </w:rPr>
            </w:pPr>
            <w:r>
              <w:rPr>
                <w:rFonts w:hint="eastAsia" w:ascii="仿宋" w:hAnsi="仿宋" w:eastAsia="仿宋" w:cs="仿宋"/>
                <w:highlight w:val="none"/>
              </w:rPr>
              <w:t>11.QoS/ACL功能:支持对端口接收报文的速率和发送报文的速率进行限制，支持CAR功能，每个端口支持8个输出队列，支持灵活的队列调度算法，可以同时基于端口和队列进行设置，支持SP、WDRR、WRR、WFQ、SP+WDRR等多种模式，支持报文的802.1p和DSCP优先级重新标记，支持L2（Layer 2）~L4（Layer 4）包过滤功能，提供基于源MAC地址、目的MAC地址、源IP(Ipv4/Ipv6)地址、目的IP(Ipv4/Ipv6)地址、端口、协议、VLAN的流分类，支持时间段（Time Range），支持WRED</w:t>
            </w:r>
          </w:p>
          <w:p>
            <w:pPr>
              <w:pStyle w:val="36"/>
              <w:rPr>
                <w:rFonts w:ascii="仿宋" w:hAnsi="仿宋" w:eastAsia="仿宋" w:cs="仿宋"/>
                <w:highlight w:val="none"/>
              </w:rPr>
            </w:pPr>
            <w:r>
              <w:rPr>
                <w:rFonts w:hint="eastAsia" w:ascii="仿宋" w:hAnsi="仿宋" w:eastAsia="仿宋" w:cs="仿宋"/>
                <w:highlight w:val="none"/>
              </w:rPr>
              <w:t>12.安全管理：支持用户分级管理和口令保护，支持集中MAC认证，支持802.1X，支持storm constrain，支持AAA认证，支持RADIUS认证，支持HWTACACS，支持SSH 2.0，支持端口隔离，支持IP+MAC+端口绑定，支持IP Source Guard，支持HTTPs，支持SSL，支持PKI(Public Key Infrastructure，公钥基础设施)，支持CPU防护。</w:t>
            </w:r>
          </w:p>
          <w:p>
            <w:pPr>
              <w:pStyle w:val="36"/>
              <w:rPr>
                <w:rFonts w:ascii="仿宋" w:hAnsi="仿宋" w:eastAsia="仿宋" w:cs="仿宋"/>
                <w:highlight w:val="none"/>
              </w:rPr>
            </w:pPr>
            <w:r>
              <w:rPr>
                <w:rFonts w:hint="eastAsia" w:ascii="仿宋" w:hAnsi="仿宋" w:eastAsia="仿宋" w:cs="仿宋"/>
                <w:highlight w:val="none"/>
              </w:rPr>
              <w:t>13.管理和维护：支持命令行接口（CLI）配置，支持Telnet远程配置，支持NETCONF网络管理协议，支持Python脚本管理运维，支持系统日志Syslog，支持分级告警，支持NTP、PTP，支持电源的告警功能，支持风扇、温度告警，支持调试信息输出，支持Ping、Tracert，支持Track，支持Telnet远程维护，支持USB进行文件上传和下载</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台</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接入交换机</w:t>
            </w:r>
          </w:p>
        </w:tc>
        <w:tc>
          <w:tcPr>
            <w:tcW w:w="6926" w:type="dxa"/>
            <w:tcBorders>
              <w:top w:val="single" w:color="000000" w:sz="4" w:space="0"/>
              <w:left w:val="single" w:color="000000" w:sz="4" w:space="0"/>
              <w:bottom w:val="single" w:color="000000" w:sz="4" w:space="0"/>
              <w:right w:val="single" w:color="000000" w:sz="4" w:space="0"/>
            </w:tcBorders>
            <w:vAlign w:val="center"/>
          </w:tcPr>
          <w:p>
            <w:pPr>
              <w:pStyle w:val="36"/>
              <w:rPr>
                <w:rFonts w:ascii="仿宋" w:hAnsi="仿宋" w:eastAsia="仿宋" w:cs="仿宋"/>
                <w:highlight w:val="none"/>
              </w:rPr>
            </w:pPr>
            <w:r>
              <w:rPr>
                <w:rFonts w:hint="eastAsia" w:ascii="仿宋" w:hAnsi="仿宋" w:eastAsia="仿宋" w:cs="仿宋"/>
                <w:highlight w:val="none"/>
              </w:rPr>
              <w:t>1.机柜高度：标准1U高度</w:t>
            </w:r>
          </w:p>
          <w:p>
            <w:pPr>
              <w:pStyle w:val="36"/>
              <w:rPr>
                <w:rFonts w:ascii="仿宋" w:hAnsi="仿宋" w:eastAsia="仿宋" w:cs="仿宋"/>
                <w:highlight w:val="none"/>
              </w:rPr>
            </w:pPr>
            <w:r>
              <w:rPr>
                <w:rFonts w:hint="eastAsia" w:ascii="仿宋" w:hAnsi="仿宋" w:eastAsia="仿宋" w:cs="仿宋"/>
                <w:highlight w:val="none"/>
              </w:rPr>
              <w:t>2.性能要求：交换容量≧756Gbps/7.56Tbps，包转发率≧222Mpps/396Mpps；</w:t>
            </w:r>
          </w:p>
          <w:p>
            <w:pPr>
              <w:pStyle w:val="36"/>
              <w:rPr>
                <w:rFonts w:ascii="仿宋" w:hAnsi="仿宋" w:eastAsia="仿宋" w:cs="仿宋"/>
                <w:highlight w:val="none"/>
              </w:rPr>
            </w:pPr>
            <w:r>
              <w:rPr>
                <w:rFonts w:hint="eastAsia" w:ascii="仿宋" w:hAnsi="仿宋" w:eastAsia="仿宋" w:cs="仿宋"/>
                <w:highlight w:val="none"/>
              </w:rPr>
              <w:t>3.硬件要求：10/100/1000Base-T自适应以太网端口（其中8个combo口）</w:t>
            </w:r>
            <w:r>
              <w:rPr>
                <w:rFonts w:hint="eastAsia" w:ascii="仿宋" w:hAnsi="仿宋" w:eastAsia="仿宋" w:cs="仿宋"/>
                <w:highlight w:val="none"/>
                <w:lang w:bidi="ar"/>
              </w:rPr>
              <w:t>≧</w:t>
            </w:r>
            <w:r>
              <w:rPr>
                <w:rFonts w:hint="eastAsia" w:ascii="仿宋" w:hAnsi="仿宋" w:eastAsia="仿宋" w:cs="仿宋"/>
                <w:highlight w:val="none"/>
              </w:rPr>
              <w:t>24个，万兆SFP+口≧4个，管理串口≧2个，管理网口≧1个，usb口≧1个，扩展插槽≧1个</w:t>
            </w:r>
          </w:p>
          <w:p>
            <w:pPr>
              <w:pStyle w:val="36"/>
              <w:rPr>
                <w:rFonts w:ascii="仿宋" w:hAnsi="仿宋" w:eastAsia="仿宋" w:cs="仿宋"/>
                <w:highlight w:val="none"/>
              </w:rPr>
            </w:pPr>
            <w:r>
              <w:rPr>
                <w:rFonts w:hint="eastAsia" w:ascii="仿宋" w:hAnsi="仿宋" w:eastAsia="仿宋" w:cs="仿宋"/>
                <w:highlight w:val="none"/>
              </w:rPr>
              <w:t>4.OpenFlow和VxLAN功能：支持OpenFlow和VxLAN功能；</w:t>
            </w:r>
          </w:p>
          <w:p>
            <w:pPr>
              <w:pStyle w:val="36"/>
              <w:rPr>
                <w:rFonts w:ascii="仿宋" w:hAnsi="仿宋" w:eastAsia="仿宋" w:cs="仿宋"/>
                <w:highlight w:val="none"/>
              </w:rPr>
            </w:pPr>
            <w:r>
              <w:rPr>
                <w:rFonts w:hint="eastAsia" w:ascii="仿宋" w:hAnsi="仿宋" w:eastAsia="仿宋" w:cs="仿宋"/>
                <w:highlight w:val="none"/>
              </w:rPr>
              <w:t>6.聚合端口：支持GE端口聚合；支持10GE端口聚合；支持40G聚合；支持静态聚合；支持动态聚合；支持跨设备聚合；</w:t>
            </w:r>
          </w:p>
          <w:p>
            <w:pPr>
              <w:pStyle w:val="36"/>
              <w:rPr>
                <w:rFonts w:ascii="仿宋" w:hAnsi="仿宋" w:eastAsia="仿宋" w:cs="仿宋"/>
                <w:highlight w:val="none"/>
              </w:rPr>
            </w:pPr>
            <w:r>
              <w:rPr>
                <w:rFonts w:hint="eastAsia" w:ascii="仿宋" w:hAnsi="仿宋" w:eastAsia="仿宋" w:cs="仿宋"/>
                <w:highlight w:val="none"/>
              </w:rPr>
              <w:t>7.双栈路由：支持IPv4和IPv6双栈路由，支持RIP、OSPF、ISIS、BGP等IPv4动态路由协议，支持RIPng、OSPFv3、ISISv6、BGP4+等IPv6动态路由协议；</w:t>
            </w:r>
          </w:p>
          <w:p>
            <w:pPr>
              <w:pStyle w:val="36"/>
              <w:rPr>
                <w:rFonts w:ascii="仿宋" w:hAnsi="仿宋" w:eastAsia="仿宋" w:cs="仿宋"/>
                <w:highlight w:val="none"/>
              </w:rPr>
            </w:pPr>
            <w:r>
              <w:rPr>
                <w:rFonts w:hint="eastAsia" w:ascii="仿宋" w:hAnsi="仿宋" w:eastAsia="仿宋" w:cs="仿宋"/>
                <w:highlight w:val="none"/>
              </w:rPr>
              <w:t>8.端口特性：支持IEEE802.3x 流量控制（全双工）；支持基于端口速率百分比的风暴抑制；支持基于PPS的风暴抑制；支持基于bps的风暴抑制；Jumbo Frame：支持最大帧长为10000；</w:t>
            </w:r>
          </w:p>
          <w:p>
            <w:pPr>
              <w:pStyle w:val="36"/>
              <w:rPr>
                <w:rFonts w:ascii="仿宋" w:hAnsi="仿宋" w:eastAsia="仿宋" w:cs="仿宋"/>
                <w:highlight w:val="none"/>
              </w:rPr>
            </w:pPr>
            <w:r>
              <w:rPr>
                <w:rFonts w:hint="eastAsia" w:ascii="仿宋" w:hAnsi="仿宋" w:eastAsia="仿宋" w:cs="仿宋"/>
                <w:highlight w:val="none"/>
              </w:rPr>
              <w:t>9.管理与维护：支持XModem/FTP/TFTP加载升级；支持命令行接口（CLI），Telnet，Console口进行配置；支持SNMPv1/v2/v3；支持RMON （Remote Monitoring）告警、事件、历史记录；支持Python脚本管理运维；支持系统日志，分级告警，调试信息输出；支持NTP；支持电源的告警功能，风扇、温度告警；支持Ping、Tracert；支持VCT（Virtual Cable Test）电缆检测功能；支持DLDP（Device Link Detection Protocol）单向链路检测协议；</w:t>
            </w:r>
          </w:p>
          <w:p>
            <w:pPr>
              <w:pStyle w:val="36"/>
              <w:rPr>
                <w:rFonts w:ascii="仿宋" w:hAnsi="仿宋" w:eastAsia="仿宋" w:cs="仿宋"/>
                <w:highlight w:val="none"/>
              </w:rPr>
            </w:pPr>
            <w:r>
              <w:rPr>
                <w:rFonts w:hint="eastAsia" w:ascii="仿宋" w:hAnsi="仿宋" w:eastAsia="仿宋" w:cs="仿宋"/>
                <w:highlight w:val="none"/>
              </w:rPr>
              <w:t>支持LLDP；支持Loopback-detection 端口环回检测；支持USB进行文件上传和下载；</w:t>
            </w:r>
          </w:p>
          <w:p>
            <w:pPr>
              <w:pStyle w:val="36"/>
              <w:rPr>
                <w:rFonts w:ascii="仿宋" w:hAnsi="仿宋" w:eastAsia="仿宋" w:cs="仿宋"/>
                <w:highlight w:val="none"/>
              </w:rPr>
            </w:pPr>
            <w:r>
              <w:rPr>
                <w:rFonts w:hint="eastAsia" w:ascii="仿宋" w:hAnsi="仿宋" w:eastAsia="仿宋" w:cs="仿宋"/>
                <w:highlight w:val="none"/>
              </w:rPr>
              <w:t>10.组播功能：支持IGMP Snooping v1/v2/v3，MLD Snooping v1/v2；支持PIM Snooping；支持MLD Proxy；支持组播VLAN；支持IGMP v1/v2/v3，MLD v1/v2；支持支持PIM-DM，PIM-SM，PIM-SSM；支持MSDP，MSDP for IPv6；支持MBGP，MBGP for Ipv6；</w:t>
            </w:r>
          </w:p>
          <w:p>
            <w:pPr>
              <w:pStyle w:val="36"/>
              <w:rPr>
                <w:rFonts w:ascii="仿宋" w:hAnsi="仿宋" w:eastAsia="仿宋" w:cs="仿宋"/>
                <w:highlight w:val="none"/>
                <w:lang w:bidi="ar"/>
              </w:rPr>
            </w:pPr>
            <w:r>
              <w:rPr>
                <w:rFonts w:hint="eastAsia" w:ascii="仿宋" w:hAnsi="仿宋" w:eastAsia="仿宋" w:cs="仿宋"/>
                <w:highlight w:val="none"/>
              </w:rPr>
              <w:t>11.安全管理：支持用户分级管理和口令保护，支持集中MAC认证，支持802.1X，支持RADIUS认证，支持PKI(Public Key Infrastructure，公钥基础设施)，支持CPU防护。</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台</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万兆SFP+堆叠线缆</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万兆SFP+堆叠线缆（1.2米长）</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根</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LC-LC万兆多模光纤跳线OM3（3米长）</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8</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对</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6</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LC-LC万兆多模光纤跳线OM3（10米长）</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16</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对</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7</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SFP+万兆光模块</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1.接口：LC接口</w:t>
            </w:r>
          </w:p>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2.中心波长：850nm</w:t>
            </w:r>
          </w:p>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3.传输速率：10.31Gbps</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54</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个</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bl>
    <w:p>
      <w:pPr>
        <w:rPr>
          <w:highlight w:val="none"/>
        </w:rPr>
      </w:pPr>
    </w:p>
    <w:p>
      <w:pPr>
        <w:pStyle w:val="2"/>
        <w:rPr>
          <w:highlight w:val="none"/>
        </w:rPr>
      </w:pPr>
      <w:r>
        <w:rPr>
          <w:highlight w:val="none"/>
        </w:rPr>
        <w:br w:type="page"/>
      </w:r>
    </w:p>
    <w:p>
      <w:pPr>
        <w:rPr>
          <w:rFonts w:ascii="宋体" w:hAnsi="宋体" w:cs="宋体"/>
          <w:sz w:val="24"/>
          <w:highlight w:val="none"/>
        </w:rPr>
      </w:pPr>
    </w:p>
    <w:p>
      <w:pPr>
        <w:spacing w:line="500" w:lineRule="exact"/>
        <w:ind w:firstLine="3373" w:firstLineChars="1200"/>
        <w:outlineLvl w:val="0"/>
        <w:rPr>
          <w:rFonts w:ascii="宋体" w:hAnsi="宋体"/>
          <w:b/>
          <w:sz w:val="32"/>
          <w:szCs w:val="32"/>
          <w:highlight w:val="none"/>
        </w:rPr>
      </w:pPr>
      <w:r>
        <w:rPr>
          <w:rFonts w:hint="eastAsia" w:ascii="宋体" w:hAnsi="宋体"/>
          <w:b/>
          <w:sz w:val="28"/>
          <w:szCs w:val="32"/>
          <w:highlight w:val="none"/>
        </w:rPr>
        <w:t>第四章 评审办法及成交标准</w:t>
      </w:r>
    </w:p>
    <w:p>
      <w:pPr>
        <w:pStyle w:val="15"/>
        <w:spacing w:before="72" w:beforeLines="30" w:after="72" w:afterLines="30"/>
        <w:ind w:firstLine="481" w:firstLineChars="200"/>
        <w:jc w:val="center"/>
        <w:rPr>
          <w:b/>
          <w:sz w:val="24"/>
          <w:szCs w:val="24"/>
          <w:highlight w:val="none"/>
        </w:rPr>
      </w:pPr>
      <w:r>
        <w:rPr>
          <w:rFonts w:hint="eastAsia"/>
          <w:b/>
          <w:sz w:val="24"/>
          <w:szCs w:val="24"/>
          <w:highlight w:val="none"/>
        </w:rPr>
        <w:t>综合评分法</w:t>
      </w:r>
    </w:p>
    <w:p>
      <w:pPr>
        <w:pStyle w:val="15"/>
        <w:spacing w:line="400" w:lineRule="exact"/>
        <w:ind w:firstLine="481" w:firstLineChars="200"/>
        <w:rPr>
          <w:rFonts w:hAnsi="宋体"/>
          <w:b/>
          <w:bCs/>
          <w:sz w:val="24"/>
          <w:szCs w:val="24"/>
          <w:highlight w:val="none"/>
        </w:rPr>
      </w:pPr>
      <w:r>
        <w:rPr>
          <w:rFonts w:hint="eastAsia" w:hAnsi="宋体"/>
          <w:b/>
          <w:bCs/>
          <w:sz w:val="24"/>
          <w:szCs w:val="24"/>
          <w:highlight w:val="none"/>
        </w:rPr>
        <w:t>一、评审原则</w:t>
      </w:r>
    </w:p>
    <w:p>
      <w:pPr>
        <w:pStyle w:val="15"/>
        <w:spacing w:line="400" w:lineRule="exact"/>
        <w:ind w:firstLine="480" w:firstLineChars="200"/>
        <w:rPr>
          <w:rFonts w:hAnsi="宋体"/>
          <w:sz w:val="24"/>
          <w:szCs w:val="24"/>
          <w:highlight w:val="none"/>
        </w:rPr>
      </w:pPr>
      <w:r>
        <w:rPr>
          <w:rFonts w:hint="eastAsia" w:hAnsi="宋体"/>
          <w:sz w:val="24"/>
          <w:szCs w:val="24"/>
          <w:highlight w:val="none"/>
        </w:rPr>
        <w:t>(一)评审小组构成：本项目的评审小组由采购人单位采购小组成员组成，成员人数应当为三人以上（含三人）单数。</w:t>
      </w:r>
    </w:p>
    <w:p>
      <w:pPr>
        <w:pStyle w:val="15"/>
        <w:spacing w:line="400" w:lineRule="exact"/>
        <w:ind w:firstLine="480" w:firstLineChars="200"/>
        <w:rPr>
          <w:rFonts w:hAnsi="宋体"/>
          <w:sz w:val="24"/>
          <w:szCs w:val="24"/>
          <w:highlight w:val="none"/>
        </w:rPr>
      </w:pPr>
      <w:r>
        <w:rPr>
          <w:rFonts w:hint="eastAsia" w:hAnsi="宋体"/>
          <w:sz w:val="24"/>
          <w:szCs w:val="24"/>
          <w:highlight w:val="none"/>
        </w:rPr>
        <w:t>(二)评审依据：评审小组将以采购文件和响应文件为评定依据进行评审。</w:t>
      </w:r>
    </w:p>
    <w:p>
      <w:pPr>
        <w:pStyle w:val="15"/>
        <w:spacing w:line="400" w:lineRule="exact"/>
        <w:ind w:firstLine="480" w:firstLineChars="200"/>
        <w:rPr>
          <w:rFonts w:hAnsi="宋体"/>
          <w:sz w:val="24"/>
          <w:szCs w:val="24"/>
          <w:highlight w:val="none"/>
        </w:rPr>
      </w:pPr>
      <w:r>
        <w:rPr>
          <w:rFonts w:hint="eastAsia" w:hAnsi="宋体"/>
          <w:sz w:val="24"/>
          <w:szCs w:val="24"/>
          <w:highlight w:val="none"/>
        </w:rPr>
        <w:t>(三)评审办法：采用百分制综合评分法。</w:t>
      </w:r>
    </w:p>
    <w:p>
      <w:pPr>
        <w:pStyle w:val="15"/>
        <w:spacing w:line="400" w:lineRule="exact"/>
        <w:ind w:firstLine="481" w:firstLineChars="200"/>
        <w:rPr>
          <w:rFonts w:hAnsi="宋体"/>
          <w:b/>
          <w:bCs/>
          <w:sz w:val="24"/>
          <w:szCs w:val="24"/>
          <w:highlight w:val="none"/>
        </w:rPr>
      </w:pPr>
      <w:r>
        <w:rPr>
          <w:rFonts w:hint="eastAsia" w:hAnsi="宋体"/>
          <w:b/>
          <w:bCs/>
          <w:sz w:val="24"/>
          <w:szCs w:val="24"/>
          <w:highlight w:val="none"/>
        </w:rPr>
        <w:t>二、评审方法</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评审小组会对供应商的响应文件资格性和符合性进行检查，对合格的响应文件，采用百分制综合评分法进行评审。</w:t>
      </w:r>
    </w:p>
    <w:p>
      <w:pPr>
        <w:spacing w:line="380" w:lineRule="exact"/>
        <w:ind w:firstLine="480" w:firstLineChars="200"/>
        <w:rPr>
          <w:rFonts w:ascii="宋体" w:hAnsi="宋体" w:cs="宋体"/>
          <w:sz w:val="24"/>
          <w:highlight w:val="none"/>
        </w:rPr>
      </w:pPr>
      <w:r>
        <w:rPr>
          <w:rFonts w:hint="eastAsia" w:ascii="宋体" w:hAnsi="宋体" w:cs="宋体"/>
          <w:sz w:val="24"/>
          <w:highlight w:val="none"/>
        </w:rPr>
        <w:t>评审小组将以采购文件、响应文件为评审依据，提出最后总得分最高的供应商作为成交人。</w:t>
      </w:r>
    </w:p>
    <w:p>
      <w:pPr>
        <w:pStyle w:val="15"/>
        <w:ind w:firstLine="481" w:firstLineChars="200"/>
        <w:rPr>
          <w:rFonts w:hAnsi="宋体"/>
          <w:sz w:val="24"/>
          <w:szCs w:val="24"/>
          <w:highlight w:val="none"/>
        </w:rPr>
      </w:pPr>
      <w:r>
        <w:rPr>
          <w:rFonts w:hint="eastAsia" w:hAnsi="宋体"/>
          <w:b/>
          <w:bCs/>
          <w:sz w:val="24"/>
          <w:szCs w:val="24"/>
          <w:highlight w:val="none"/>
        </w:rPr>
        <w:t>三、评分细则</w:t>
      </w:r>
      <w:r>
        <w:rPr>
          <w:rFonts w:hint="eastAsia" w:hAnsi="宋体" w:cs="宋体"/>
          <w:kern w:val="2"/>
          <w:sz w:val="24"/>
          <w:szCs w:val="24"/>
          <w:highlight w:val="none"/>
        </w:rPr>
        <w:t>（按四舍五入取至百分位）</w:t>
      </w:r>
    </w:p>
    <w:p>
      <w:pPr>
        <w:pStyle w:val="26"/>
        <w:widowControl w:val="0"/>
        <w:spacing w:before="0" w:beforeAutospacing="0" w:after="0" w:afterAutospacing="0" w:line="400" w:lineRule="exact"/>
        <w:ind w:firstLine="481" w:firstLineChars="200"/>
        <w:jc w:val="both"/>
        <w:rPr>
          <w:rFonts w:hint="default" w:cs="宋体"/>
          <w:highlight w:val="none"/>
        </w:rPr>
      </w:pPr>
      <w:r>
        <w:rPr>
          <w:rFonts w:cs="宋体"/>
          <w:b/>
          <w:highlight w:val="none"/>
        </w:rPr>
        <w:t>1.价格分</w:t>
      </w:r>
      <w:r>
        <w:rPr>
          <w:rFonts w:cs="宋体"/>
          <w:bCs/>
          <w:highlight w:val="none"/>
        </w:rPr>
        <w:t>……………………………………………………………………</w:t>
      </w:r>
      <w:r>
        <w:rPr>
          <w:rFonts w:cs="宋体"/>
          <w:b/>
          <w:highlight w:val="none"/>
        </w:rPr>
        <w:t>10分</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(1) 按照《政府采购促进中小企业发展管理办法》（财库〔2020〕46号）的规定，投标人在其投标文件中提供《中小企业声明函》，且其服务为小型和微型企业承接的，对其最后报价给予10%的扣除，扣除后的价格为评标报价，即评标报价=投标价×（1-10%）；除上述情况外，评标报价=投标价。</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（2）以进入综合评分环节的最低报价为评标基准价。</w:t>
      </w:r>
    </w:p>
    <w:p>
      <w:pPr>
        <w:pStyle w:val="26"/>
        <w:widowControl w:val="0"/>
        <w:spacing w:before="0" w:beforeAutospacing="0" w:after="0" w:afterAutospacing="0" w:line="400" w:lineRule="exact"/>
        <w:ind w:firstLine="3360" w:firstLineChars="1400"/>
        <w:jc w:val="both"/>
        <w:rPr>
          <w:rFonts w:hint="default" w:cs="宋体"/>
          <w:bCs/>
          <w:highlight w:val="none"/>
        </w:rPr>
      </w:pPr>
      <w:r>
        <w:rPr>
          <w:rFonts w:cs="宋体"/>
          <w:bCs/>
          <w:highlight w:val="none"/>
        </w:rPr>
        <w:t xml:space="preserve">评标基准价（元）          </w:t>
      </w:r>
    </w:p>
    <w:p>
      <w:pPr>
        <w:pStyle w:val="26"/>
        <w:widowControl w:val="0"/>
        <w:spacing w:before="0" w:beforeAutospacing="0" w:after="0" w:afterAutospacing="0" w:line="400" w:lineRule="exact"/>
        <w:ind w:firstLine="420"/>
        <w:jc w:val="both"/>
        <w:rPr>
          <w:rFonts w:hint="default" w:cs="宋体"/>
          <w:bCs/>
          <w:highlight w:val="none"/>
        </w:rPr>
      </w:pPr>
      <w:r>
        <w:rPr>
          <w:rFonts w:hint="default" w:cs="宋体"/>
          <w:highlight w:val="none"/>
        </w:rPr>
        <mc:AlternateContent>
          <mc:Choice Requires="wps">
            <w:drawing>
              <wp:anchor distT="0" distB="0" distL="114300" distR="114300" simplePos="0" relativeHeight="251659264" behindDoc="0" locked="0" layoutInCell="1" allowOverlap="1">
                <wp:simplePos x="0" y="0"/>
                <wp:positionH relativeFrom="column">
                  <wp:posOffset>1882140</wp:posOffset>
                </wp:positionH>
                <wp:positionV relativeFrom="paragraph">
                  <wp:posOffset>67310</wp:posOffset>
                </wp:positionV>
                <wp:extent cx="1600200" cy="9525"/>
                <wp:effectExtent l="0" t="4445" r="0" b="8890"/>
                <wp:wrapNone/>
                <wp:docPr id="1" name="直接连接符 1"/>
                <wp:cNvGraphicFramePr/>
                <a:graphic xmlns:a="http://schemas.openxmlformats.org/drawingml/2006/main">
                  <a:graphicData uri="http://schemas.microsoft.com/office/word/2010/wordprocessingShape">
                    <wps:wsp>
                      <wps:cNvCnPr/>
                      <wps:spPr>
                        <a:xfrm flipV="1">
                          <a:off x="0" y="0"/>
                          <a:ext cx="1600200" cy="9525"/>
                        </a:xfrm>
                        <a:prstGeom prst="line">
                          <a:avLst/>
                        </a:prstGeom>
                        <a:ln w="31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8.2pt;margin-top:5.3pt;height:0.75pt;width:126pt;z-index:251659264;mso-width-relative:page;mso-height-relative:page;" filled="f" stroked="t" coordsize="21600,21600" o:gfxdata="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jZaINUAAAAJAQAADwAAAAAA&#10;AAABACAAAAAiAAAAZHJzL2Rvd25yZXYueG1sUEsBAhQAFAAAAAgAh07iQMk+UbPdAQAApQMAAA4A&#10;AAAAAAAAAQAgAAAAJAEAAGRycy9lMm9Eb2MueG1sUEsFBgAAAAAGAAYAWQEAAHMFAAAAAA==&#10;">
                <v:fill on="f" focussize="0,0"/>
                <v:stroke weight="0.25pt" color="#000000" joinstyle="round"/>
                <v:imagedata o:title=""/>
                <o:lock v:ext="edit" aspectratio="f"/>
              </v:line>
            </w:pict>
          </mc:Fallback>
        </mc:AlternateContent>
      </w:r>
      <w:r>
        <w:rPr>
          <w:rFonts w:cs="宋体"/>
          <w:bCs/>
          <w:highlight w:val="none"/>
        </w:rPr>
        <w:t>（3）某供应商价格分 =                        ×10分</w:t>
      </w:r>
    </w:p>
    <w:p>
      <w:pPr>
        <w:spacing w:line="400" w:lineRule="exact"/>
        <w:textAlignment w:val="baseline"/>
        <w:rPr>
          <w:rFonts w:ascii="宋体" w:hAnsi="宋体" w:cs="宋体"/>
          <w:bCs/>
          <w:sz w:val="24"/>
          <w:highlight w:val="none"/>
        </w:rPr>
      </w:pPr>
      <w:r>
        <w:rPr>
          <w:rFonts w:hint="eastAsia" w:ascii="宋体" w:hAnsi="宋体" w:cs="宋体"/>
          <w:bCs/>
          <w:sz w:val="24"/>
          <w:highlight w:val="none"/>
        </w:rPr>
        <w:t xml:space="preserve">                           某供应商评标报价（元）</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2.技术分…………………………………………………………………70分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（1）产品要求应答分（满分</w:t>
      </w:r>
      <w:r>
        <w:rPr>
          <w:rFonts w:ascii="宋体" w:hAnsi="宋体"/>
          <w:kern w:val="0"/>
          <w:sz w:val="24"/>
          <w:highlight w:val="none"/>
        </w:rPr>
        <w:t>30</w:t>
      </w:r>
      <w:r>
        <w:rPr>
          <w:rFonts w:hint="eastAsia" w:ascii="宋体" w:hAnsi="宋体"/>
          <w:kern w:val="0"/>
          <w:sz w:val="24"/>
          <w:highlight w:val="none"/>
        </w:rPr>
        <w:t>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对于附件1中设备清单的技术要求：</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完全满足设备清单的技术参数、性能要求的得</w:t>
      </w:r>
      <w:r>
        <w:rPr>
          <w:rFonts w:ascii="宋体" w:hAnsi="宋体"/>
          <w:kern w:val="0"/>
          <w:sz w:val="24"/>
          <w:highlight w:val="none"/>
        </w:rPr>
        <w:t>30</w:t>
      </w:r>
      <w:r>
        <w:rPr>
          <w:rFonts w:hint="eastAsia" w:ascii="宋体" w:hAnsi="宋体"/>
          <w:kern w:val="0"/>
          <w:sz w:val="24"/>
          <w:highlight w:val="none"/>
        </w:rPr>
        <w:t>分；负偏离一项则扣</w:t>
      </w:r>
      <w:r>
        <w:rPr>
          <w:rFonts w:ascii="宋体" w:hAnsi="宋体"/>
          <w:kern w:val="0"/>
          <w:sz w:val="24"/>
          <w:highlight w:val="none"/>
        </w:rPr>
        <w:t>3</w:t>
      </w:r>
      <w:r>
        <w:rPr>
          <w:rFonts w:hint="eastAsia" w:ascii="宋体" w:hAnsi="宋体"/>
          <w:kern w:val="0"/>
          <w:sz w:val="24"/>
          <w:highlight w:val="none"/>
        </w:rPr>
        <w:t>分，扣完为止。</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（2）实施方案分（满分</w:t>
      </w:r>
      <w:r>
        <w:rPr>
          <w:rFonts w:ascii="宋体" w:hAnsi="宋体"/>
          <w:kern w:val="0"/>
          <w:sz w:val="24"/>
          <w:highlight w:val="none"/>
        </w:rPr>
        <w:t>20</w:t>
      </w:r>
      <w:r>
        <w:rPr>
          <w:rFonts w:hint="eastAsia" w:ascii="宋体" w:hAnsi="宋体"/>
          <w:kern w:val="0"/>
          <w:sz w:val="24"/>
          <w:highlight w:val="none"/>
        </w:rPr>
        <w:t>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由评标小组在打分前根据投标人所提供的实施方案中整体性、可靠性、先进性、兼容性、安全性等内容优劣情况讨论确定各投标人所属档次，然后评委在各档次内打分。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一档（</w:t>
      </w:r>
      <w:r>
        <w:rPr>
          <w:rFonts w:ascii="宋体" w:hAnsi="宋体"/>
          <w:kern w:val="0"/>
          <w:sz w:val="24"/>
          <w:highlight w:val="none"/>
        </w:rPr>
        <w:t>5</w:t>
      </w:r>
      <w:r>
        <w:rPr>
          <w:rFonts w:hint="eastAsia" w:ascii="宋体" w:hAnsi="宋体"/>
          <w:kern w:val="0"/>
          <w:sz w:val="24"/>
          <w:highlight w:val="none"/>
        </w:rPr>
        <w:t>分）：提供实施方案基本满足标书要求，内容包括实施计划，人员安排等；</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二档（</w:t>
      </w:r>
      <w:r>
        <w:rPr>
          <w:rFonts w:ascii="宋体" w:hAnsi="宋体"/>
          <w:kern w:val="0"/>
          <w:sz w:val="24"/>
          <w:highlight w:val="none"/>
        </w:rPr>
        <w:t>13</w:t>
      </w:r>
      <w:r>
        <w:rPr>
          <w:rFonts w:hint="eastAsia" w:ascii="宋体" w:hAnsi="宋体"/>
          <w:kern w:val="0"/>
          <w:sz w:val="24"/>
          <w:highlight w:val="none"/>
        </w:rPr>
        <w:t>分）：优于一档，内容还应包括项目管理、项目周期规划、人员配置及分工、组织管理，方案</w:t>
      </w:r>
      <w:r>
        <w:rPr>
          <w:rFonts w:ascii="宋体" w:hAnsi="宋体"/>
          <w:kern w:val="0"/>
          <w:sz w:val="24"/>
          <w:highlight w:val="none"/>
        </w:rPr>
        <w:t>表达清晰，描述详细完整</w:t>
      </w:r>
      <w:r>
        <w:rPr>
          <w:rFonts w:hint="eastAsia" w:ascii="宋体" w:hAnsi="宋体"/>
          <w:kern w:val="0"/>
          <w:sz w:val="24"/>
          <w:highlight w:val="none"/>
        </w:rPr>
        <w:t>；</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三档（</w:t>
      </w:r>
      <w:r>
        <w:rPr>
          <w:rFonts w:ascii="宋体" w:hAnsi="宋体"/>
          <w:kern w:val="0"/>
          <w:sz w:val="24"/>
          <w:highlight w:val="none"/>
        </w:rPr>
        <w:t>20</w:t>
      </w:r>
      <w:r>
        <w:rPr>
          <w:rFonts w:hint="eastAsia" w:ascii="宋体" w:hAnsi="宋体"/>
          <w:kern w:val="0"/>
          <w:sz w:val="24"/>
          <w:highlight w:val="none"/>
        </w:rPr>
        <w:t>分）：优于二档，提供实施方案满足采购文件要求，内容除项目管理、项目周期规划、人员安排、组织管理等详细内容外，还包含但不限于服务要求和服务质量把控等，方案详细、先进，对关键技术点，描述清晰、到位，并提供了详细的应急方案。</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（3）实施团队人员分（满分</w:t>
      </w:r>
      <w:r>
        <w:rPr>
          <w:rFonts w:ascii="宋体" w:hAnsi="宋体"/>
          <w:kern w:val="0"/>
          <w:sz w:val="24"/>
          <w:highlight w:val="none"/>
        </w:rPr>
        <w:t>10</w:t>
      </w:r>
      <w:r>
        <w:rPr>
          <w:rFonts w:hint="eastAsia" w:ascii="宋体" w:hAnsi="宋体"/>
          <w:kern w:val="0"/>
          <w:sz w:val="24"/>
          <w:highlight w:val="none"/>
        </w:rPr>
        <w:t>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由评标小组根据投标人所提供的实施团队情况打分。</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一档（3分）：组建的实施团队包含项目经理和团队成员，团队人数≥2人。</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二档（5分）：优于一档，组建的实施团队包含项目经理和团队成员，团队人数≥3人，团队成员有一人</w:t>
      </w:r>
      <w:r>
        <w:rPr>
          <w:rFonts w:hint="eastAsia" w:cs="宋体"/>
          <w:bCs/>
          <w:highlight w:val="none"/>
          <w:lang w:val="en-US" w:eastAsia="zh-CN"/>
        </w:rPr>
        <w:t>及以上</w:t>
      </w:r>
      <w:r>
        <w:rPr>
          <w:rFonts w:cs="宋体"/>
          <w:bCs/>
          <w:highlight w:val="none"/>
        </w:rPr>
        <w:t>具备</w:t>
      </w:r>
      <w:r>
        <w:rPr>
          <w:rFonts w:hint="eastAsia" w:cs="宋体"/>
          <w:bCs/>
          <w:highlight w:val="none"/>
          <w:lang w:val="en-US" w:eastAsia="zh-CN"/>
        </w:rPr>
        <w:t>工程技术人员</w:t>
      </w:r>
      <w:r>
        <w:rPr>
          <w:rFonts w:hint="eastAsia" w:cs="宋体"/>
          <w:bCs/>
          <w:highlight w:val="none"/>
        </w:rPr>
        <w:t>中级职称</w:t>
      </w:r>
      <w:r>
        <w:rPr>
          <w:rFonts w:hint="eastAsia" w:cs="宋体"/>
          <w:bCs/>
          <w:highlight w:val="none"/>
          <w:lang w:eastAsia="zh-CN"/>
        </w:rPr>
        <w:t>、</w:t>
      </w:r>
      <w:r>
        <w:rPr>
          <w:rFonts w:hint="eastAsia" w:cs="宋体"/>
          <w:bCs/>
          <w:highlight w:val="none"/>
          <w:lang w:val="en-US" w:eastAsia="zh-CN"/>
        </w:rPr>
        <w:t>中级执业资格、</w:t>
      </w:r>
      <w:r>
        <w:rPr>
          <w:rFonts w:hint="eastAsia" w:cs="宋体"/>
          <w:bCs/>
          <w:highlight w:val="none"/>
        </w:rPr>
        <w:t>PMP</w:t>
      </w:r>
      <w:r>
        <w:rPr>
          <w:rFonts w:hint="eastAsia" w:cs="宋体"/>
          <w:bCs/>
          <w:highlight w:val="none"/>
          <w:lang w:val="en-US" w:eastAsia="zh-CN"/>
        </w:rPr>
        <w:t>资格证书</w:t>
      </w:r>
      <w:r>
        <w:rPr>
          <w:rFonts w:hint="eastAsia" w:cs="宋体"/>
          <w:bCs/>
          <w:highlight w:val="none"/>
        </w:rPr>
        <w:t>或系统集成项目管理工程师</w:t>
      </w:r>
      <w:r>
        <w:rPr>
          <w:rFonts w:hint="eastAsia" w:cs="宋体"/>
          <w:bCs/>
          <w:highlight w:val="none"/>
          <w:lang w:val="en-US" w:eastAsia="zh-CN"/>
        </w:rPr>
        <w:t>任意一项</w:t>
      </w:r>
      <w:r>
        <w:rPr>
          <w:rFonts w:cs="宋体"/>
          <w:bCs/>
          <w:highlight w:val="none"/>
        </w:rPr>
        <w:t>。</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三档（10分）：优于二档，组建的实施团队包含项目经理和团队成员，团队人数≥3人，且项目经理具备系统集成项目管理工程师、信息系统项目管理师资质或PMP资格证书其中任意一项</w:t>
      </w:r>
      <w:r>
        <w:rPr>
          <w:rFonts w:hint="eastAsia" w:cs="宋体"/>
          <w:bCs/>
          <w:highlight w:val="none"/>
          <w:lang w:eastAsia="zh-CN"/>
        </w:rPr>
        <w:t>，</w:t>
      </w:r>
      <w:r>
        <w:rPr>
          <w:rFonts w:cs="宋体"/>
          <w:bCs/>
          <w:highlight w:val="none"/>
        </w:rPr>
        <w:t>团队成员（不含项目经理）</w:t>
      </w:r>
      <w:r>
        <w:rPr>
          <w:rFonts w:hint="eastAsia" w:cs="宋体"/>
          <w:bCs/>
          <w:highlight w:val="none"/>
          <w:lang w:val="en-US" w:eastAsia="zh-CN"/>
        </w:rPr>
        <w:t>有两人及以上</w:t>
      </w:r>
      <w:r>
        <w:rPr>
          <w:rFonts w:cs="宋体"/>
          <w:bCs/>
          <w:highlight w:val="none"/>
        </w:rPr>
        <w:t>具备</w:t>
      </w:r>
      <w:r>
        <w:rPr>
          <w:rFonts w:hint="eastAsia" w:cs="宋体"/>
          <w:bCs/>
          <w:highlight w:val="none"/>
        </w:rPr>
        <w:t>工程技术人员中级职称、中级执业资格、PMP资格证书或系统集成项目管理工程师</w:t>
      </w:r>
      <w:r>
        <w:rPr>
          <w:rFonts w:hint="eastAsia" w:cs="宋体"/>
          <w:bCs/>
          <w:highlight w:val="none"/>
          <w:lang w:val="en-US" w:eastAsia="zh-CN"/>
        </w:rPr>
        <w:t>任意一项</w:t>
      </w:r>
      <w:r>
        <w:rPr>
          <w:rFonts w:cs="宋体"/>
          <w:bCs/>
          <w:highlight w:val="none"/>
        </w:rPr>
        <w:t>。</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（在响应文件中提供相应人员资质证书复印件、员工近一年内连续三个月的社保记录复印件，复印件加盖公章，否则不得分，原件备查）。</w:t>
      </w:r>
    </w:p>
    <w:p>
      <w:pPr>
        <w:pStyle w:val="26"/>
        <w:widowControl w:val="0"/>
        <w:spacing w:before="0" w:beforeAutospacing="0" w:after="0" w:afterAutospacing="0" w:line="400" w:lineRule="exact"/>
        <w:ind w:firstLine="420"/>
        <w:jc w:val="both"/>
        <w:rPr>
          <w:rFonts w:hint="default" w:cs="宋体"/>
          <w:bCs/>
          <w:highlight w:val="none"/>
        </w:rPr>
      </w:pPr>
      <w:r>
        <w:rPr>
          <w:rFonts w:cs="宋体"/>
          <w:bCs/>
          <w:highlight w:val="none"/>
        </w:rPr>
        <w:t>（4）服务方案分（满分10分）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由评标小组在打分前根据投标人所提供的服务方案中整体性、可靠性、先进性、兼容性、可维护性、安全性等内容优劣情况讨论确定各投标人所属档次，然后评委在各档次内打分。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一档（3分）：提供服务方案较为简单，基本满足采购文件要求。</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二档（7分）：优于一档，提供服务方案满足采购文件要求，有故障解决流程、故障响应级别、响应方式和解决措施，以及应急处置服务方案等内容描述较清晰，方案可行，流程较合理，有一定的针对性。</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三档（10分）：优于二档，提供服务方案满足采购文件要求，有明确的故障解决流程、故障响应级别及响应方式和解决措施，特别是特殊、重要时期的系统稳定，按照轻重缓急、按等级提供应急处置服务方案等详细内容，并且方案较详细，对重大故障处置，描述较清晰，并提供详细的应急方案，措施可行性、及时性、可操作性较强。</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3.综合分……………………………………………………………20分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资质部分（满分20分）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①为保证能提供产品原厂服务和技术支持，在投标文件中提供投标产品设备厂商针对本项目的授权书原件（加盖原厂公章）得4分、服务承诺书原件（加盖原厂公章）得4分，满分8分。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②</w:t>
      </w:r>
      <w:r>
        <w:rPr>
          <w:rFonts w:hint="eastAsia" w:ascii="宋体" w:hAnsi="宋体"/>
          <w:kern w:val="0"/>
          <w:sz w:val="24"/>
          <w:highlight w:val="none"/>
          <w:lang w:val="en-US" w:eastAsia="zh-CN"/>
        </w:rPr>
        <w:t>在投标文件中，对投标产品中的核心交换机、万兆交换机和接入交换机分别</w:t>
      </w:r>
      <w:r>
        <w:rPr>
          <w:rFonts w:hint="eastAsia" w:ascii="宋体" w:hAnsi="宋体"/>
          <w:kern w:val="0"/>
          <w:sz w:val="24"/>
          <w:highlight w:val="none"/>
        </w:rPr>
        <w:t>提供有效期内的电信设备进网许可证（提供证书复印件）得4分，满分12分；</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4.总得分＝1＋2＋3</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四、成交候选供应商推荐原则</w:t>
      </w:r>
    </w:p>
    <w:p>
      <w:pPr>
        <w:pStyle w:val="10"/>
        <w:spacing w:line="400" w:lineRule="exact"/>
        <w:ind w:firstLine="480" w:firstLineChars="200"/>
        <w:rPr>
          <w:rFonts w:ascii="宋体" w:hAnsi="宋体"/>
          <w:sz w:val="24"/>
          <w:highlight w:val="none"/>
        </w:rPr>
      </w:pPr>
      <w:r>
        <w:rPr>
          <w:rFonts w:hint="eastAsia" w:ascii="宋体" w:hAnsi="宋体"/>
          <w:sz w:val="24"/>
          <w:highlight w:val="none"/>
        </w:rPr>
        <w:t>（一）评审小组按供应商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40" w:lineRule="exact"/>
        <w:ind w:firstLine="480" w:firstLineChars="200"/>
        <w:rPr>
          <w:rFonts w:ascii="宋体" w:hAnsi="宋体"/>
          <w:sz w:val="24"/>
          <w:highlight w:val="none"/>
        </w:rPr>
        <w:sectPr>
          <w:pgSz w:w="11906" w:h="16838"/>
          <w:pgMar w:top="1134" w:right="1134" w:bottom="1134" w:left="1134" w:header="851" w:footer="851" w:gutter="0"/>
          <w:cols w:space="720" w:num="1"/>
          <w:docGrid w:linePitch="312" w:charSpace="0"/>
        </w:sectPr>
      </w:pPr>
      <w:r>
        <w:rPr>
          <w:rFonts w:hint="eastAsia" w:ascii="宋体" w:hAnsi="宋体"/>
          <w:sz w:val="24"/>
          <w:highlight w:val="none"/>
        </w:rPr>
        <w:t>（二）评审小组认为，某供应商的有效报价或者某些分项报价明显不合理或者低于成本，有可能影响商品质量和不能诚信履约的，应要求其在规定的期限内提供书面文件予以解释说明，并提交相关证明材料，否则，评审小组可以取消该供应商的成交候选人资格，按顺序由排在后面的成交候选人递补，以此类推。</w:t>
      </w:r>
    </w:p>
    <w:p>
      <w:pPr>
        <w:pStyle w:val="36"/>
        <w:rPr>
          <w:highlight w:val="none"/>
        </w:rPr>
      </w:pPr>
    </w:p>
    <w:p>
      <w:pPr>
        <w:spacing w:line="500" w:lineRule="exact"/>
        <w:ind w:firstLine="3092" w:firstLineChars="1100"/>
        <w:outlineLvl w:val="0"/>
        <w:rPr>
          <w:rFonts w:ascii="宋体" w:hAnsi="宋体"/>
          <w:b/>
          <w:sz w:val="28"/>
          <w:szCs w:val="32"/>
          <w:highlight w:val="none"/>
        </w:rPr>
      </w:pPr>
      <w:r>
        <w:rPr>
          <w:rFonts w:hint="eastAsia" w:ascii="宋体" w:hAnsi="宋体"/>
          <w:b/>
          <w:sz w:val="28"/>
          <w:szCs w:val="28"/>
          <w:highlight w:val="none"/>
        </w:rPr>
        <w:t>第五章</w:t>
      </w:r>
      <w:r>
        <w:rPr>
          <w:rFonts w:hint="eastAsia" w:ascii="宋体" w:hAnsi="宋体"/>
          <w:b/>
          <w:sz w:val="32"/>
          <w:szCs w:val="32"/>
          <w:highlight w:val="none"/>
        </w:rPr>
        <w:t xml:space="preserve"> </w:t>
      </w:r>
      <w:r>
        <w:rPr>
          <w:rFonts w:hint="eastAsia" w:ascii="宋体" w:hAnsi="宋体"/>
          <w:b/>
          <w:sz w:val="28"/>
          <w:szCs w:val="32"/>
          <w:highlight w:val="none"/>
        </w:rPr>
        <w:t>响应文件格式</w:t>
      </w:r>
    </w:p>
    <w:p>
      <w:pPr>
        <w:spacing w:line="500" w:lineRule="exact"/>
        <w:jc w:val="center"/>
        <w:rPr>
          <w:rFonts w:ascii="宋体" w:hAnsi="宋体"/>
          <w:b/>
          <w:sz w:val="28"/>
          <w:szCs w:val="32"/>
          <w:highlight w:val="none"/>
        </w:rPr>
      </w:pPr>
    </w:p>
    <w:p>
      <w:pPr>
        <w:pStyle w:val="15"/>
        <w:snapToGrid w:val="0"/>
        <w:spacing w:before="120" w:after="120"/>
        <w:outlineLvl w:val="1"/>
        <w:rPr>
          <w:rFonts w:ascii="Times New Roman" w:hAnsi="Times New Roman" w:eastAsia="仿宋"/>
          <w:b/>
          <w:sz w:val="24"/>
          <w:szCs w:val="24"/>
          <w:highlight w:val="none"/>
        </w:rPr>
      </w:pPr>
      <w:bookmarkStart w:id="5" w:name="_Toc326217565"/>
      <w:bookmarkStart w:id="6" w:name="_Toc293863061"/>
      <w:bookmarkStart w:id="7" w:name="_Toc293863331"/>
      <w:bookmarkStart w:id="8" w:name="_Toc301424939"/>
      <w:r>
        <w:rPr>
          <w:rFonts w:ascii="Times New Roman" w:hAnsi="Times New Roman" w:eastAsia="仿宋"/>
          <w:b/>
          <w:sz w:val="24"/>
          <w:szCs w:val="24"/>
          <w:highlight w:val="none"/>
        </w:rPr>
        <w:t>一、响应文件外层包装封面及响应文件外封面格式</w:t>
      </w:r>
      <w:bookmarkEnd w:id="5"/>
      <w:bookmarkEnd w:id="6"/>
      <w:bookmarkEnd w:id="7"/>
      <w:bookmarkEnd w:id="8"/>
    </w:p>
    <w:p>
      <w:pPr>
        <w:snapToGrid w:val="0"/>
        <w:spacing w:before="120" w:beforeLines="50" w:after="50"/>
        <w:rPr>
          <w:rFonts w:eastAsia="仿宋"/>
          <w:b/>
          <w:sz w:val="24"/>
          <w:highlight w:val="none"/>
        </w:rPr>
      </w:pPr>
      <w:bookmarkStart w:id="9" w:name="_Toc293863332"/>
      <w:bookmarkStart w:id="10" w:name="_Toc293863062"/>
    </w:p>
    <w:p>
      <w:pPr>
        <w:pStyle w:val="15"/>
        <w:snapToGrid w:val="0"/>
        <w:spacing w:before="120" w:after="120"/>
        <w:outlineLvl w:val="2"/>
        <w:rPr>
          <w:rFonts w:ascii="Times New Roman" w:hAnsi="Times New Roman" w:eastAsia="仿宋"/>
          <w:b/>
          <w:sz w:val="24"/>
          <w:szCs w:val="24"/>
          <w:highlight w:val="none"/>
        </w:rPr>
      </w:pPr>
      <w:bookmarkStart w:id="11" w:name="_Toc301424940"/>
      <w:bookmarkStart w:id="12" w:name="_Toc326217566"/>
      <w:r>
        <w:rPr>
          <w:rFonts w:ascii="Times New Roman" w:hAnsi="Times New Roman" w:eastAsia="仿宋"/>
          <w:b/>
          <w:sz w:val="24"/>
          <w:szCs w:val="24"/>
          <w:highlight w:val="none"/>
        </w:rPr>
        <w:t>1.所有响应文件的外包装封面格式（格式可自拟）：</w:t>
      </w:r>
      <w:bookmarkEnd w:id="9"/>
      <w:bookmarkEnd w:id="10"/>
      <w:bookmarkEnd w:id="11"/>
      <w:bookmarkEnd w:id="12"/>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
          <w:bCs/>
          <w:sz w:val="52"/>
          <w:szCs w:val="52"/>
          <w:highlight w:val="none"/>
        </w:rPr>
      </w:pPr>
      <w:r>
        <w:rPr>
          <w:rFonts w:eastAsia="仿宋"/>
          <w:b/>
          <w:bCs/>
          <w:sz w:val="52"/>
          <w:szCs w:val="52"/>
          <w:highlight w:val="none"/>
        </w:rPr>
        <w:t>响应文件</w:t>
      </w:r>
    </w:p>
    <w:p>
      <w:pPr>
        <w:snapToGrid w:val="0"/>
        <w:spacing w:before="120" w:beforeLines="50" w:after="50"/>
        <w:rPr>
          <w:rFonts w:eastAsia="仿宋"/>
          <w:bCs/>
          <w:sz w:val="24"/>
          <w:szCs w:val="20"/>
          <w:highlight w:val="none"/>
        </w:rPr>
      </w:pP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项目名称： </w:t>
      </w: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     </w:t>
      </w: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名称：盖章</w:t>
      </w:r>
    </w:p>
    <w:p>
      <w:pPr>
        <w:pStyle w:val="5"/>
        <w:snapToGrid w:val="0"/>
        <w:spacing w:before="50" w:after="50"/>
        <w:ind w:firstLine="1164" w:firstLineChars="416"/>
        <w:rPr>
          <w:rFonts w:eastAsia="仿宋"/>
          <w:bCs/>
          <w:sz w:val="28"/>
          <w:szCs w:val="28"/>
          <w:highlight w:val="none"/>
        </w:rPr>
      </w:pP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地址：</w:t>
      </w:r>
    </w:p>
    <w:p>
      <w:pPr>
        <w:pStyle w:val="5"/>
        <w:snapToGrid w:val="0"/>
        <w:spacing w:before="50" w:after="50"/>
        <w:ind w:firstLine="1120" w:firstLineChars="400"/>
        <w:rPr>
          <w:rFonts w:eastAsia="仿宋"/>
          <w:bCs/>
          <w:sz w:val="28"/>
          <w:szCs w:val="28"/>
          <w:highlight w:val="none"/>
        </w:rPr>
      </w:pPr>
    </w:p>
    <w:p>
      <w:pPr>
        <w:snapToGrid w:val="0"/>
        <w:spacing w:before="120" w:beforeLines="50" w:after="50"/>
        <w:ind w:firstLine="4760" w:firstLineChars="1700"/>
        <w:rPr>
          <w:rFonts w:eastAsia="仿宋"/>
          <w:bCs/>
          <w:sz w:val="28"/>
          <w:szCs w:val="28"/>
          <w:highlight w:val="none"/>
        </w:rPr>
      </w:pPr>
    </w:p>
    <w:p>
      <w:pPr>
        <w:snapToGrid w:val="0"/>
        <w:spacing w:before="120" w:beforeLines="50" w:after="50"/>
        <w:ind w:firstLine="645"/>
        <w:jc w:val="center"/>
        <w:rPr>
          <w:rFonts w:eastAsia="仿宋"/>
          <w:bCs/>
          <w:sz w:val="28"/>
          <w:szCs w:val="28"/>
          <w:highlight w:val="none"/>
        </w:rPr>
      </w:pPr>
      <w:r>
        <w:rPr>
          <w:rFonts w:eastAsia="仿宋"/>
          <w:bCs/>
          <w:sz w:val="28"/>
          <w:szCs w:val="28"/>
          <w:highlight w:val="none"/>
        </w:rPr>
        <w:t xml:space="preserve">                        年  月  日</w:t>
      </w:r>
    </w:p>
    <w:p>
      <w:pPr>
        <w:snapToGrid w:val="0"/>
        <w:spacing w:before="120" w:beforeLines="50" w:after="50"/>
        <w:ind w:firstLine="645"/>
        <w:rPr>
          <w:rFonts w:eastAsia="仿宋"/>
          <w:bCs/>
          <w:sz w:val="24"/>
          <w:highlight w:val="none"/>
        </w:rPr>
      </w:pPr>
    </w:p>
    <w:p>
      <w:pPr>
        <w:pStyle w:val="15"/>
        <w:snapToGrid w:val="0"/>
        <w:spacing w:before="120" w:after="120"/>
        <w:outlineLvl w:val="2"/>
        <w:rPr>
          <w:rFonts w:ascii="Times New Roman" w:hAnsi="Times New Roman" w:eastAsia="仿宋"/>
          <w:b/>
          <w:sz w:val="24"/>
          <w:szCs w:val="24"/>
          <w:highlight w:val="none"/>
        </w:rPr>
      </w:pPr>
      <w:r>
        <w:rPr>
          <w:rFonts w:ascii="Times New Roman" w:hAnsi="Times New Roman" w:eastAsia="仿宋"/>
          <w:b/>
          <w:highlight w:val="none"/>
        </w:rPr>
        <w:br w:type="page"/>
      </w:r>
      <w:bookmarkStart w:id="13" w:name="_Toc301424941"/>
      <w:bookmarkStart w:id="14" w:name="_Toc326217567"/>
      <w:r>
        <w:rPr>
          <w:rFonts w:ascii="Times New Roman" w:hAnsi="Times New Roman" w:eastAsia="仿宋"/>
          <w:b/>
          <w:sz w:val="24"/>
          <w:szCs w:val="24"/>
          <w:highlight w:val="none"/>
        </w:rPr>
        <w:t>2.响应文件外封面格式（格式可自拟）：</w:t>
      </w:r>
      <w:bookmarkEnd w:id="13"/>
      <w:bookmarkEnd w:id="14"/>
    </w:p>
    <w:p>
      <w:pPr>
        <w:snapToGrid w:val="0"/>
        <w:spacing w:before="120" w:beforeLines="50" w:after="50"/>
        <w:ind w:firstLine="8160" w:firstLineChars="3400"/>
        <w:rPr>
          <w:rFonts w:eastAsia="仿宋"/>
          <w:bCs/>
          <w:sz w:val="24"/>
          <w:highlight w:val="none"/>
        </w:rPr>
      </w:pPr>
      <w:r>
        <w:rPr>
          <w:rFonts w:eastAsia="仿宋"/>
          <w:bCs/>
          <w:sz w:val="24"/>
          <w:highlight w:val="none"/>
        </w:rPr>
        <w:t>正本/或副本</w:t>
      </w:r>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Cs/>
          <w:sz w:val="24"/>
          <w:szCs w:val="20"/>
          <w:highlight w:val="none"/>
        </w:rPr>
      </w:pPr>
      <w:r>
        <w:rPr>
          <w:rFonts w:eastAsia="仿宋"/>
          <w:b/>
          <w:bCs/>
          <w:sz w:val="52"/>
          <w:szCs w:val="52"/>
          <w:highlight w:val="none"/>
        </w:rPr>
        <w:t>响应文件</w:t>
      </w:r>
    </w:p>
    <w:p>
      <w:pPr>
        <w:snapToGrid w:val="0"/>
        <w:spacing w:before="120" w:beforeLines="50" w:after="50"/>
        <w:ind w:firstLine="943" w:firstLineChars="393"/>
        <w:rPr>
          <w:rFonts w:eastAsia="仿宋"/>
          <w:bCs/>
          <w:sz w:val="24"/>
          <w:highlight w:val="none"/>
        </w:rPr>
      </w:pPr>
    </w:p>
    <w:p>
      <w:pPr>
        <w:snapToGrid w:val="0"/>
        <w:spacing w:before="120" w:beforeLines="50" w:after="50"/>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before="120" w:beforeLines="50" w:after="50"/>
        <w:ind w:firstLine="943" w:firstLineChars="393"/>
        <w:rPr>
          <w:rFonts w:eastAsia="仿宋"/>
          <w:bCs/>
          <w:sz w:val="24"/>
          <w:highlight w:val="none"/>
        </w:rPr>
      </w:pPr>
      <w:r>
        <w:rPr>
          <w:rFonts w:eastAsia="仿宋"/>
          <w:bCs/>
          <w:sz w:val="24"/>
          <w:highlight w:val="none"/>
        </w:rPr>
        <w:t xml:space="preserve">     </w:t>
      </w:r>
    </w:p>
    <w:p>
      <w:pPr>
        <w:pStyle w:val="5"/>
        <w:snapToGrid w:val="0"/>
        <w:spacing w:before="50" w:after="50"/>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before="50" w:after="50"/>
        <w:ind w:firstLine="998" w:firstLineChars="416"/>
        <w:rPr>
          <w:rFonts w:eastAsia="仿宋"/>
          <w:bCs/>
          <w:sz w:val="24"/>
          <w:highlight w:val="none"/>
        </w:rPr>
      </w:pPr>
    </w:p>
    <w:p>
      <w:pPr>
        <w:pStyle w:val="5"/>
        <w:snapToGrid w:val="0"/>
        <w:spacing w:before="50" w:after="50"/>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pStyle w:val="5"/>
        <w:snapToGrid w:val="0"/>
        <w:spacing w:before="50" w:after="50"/>
        <w:ind w:firstLine="960" w:firstLineChars="400"/>
        <w:rPr>
          <w:rFonts w:eastAsia="仿宋"/>
          <w:bCs/>
          <w:sz w:val="24"/>
          <w:highlight w:val="none"/>
        </w:rPr>
      </w:pPr>
    </w:p>
    <w:p>
      <w:pPr>
        <w:pStyle w:val="5"/>
        <w:snapToGrid w:val="0"/>
        <w:spacing w:before="50" w:after="50"/>
        <w:ind w:firstLine="960" w:firstLineChars="400"/>
        <w:rPr>
          <w:rFonts w:eastAsia="仿宋"/>
          <w:bCs/>
          <w:sz w:val="24"/>
          <w:highlight w:val="none"/>
        </w:rPr>
      </w:pPr>
    </w:p>
    <w:p>
      <w:pPr>
        <w:snapToGrid w:val="0"/>
        <w:spacing w:before="120" w:beforeLines="50" w:after="50"/>
        <w:ind w:firstLine="4080" w:firstLineChars="1700"/>
        <w:rPr>
          <w:rFonts w:eastAsia="仿宋"/>
          <w:bCs/>
          <w:sz w:val="24"/>
          <w:szCs w:val="20"/>
          <w:highlight w:val="none"/>
        </w:rPr>
      </w:pPr>
    </w:p>
    <w:p>
      <w:pPr>
        <w:snapToGrid w:val="0"/>
        <w:spacing w:before="120" w:beforeLines="50" w:after="50"/>
        <w:ind w:firstLine="645"/>
        <w:jc w:val="center"/>
        <w:rPr>
          <w:rFonts w:eastAsia="仿宋"/>
          <w:bCs/>
          <w:sz w:val="24"/>
          <w:highlight w:val="none"/>
        </w:rPr>
      </w:pPr>
      <w:r>
        <w:rPr>
          <w:rFonts w:eastAsia="仿宋"/>
          <w:bCs/>
          <w:sz w:val="24"/>
          <w:highlight w:val="none"/>
        </w:rPr>
        <w:t xml:space="preserve">                        年  月  日</w:t>
      </w:r>
    </w:p>
    <w:p>
      <w:pPr>
        <w:snapToGrid w:val="0"/>
        <w:spacing w:before="120" w:beforeLines="50" w:after="50"/>
        <w:ind w:firstLine="645"/>
        <w:rPr>
          <w:rFonts w:eastAsia="仿宋"/>
          <w:bCs/>
          <w:sz w:val="24"/>
          <w:highlight w:val="none"/>
        </w:rPr>
      </w:pPr>
    </w:p>
    <w:p>
      <w:pPr>
        <w:snapToGrid w:val="0"/>
        <w:spacing w:before="120" w:beforeLines="50" w:after="50"/>
        <w:ind w:firstLine="645"/>
        <w:rPr>
          <w:rFonts w:eastAsia="仿宋"/>
          <w:bCs/>
          <w:sz w:val="24"/>
          <w:highlight w:val="none"/>
        </w:rPr>
      </w:pPr>
    </w:p>
    <w:p>
      <w:pPr>
        <w:snapToGrid w:val="0"/>
        <w:spacing w:before="120" w:beforeLines="50" w:after="50"/>
        <w:outlineLvl w:val="1"/>
        <w:rPr>
          <w:rFonts w:eastAsia="仿宋"/>
          <w:b/>
          <w:bCs/>
          <w:sz w:val="24"/>
          <w:highlight w:val="none"/>
        </w:rPr>
      </w:pPr>
      <w:r>
        <w:rPr>
          <w:rFonts w:eastAsia="仿宋"/>
          <w:bCs/>
          <w:sz w:val="24"/>
          <w:highlight w:val="none"/>
        </w:rPr>
        <w:br w:type="page"/>
      </w:r>
      <w:bookmarkStart w:id="15" w:name="_Toc254970698"/>
      <w:bookmarkStart w:id="16" w:name="_Toc293863063"/>
      <w:bookmarkStart w:id="17" w:name="_Toc293863333"/>
      <w:bookmarkStart w:id="18" w:name="_Toc326217568"/>
      <w:bookmarkStart w:id="19" w:name="_Toc301424942"/>
      <w:bookmarkStart w:id="20" w:name="_Toc254970557"/>
      <w:r>
        <w:rPr>
          <w:rFonts w:eastAsia="仿宋"/>
          <w:b/>
          <w:bCs/>
          <w:sz w:val="24"/>
          <w:highlight w:val="none"/>
        </w:rPr>
        <w:t>二、资信/商务文件格式</w:t>
      </w:r>
      <w:bookmarkEnd w:id="15"/>
      <w:bookmarkEnd w:id="16"/>
      <w:bookmarkEnd w:id="17"/>
      <w:bookmarkEnd w:id="18"/>
      <w:bookmarkEnd w:id="19"/>
      <w:bookmarkEnd w:id="20"/>
    </w:p>
    <w:p>
      <w:pPr>
        <w:snapToGrid w:val="0"/>
        <w:spacing w:before="50" w:after="50"/>
        <w:rPr>
          <w:rFonts w:eastAsia="仿宋"/>
          <w:b/>
          <w:sz w:val="24"/>
          <w:highlight w:val="none"/>
        </w:rPr>
      </w:pPr>
    </w:p>
    <w:p>
      <w:pPr>
        <w:snapToGrid w:val="0"/>
        <w:spacing w:before="50" w:after="50"/>
        <w:outlineLvl w:val="2"/>
        <w:rPr>
          <w:rFonts w:eastAsia="仿宋"/>
          <w:b/>
          <w:szCs w:val="21"/>
          <w:highlight w:val="none"/>
        </w:rPr>
      </w:pPr>
      <w:r>
        <w:rPr>
          <w:rFonts w:eastAsia="仿宋"/>
          <w:b/>
          <w:sz w:val="24"/>
          <w:highlight w:val="none"/>
        </w:rPr>
        <w:t>1.</w:t>
      </w:r>
      <w:r>
        <w:rPr>
          <w:rFonts w:eastAsia="仿宋"/>
          <w:b/>
          <w:bCs/>
          <w:sz w:val="24"/>
          <w:highlight w:val="none"/>
        </w:rPr>
        <w:t>资信/</w:t>
      </w:r>
      <w:r>
        <w:rPr>
          <w:rFonts w:eastAsia="仿宋"/>
          <w:b/>
          <w:sz w:val="24"/>
          <w:highlight w:val="none"/>
        </w:rPr>
        <w:t>商务文件内封面格式（格式可自拟）：</w:t>
      </w:r>
      <w:r>
        <w:rPr>
          <w:rFonts w:eastAsia="仿宋"/>
          <w:b/>
          <w:szCs w:val="21"/>
          <w:highlight w:val="none"/>
        </w:rPr>
        <w:t xml:space="preserve"> </w:t>
      </w:r>
    </w:p>
    <w:p>
      <w:pPr>
        <w:snapToGrid w:val="0"/>
        <w:spacing w:before="120" w:beforeLines="50" w:after="50"/>
        <w:ind w:firstLine="645"/>
        <w:jc w:val="center"/>
        <w:rPr>
          <w:rFonts w:eastAsia="仿宋"/>
          <w:b/>
          <w:bCs/>
          <w:sz w:val="52"/>
          <w:szCs w:val="52"/>
          <w:highlight w:val="none"/>
        </w:rPr>
      </w:pPr>
      <w:r>
        <w:rPr>
          <w:rFonts w:eastAsia="仿宋"/>
          <w:b/>
          <w:bCs/>
          <w:sz w:val="52"/>
          <w:szCs w:val="52"/>
          <w:highlight w:val="none"/>
        </w:rPr>
        <w:t>资信/商务文件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20" w:beforeLines="50" w:after="50"/>
        <w:ind w:firstLine="960" w:firstLineChars="400"/>
        <w:rPr>
          <w:rFonts w:eastAsia="仿宋"/>
          <w:bCs/>
          <w:sz w:val="24"/>
          <w:szCs w:val="20"/>
          <w:highlight w:val="none"/>
        </w:rPr>
      </w:pPr>
    </w:p>
    <w:p>
      <w:pPr>
        <w:snapToGrid w:val="0"/>
        <w:spacing w:before="120" w:beforeLines="50" w:after="50"/>
        <w:rPr>
          <w:rFonts w:eastAsia="仿宋"/>
          <w:sz w:val="24"/>
          <w:szCs w:val="20"/>
          <w:highlight w:val="none"/>
        </w:rPr>
      </w:pPr>
    </w:p>
    <w:p>
      <w:pPr>
        <w:snapToGrid w:val="0"/>
        <w:spacing w:line="400" w:lineRule="exact"/>
        <w:outlineLvl w:val="2"/>
        <w:rPr>
          <w:rFonts w:eastAsia="仿宋"/>
          <w:b/>
          <w:bCs/>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资信/商务文件目录</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报价</w:t>
      </w:r>
      <w:r>
        <w:rPr>
          <w:rFonts w:eastAsia="仿宋"/>
          <w:sz w:val="24"/>
          <w:highlight w:val="none"/>
        </w:rPr>
        <w:t>声明书</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2</w:t>
      </w:r>
      <w:r>
        <w:rPr>
          <w:rFonts w:eastAsia="仿宋"/>
          <w:color w:val="000000"/>
          <w:sz w:val="24"/>
          <w:highlight w:val="none"/>
        </w:rPr>
        <w:t>）</w:t>
      </w:r>
      <w:r>
        <w:rPr>
          <w:rFonts w:eastAsia="仿宋"/>
          <w:sz w:val="24"/>
          <w:highlight w:val="none"/>
        </w:rPr>
        <w:t>有效的营业执照副本复印件（对于有经营资质要求的，</w:t>
      </w:r>
      <w:r>
        <w:rPr>
          <w:rFonts w:hint="eastAsia" w:eastAsia="仿宋"/>
          <w:sz w:val="24"/>
          <w:highlight w:val="none"/>
        </w:rPr>
        <w:t>供应商</w:t>
      </w:r>
      <w:r>
        <w:rPr>
          <w:rFonts w:eastAsia="仿宋"/>
          <w:sz w:val="24"/>
          <w:highlight w:val="none"/>
        </w:rPr>
        <w:t>必须提供有效的经营资质证书副本内页复印件；如</w:t>
      </w:r>
      <w:r>
        <w:rPr>
          <w:rFonts w:hint="eastAsia" w:eastAsia="仿宋"/>
          <w:sz w:val="24"/>
          <w:highlight w:val="none"/>
        </w:rPr>
        <w:t>供应商</w:t>
      </w:r>
      <w:r>
        <w:rPr>
          <w:rFonts w:eastAsia="仿宋"/>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3</w:t>
      </w:r>
      <w:r>
        <w:rPr>
          <w:rFonts w:eastAsia="仿宋"/>
          <w:color w:val="000000"/>
          <w:sz w:val="24"/>
          <w:highlight w:val="none"/>
        </w:rPr>
        <w:t>）有效的法定代表人（负责人）身份证正反面复印件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）法定代表人（负责人）授权委托书</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5</w:t>
      </w:r>
      <w:r>
        <w:rPr>
          <w:rFonts w:eastAsia="仿宋"/>
          <w:sz w:val="24"/>
          <w:highlight w:val="none"/>
        </w:rPr>
        <w:t>）有效的委托代理人身份证正反面复印件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6</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任意连续3个月的有效依法缴纳税费或依法免缴税费的证明</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7</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任意连续3个月的有效依法缴纳社保费的缴费凭证</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8</w:t>
      </w:r>
      <w:r>
        <w:rPr>
          <w:rFonts w:eastAsia="仿宋"/>
          <w:sz w:val="24"/>
          <w:highlight w:val="none"/>
        </w:rPr>
        <w:t>）</w:t>
      </w:r>
      <w:r>
        <w:rPr>
          <w:rFonts w:hint="eastAsia" w:eastAsia="仿宋"/>
          <w:sz w:val="24"/>
          <w:highlight w:val="none"/>
        </w:rPr>
        <w:t>响应文件递交截止之日前半年内任意连续3个月供应商为项目实施人员缴纳的社保证明</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供应商参加政府采购活动前3年内在经营活动中没有重大违法记录的书面声明（格式自拟，原件加盖单位公章）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供应商主体信用记录查询结果截图</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11</w:t>
      </w:r>
      <w:r>
        <w:rPr>
          <w:rFonts w:eastAsia="仿宋"/>
          <w:sz w:val="24"/>
          <w:highlight w:val="none"/>
        </w:rPr>
        <w:t>）商务响应表</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2</w:t>
      </w:r>
      <w:r>
        <w:rPr>
          <w:rFonts w:eastAsia="仿宋"/>
          <w:sz w:val="24"/>
          <w:highlight w:val="none"/>
        </w:rPr>
        <w:t>）服务承诺书</w:t>
      </w:r>
    </w:p>
    <w:p>
      <w:pPr>
        <w:snapToGrid w:val="0"/>
        <w:spacing w:line="400" w:lineRule="exact"/>
        <w:ind w:firstLine="713" w:firstLineChars="296"/>
        <w:jc w:val="left"/>
        <w:outlineLvl w:val="2"/>
        <w:rPr>
          <w:rFonts w:eastAsia="仿宋"/>
          <w:sz w:val="24"/>
          <w:highlight w:val="none"/>
        </w:rPr>
      </w:pPr>
      <w:r>
        <w:rPr>
          <w:rFonts w:eastAsia="仿宋"/>
          <w:b/>
          <w:sz w:val="24"/>
          <w:highlight w:val="none"/>
        </w:rPr>
        <w:t>可作为</w:t>
      </w:r>
      <w:r>
        <w:rPr>
          <w:rFonts w:hint="eastAsia" w:eastAsia="仿宋"/>
          <w:b/>
          <w:bCs/>
          <w:sz w:val="24"/>
          <w:highlight w:val="none"/>
        </w:rPr>
        <w:t>供应商</w:t>
      </w:r>
      <w:r>
        <w:rPr>
          <w:rFonts w:eastAsia="仿宋"/>
          <w:b/>
          <w:bCs/>
          <w:sz w:val="24"/>
          <w:highlight w:val="none"/>
        </w:rPr>
        <w:t>资信评分的资质证明材料</w:t>
      </w:r>
      <w:r>
        <w:rPr>
          <w:rFonts w:eastAsia="仿宋"/>
          <w:b/>
          <w:sz w:val="24"/>
          <w:highlight w:val="none"/>
        </w:rPr>
        <w:t>（如有）</w:t>
      </w:r>
      <w:r>
        <w:rPr>
          <w:rFonts w:eastAsia="仿宋"/>
          <w:sz w:val="24"/>
          <w:highlight w:val="none"/>
        </w:rPr>
        <w:t>：</w:t>
      </w:r>
    </w:p>
    <w:p>
      <w:pPr>
        <w:snapToGrid w:val="0"/>
        <w:spacing w:line="400" w:lineRule="exact"/>
        <w:ind w:firstLine="480" w:firstLineChars="200"/>
        <w:jc w:val="left"/>
        <w:rPr>
          <w:rFonts w:eastAsia="仿宋"/>
          <w:sz w:val="24"/>
          <w:highlight w:val="none"/>
        </w:rPr>
      </w:pPr>
      <w:r>
        <w:rPr>
          <w:rFonts w:hint="eastAsia" w:eastAsia="仿宋"/>
          <w:sz w:val="24"/>
          <w:highlight w:val="none"/>
        </w:rPr>
        <w:t>（13）供应商的类似成功案例的业绩证明文件</w:t>
      </w:r>
    </w:p>
    <w:p>
      <w:pPr>
        <w:snapToGrid w:val="0"/>
        <w:spacing w:line="400" w:lineRule="exact"/>
        <w:jc w:val="left"/>
        <w:rPr>
          <w:rFonts w:eastAsia="仿宋"/>
          <w:b/>
          <w:sz w:val="24"/>
          <w:highlight w:val="none"/>
        </w:rPr>
      </w:pPr>
      <w:r>
        <w:rPr>
          <w:rFonts w:eastAsia="仿宋"/>
          <w:b/>
          <w:sz w:val="24"/>
          <w:highlight w:val="none"/>
        </w:rPr>
        <w:br w:type="page"/>
      </w:r>
      <w:r>
        <w:rPr>
          <w:rFonts w:eastAsia="仿宋"/>
          <w:b/>
          <w:sz w:val="24"/>
          <w:highlight w:val="none"/>
        </w:rPr>
        <w:t>（1）</w:t>
      </w:r>
      <w:r>
        <w:rPr>
          <w:rFonts w:hint="eastAsia" w:eastAsia="仿宋"/>
          <w:b/>
          <w:sz w:val="24"/>
          <w:highlight w:val="none"/>
        </w:rPr>
        <w:t>报价</w:t>
      </w:r>
      <w:r>
        <w:rPr>
          <w:rFonts w:eastAsia="仿宋"/>
          <w:b/>
          <w:sz w:val="24"/>
          <w:highlight w:val="none"/>
        </w:rPr>
        <w:t>声明书格式：</w:t>
      </w:r>
    </w:p>
    <w:p>
      <w:pPr>
        <w:spacing w:line="400" w:lineRule="exact"/>
        <w:jc w:val="center"/>
        <w:rPr>
          <w:rFonts w:eastAsia="仿宋"/>
          <w:b/>
          <w:spacing w:val="6"/>
          <w:sz w:val="32"/>
          <w:szCs w:val="32"/>
          <w:highlight w:val="none"/>
        </w:rPr>
      </w:pPr>
    </w:p>
    <w:p>
      <w:pPr>
        <w:spacing w:line="400" w:lineRule="exact"/>
        <w:jc w:val="center"/>
        <w:rPr>
          <w:rFonts w:eastAsia="仿宋"/>
          <w:b/>
          <w:spacing w:val="6"/>
          <w:sz w:val="32"/>
          <w:szCs w:val="32"/>
          <w:highlight w:val="none"/>
        </w:rPr>
      </w:pPr>
      <w:r>
        <w:rPr>
          <w:rFonts w:hint="eastAsia" w:eastAsia="仿宋"/>
          <w:b/>
          <w:spacing w:val="6"/>
          <w:sz w:val="32"/>
          <w:szCs w:val="32"/>
          <w:highlight w:val="none"/>
        </w:rPr>
        <w:t>报价</w:t>
      </w:r>
      <w:r>
        <w:rPr>
          <w:rFonts w:eastAsia="仿宋"/>
          <w:b/>
          <w:spacing w:val="6"/>
          <w:sz w:val="32"/>
          <w:szCs w:val="32"/>
          <w:highlight w:val="none"/>
        </w:rPr>
        <w:t>声明书</w:t>
      </w:r>
    </w:p>
    <w:p>
      <w:pPr>
        <w:spacing w:line="400" w:lineRule="exact"/>
        <w:jc w:val="center"/>
        <w:rPr>
          <w:rFonts w:eastAsia="仿宋"/>
          <w:b/>
          <w:spacing w:val="6"/>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名称）系中华人民共和国合法企业，经营地址</w:t>
      </w:r>
      <w:r>
        <w:rPr>
          <w:rFonts w:eastAsia="仿宋"/>
          <w:sz w:val="24"/>
          <w:highlight w:val="none"/>
          <w:u w:val="single"/>
        </w:rPr>
        <w:t xml:space="preserve">                               </w:t>
      </w:r>
      <w:r>
        <w:rPr>
          <w:rFonts w:eastAsia="仿宋"/>
          <w:sz w:val="24"/>
          <w:highlight w:val="none"/>
        </w:rPr>
        <w:t>。</w:t>
      </w:r>
    </w:p>
    <w:p>
      <w:pPr>
        <w:snapToGrid w:val="0"/>
        <w:spacing w:line="400" w:lineRule="exact"/>
        <w:ind w:firstLine="645"/>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名称）的法定代表人（负责人），我方愿意参加贵方组织的</w:t>
      </w:r>
      <w:r>
        <w:rPr>
          <w:rFonts w:hint="eastAsia" w:eastAsia="仿宋"/>
          <w:sz w:val="24"/>
          <w:highlight w:val="none"/>
          <w:u w:val="single"/>
        </w:rPr>
        <w:t>广西自治区级公共安全视频监控建设联网应用项目第一批变更项目</w:t>
      </w:r>
      <w:r>
        <w:rPr>
          <w:rFonts w:hint="eastAsia" w:eastAsia="仿宋"/>
          <w:sz w:val="24"/>
          <w:highlight w:val="none"/>
          <w:u w:val="single"/>
          <w:lang w:val="en-US" w:eastAsia="zh-CN"/>
        </w:rPr>
        <w:t>设备</w:t>
      </w:r>
      <w:r>
        <w:rPr>
          <w:rFonts w:eastAsia="仿宋"/>
          <w:sz w:val="24"/>
          <w:highlight w:val="none"/>
        </w:rPr>
        <w:t>的</w:t>
      </w:r>
      <w:r>
        <w:rPr>
          <w:rFonts w:hint="eastAsia" w:eastAsia="仿宋"/>
          <w:sz w:val="24"/>
          <w:highlight w:val="none"/>
        </w:rPr>
        <w:t>报价</w:t>
      </w:r>
      <w:r>
        <w:rPr>
          <w:rFonts w:eastAsia="仿宋"/>
          <w:sz w:val="24"/>
          <w:highlight w:val="none"/>
        </w:rPr>
        <w:t>，为便于贵方公正、择优地确定成交人及其产品和服务，我方就本次</w:t>
      </w:r>
      <w:r>
        <w:rPr>
          <w:rFonts w:hint="eastAsia" w:eastAsia="仿宋"/>
          <w:sz w:val="24"/>
          <w:highlight w:val="none"/>
        </w:rPr>
        <w:t>报价</w:t>
      </w:r>
      <w:r>
        <w:rPr>
          <w:rFonts w:eastAsia="仿宋"/>
          <w:sz w:val="24"/>
          <w:highlight w:val="none"/>
        </w:rPr>
        <w:t>有关事项郑重声明如下：</w:t>
      </w:r>
    </w:p>
    <w:p>
      <w:pPr>
        <w:snapToGrid w:val="0"/>
        <w:spacing w:line="400" w:lineRule="exact"/>
        <w:ind w:firstLine="480" w:firstLineChars="200"/>
        <w:rPr>
          <w:rFonts w:eastAsia="仿宋"/>
          <w:sz w:val="24"/>
          <w:highlight w:val="none"/>
        </w:rPr>
      </w:pPr>
      <w:r>
        <w:rPr>
          <w:rFonts w:eastAsia="仿宋"/>
          <w:sz w:val="24"/>
          <w:highlight w:val="none"/>
        </w:rPr>
        <w:t>1.我方向贵方提交的所有响应文件、资料都是准确的和真实的。</w:t>
      </w:r>
    </w:p>
    <w:p>
      <w:pPr>
        <w:snapToGrid w:val="0"/>
        <w:spacing w:line="400" w:lineRule="exact"/>
        <w:ind w:firstLine="480" w:firstLineChars="200"/>
        <w:rPr>
          <w:rFonts w:eastAsia="仿宋"/>
          <w:sz w:val="24"/>
          <w:highlight w:val="none"/>
        </w:rPr>
      </w:pPr>
      <w:r>
        <w:rPr>
          <w:rFonts w:eastAsia="仿宋"/>
          <w:sz w:val="24"/>
          <w:highlight w:val="none"/>
        </w:rPr>
        <w:t>2.我方不是采购人的附属机构。</w:t>
      </w:r>
    </w:p>
    <w:p>
      <w:pPr>
        <w:snapToGrid w:val="0"/>
        <w:spacing w:line="400" w:lineRule="exact"/>
        <w:ind w:firstLine="480" w:firstLineChars="200"/>
        <w:rPr>
          <w:rFonts w:eastAsia="仿宋"/>
          <w:sz w:val="24"/>
          <w:highlight w:val="none"/>
        </w:rPr>
      </w:pPr>
      <w:r>
        <w:rPr>
          <w:rFonts w:eastAsia="仿宋"/>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pStyle w:val="13"/>
        <w:snapToGrid w:val="0"/>
        <w:spacing w:line="400" w:lineRule="exact"/>
        <w:ind w:firstLine="480" w:firstLineChars="200"/>
        <w:rPr>
          <w:rFonts w:ascii="Times New Roman" w:eastAsia="仿宋"/>
          <w:sz w:val="24"/>
          <w:szCs w:val="24"/>
          <w:highlight w:val="none"/>
        </w:rPr>
      </w:pPr>
      <w:r>
        <w:rPr>
          <w:rFonts w:ascii="Times New Roman" w:eastAsia="仿宋"/>
          <w:sz w:val="24"/>
          <w:szCs w:val="24"/>
          <w:highlight w:val="none"/>
        </w:rPr>
        <w:t>4.我方及由本人担任法定代表人</w:t>
      </w:r>
      <w:r>
        <w:rPr>
          <w:rFonts w:ascii="Times New Roman" w:eastAsia="仿宋"/>
          <w:sz w:val="24"/>
          <w:highlight w:val="none"/>
        </w:rPr>
        <w:t>（负责人）</w:t>
      </w:r>
      <w:r>
        <w:rPr>
          <w:rFonts w:ascii="Times New Roman" w:eastAsia="仿宋"/>
          <w:sz w:val="24"/>
          <w:szCs w:val="24"/>
          <w:highlight w:val="none"/>
        </w:rPr>
        <w:t>的其他机构最近三年内被通报或者被处罚的违法行为有：</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snapToGrid w:val="0"/>
        <w:spacing w:line="400" w:lineRule="exact"/>
        <w:ind w:firstLine="480" w:firstLineChars="200"/>
        <w:rPr>
          <w:rFonts w:eastAsia="仿宋"/>
          <w:sz w:val="24"/>
          <w:highlight w:val="none"/>
        </w:rPr>
      </w:pPr>
      <w:r>
        <w:rPr>
          <w:rFonts w:eastAsia="仿宋"/>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2</w:t>
      </w:r>
      <w:r>
        <w:rPr>
          <w:rFonts w:eastAsia="仿宋"/>
          <w:b/>
          <w:sz w:val="24"/>
          <w:highlight w:val="none"/>
        </w:rPr>
        <w:t>）</w:t>
      </w:r>
      <w:r>
        <w:rPr>
          <w:rFonts w:hint="eastAsia" w:eastAsia="仿宋"/>
          <w:b/>
          <w:sz w:val="24"/>
          <w:highlight w:val="none"/>
        </w:rPr>
        <w:t>有效的营业执照副本复印件并加盖公章；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3</w:t>
      </w:r>
      <w:r>
        <w:rPr>
          <w:rFonts w:eastAsia="仿宋"/>
          <w:b/>
          <w:sz w:val="24"/>
          <w:highlight w:val="none"/>
        </w:rPr>
        <w:t>）有效的法定代表人（负责人）身份证正反面复印件</w:t>
      </w:r>
      <w:r>
        <w:rPr>
          <w:rFonts w:hint="eastAsia" w:eastAsia="仿宋"/>
          <w:b/>
          <w:sz w:val="24"/>
          <w:highlight w:val="none"/>
        </w:rPr>
        <w:t>并加盖公章</w:t>
      </w:r>
      <w:r>
        <w:rPr>
          <w:rFonts w:eastAsia="仿宋"/>
          <w:b/>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）法定代表人（负责人）授权委托书格式（委托代理时提供）：</w:t>
      </w:r>
    </w:p>
    <w:p>
      <w:pPr>
        <w:pStyle w:val="36"/>
        <w:rPr>
          <w:highlight w:val="none"/>
        </w:rPr>
      </w:pPr>
    </w:p>
    <w:p>
      <w:pPr>
        <w:spacing w:line="400" w:lineRule="exact"/>
        <w:jc w:val="center"/>
        <w:rPr>
          <w:rFonts w:eastAsia="仿宋"/>
          <w:b/>
          <w:spacing w:val="6"/>
          <w:sz w:val="32"/>
          <w:szCs w:val="32"/>
          <w:highlight w:val="none"/>
        </w:rPr>
      </w:pPr>
    </w:p>
    <w:p>
      <w:pPr>
        <w:pStyle w:val="36"/>
        <w:rPr>
          <w:highlight w:val="none"/>
        </w:rPr>
      </w:pPr>
    </w:p>
    <w:p>
      <w:pPr>
        <w:spacing w:line="400" w:lineRule="exact"/>
        <w:jc w:val="center"/>
        <w:rPr>
          <w:rFonts w:eastAsia="仿宋"/>
          <w:b/>
          <w:spacing w:val="6"/>
          <w:sz w:val="32"/>
          <w:szCs w:val="32"/>
          <w:highlight w:val="none"/>
        </w:rPr>
      </w:pPr>
      <w:r>
        <w:rPr>
          <w:rFonts w:eastAsia="仿宋"/>
          <w:b/>
          <w:spacing w:val="6"/>
          <w:sz w:val="32"/>
          <w:szCs w:val="32"/>
          <w:highlight w:val="none"/>
        </w:rPr>
        <w:t>法定代表人（负责人）授权委托书</w:t>
      </w:r>
    </w:p>
    <w:p>
      <w:pPr>
        <w:snapToGrid w:val="0"/>
        <w:spacing w:line="400" w:lineRule="exact"/>
        <w:rPr>
          <w:rFonts w:eastAsia="仿宋"/>
          <w:bCs/>
          <w:sz w:val="24"/>
          <w:highlight w:val="none"/>
        </w:rPr>
      </w:pPr>
    </w:p>
    <w:p>
      <w:pPr>
        <w:snapToGrid w:val="0"/>
        <w:spacing w:line="400" w:lineRule="exact"/>
        <w:rPr>
          <w:rFonts w:eastAsia="仿宋"/>
          <w:b/>
          <w:bCs/>
          <w:sz w:val="24"/>
          <w:highlight w:val="none"/>
        </w:rPr>
      </w:pPr>
      <w:r>
        <w:rPr>
          <w:rFonts w:eastAsia="仿宋"/>
          <w:bCs/>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 xml:space="preserve">名称）的法定代表人（负责人），现授权委托本单位在职职工 </w:t>
      </w:r>
      <w:r>
        <w:rPr>
          <w:rFonts w:eastAsia="仿宋"/>
          <w:sz w:val="24"/>
          <w:highlight w:val="none"/>
          <w:u w:val="single"/>
        </w:rPr>
        <w:t xml:space="preserve">              </w:t>
      </w:r>
      <w:r>
        <w:rPr>
          <w:rFonts w:eastAsia="仿宋"/>
          <w:sz w:val="24"/>
          <w:highlight w:val="none"/>
        </w:rPr>
        <w:t>（姓名）以我方的名义参加</w:t>
      </w:r>
      <w:r>
        <w:rPr>
          <w:rFonts w:hint="eastAsia" w:eastAsia="仿宋"/>
          <w:sz w:val="24"/>
          <w:highlight w:val="none"/>
          <w:u w:val="single"/>
        </w:rPr>
        <w:t>广西自治区级公共安全视频监控建设联网应用项目第一批变更</w:t>
      </w:r>
      <w:r>
        <w:rPr>
          <w:rFonts w:eastAsia="仿宋"/>
          <w:sz w:val="24"/>
          <w:highlight w:val="none"/>
          <w:u w:val="single"/>
        </w:rPr>
        <w:t>项目</w:t>
      </w:r>
      <w:r>
        <w:rPr>
          <w:rFonts w:hint="eastAsia" w:eastAsia="仿宋"/>
          <w:sz w:val="24"/>
          <w:highlight w:val="none"/>
          <w:u w:val="single"/>
          <w:lang w:val="en-US" w:eastAsia="zh-CN"/>
        </w:rPr>
        <w:t>设备</w:t>
      </w:r>
      <w:r>
        <w:rPr>
          <w:rFonts w:eastAsia="仿宋"/>
          <w:sz w:val="24"/>
          <w:highlight w:val="none"/>
        </w:rPr>
        <w:t>的</w:t>
      </w:r>
      <w:r>
        <w:rPr>
          <w:rFonts w:hint="eastAsia" w:eastAsia="仿宋"/>
          <w:sz w:val="24"/>
          <w:highlight w:val="none"/>
        </w:rPr>
        <w:t>采购</w:t>
      </w:r>
      <w:r>
        <w:rPr>
          <w:rFonts w:eastAsia="仿宋"/>
          <w:sz w:val="24"/>
          <w:highlight w:val="none"/>
        </w:rPr>
        <w:t>活动，并代表我方全权办理针对上述项目</w:t>
      </w:r>
      <w:r>
        <w:rPr>
          <w:rFonts w:hint="eastAsia" w:eastAsia="仿宋"/>
          <w:sz w:val="24"/>
          <w:highlight w:val="none"/>
        </w:rPr>
        <w:t>采购活动</w:t>
      </w:r>
      <w:r>
        <w:rPr>
          <w:rFonts w:eastAsia="仿宋"/>
          <w:sz w:val="24"/>
          <w:highlight w:val="none"/>
        </w:rPr>
        <w:t>的具体事务和签署相关文件。</w:t>
      </w:r>
    </w:p>
    <w:p>
      <w:pPr>
        <w:snapToGrid w:val="0"/>
        <w:spacing w:line="400" w:lineRule="exact"/>
        <w:rPr>
          <w:rFonts w:eastAsia="仿宋"/>
          <w:sz w:val="24"/>
          <w:highlight w:val="none"/>
        </w:rPr>
      </w:pPr>
      <w:r>
        <w:rPr>
          <w:rFonts w:eastAsia="仿宋"/>
          <w:sz w:val="24"/>
          <w:highlight w:val="none"/>
        </w:rPr>
        <w:t xml:space="preserve">    我方对被授权人的签名事项负全部责任。</w:t>
      </w:r>
    </w:p>
    <w:p>
      <w:pPr>
        <w:snapToGrid w:val="0"/>
        <w:spacing w:line="400" w:lineRule="exact"/>
        <w:ind w:firstLine="480"/>
        <w:rPr>
          <w:rFonts w:eastAsia="仿宋"/>
          <w:sz w:val="24"/>
          <w:highlight w:val="none"/>
        </w:rPr>
      </w:pPr>
      <w:r>
        <w:rPr>
          <w:rFonts w:eastAsia="仿宋"/>
          <w:sz w:val="24"/>
          <w:highlight w:val="none"/>
          <w:u w:val="single"/>
        </w:rPr>
        <w:t>在撤销授权的书面通知以前，本授权书一直有效。</w:t>
      </w:r>
      <w:r>
        <w:rPr>
          <w:rFonts w:eastAsia="仿宋"/>
          <w:sz w:val="24"/>
          <w:highlight w:val="none"/>
        </w:rPr>
        <w:t>被授权人在授权书有效期内签署的所有文件不因授权的撤销而失效。</w:t>
      </w:r>
    </w:p>
    <w:p>
      <w:pPr>
        <w:snapToGrid w:val="0"/>
        <w:spacing w:line="400" w:lineRule="exact"/>
        <w:ind w:firstLine="480"/>
        <w:rPr>
          <w:rFonts w:eastAsia="仿宋"/>
          <w:sz w:val="24"/>
          <w:highlight w:val="none"/>
        </w:rPr>
      </w:pPr>
      <w:r>
        <w:rPr>
          <w:rFonts w:eastAsia="仿宋"/>
          <w:sz w:val="24"/>
          <w:highlight w:val="none"/>
        </w:rPr>
        <w:t>被授权人无转委托权，特此委托。</w:t>
      </w:r>
    </w:p>
    <w:p>
      <w:pPr>
        <w:wordWrap w:val="0"/>
        <w:snapToGrid w:val="0"/>
        <w:spacing w:line="400" w:lineRule="exact"/>
        <w:rPr>
          <w:rFonts w:eastAsia="仿宋"/>
          <w:sz w:val="24"/>
          <w:highlight w:val="none"/>
          <w:u w:val="single"/>
        </w:rPr>
      </w:pPr>
      <w:r>
        <w:rPr>
          <w:rFonts w:eastAsia="仿宋"/>
          <w:sz w:val="24"/>
          <w:highlight w:val="none"/>
        </w:rPr>
        <w:t>被授权人签名：</w:t>
      </w:r>
      <w:r>
        <w:rPr>
          <w:rFonts w:eastAsia="仿宋"/>
          <w:sz w:val="24"/>
          <w:highlight w:val="none"/>
          <w:u w:val="single"/>
        </w:rPr>
        <w:t xml:space="preserve">             </w:t>
      </w:r>
      <w:r>
        <w:rPr>
          <w:rFonts w:eastAsia="仿宋"/>
          <w:sz w:val="24"/>
          <w:highlight w:val="none"/>
        </w:rPr>
        <w:t xml:space="preserve">       法定代表人（负责人）签名：</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所在部门职务：</w:t>
      </w:r>
      <w:r>
        <w:rPr>
          <w:rFonts w:eastAsia="仿宋"/>
          <w:sz w:val="24"/>
          <w:highlight w:val="none"/>
          <w:u w:val="single"/>
        </w:rPr>
        <w:t xml:space="preserve">             </w:t>
      </w:r>
      <w:r>
        <w:rPr>
          <w:rFonts w:eastAsia="仿宋"/>
          <w:sz w:val="24"/>
          <w:highlight w:val="none"/>
        </w:rPr>
        <w:t xml:space="preserve">       职  务：</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被授权人身份证号码：</w:t>
      </w:r>
      <w:r>
        <w:rPr>
          <w:rFonts w:eastAsia="仿宋"/>
          <w:sz w:val="24"/>
          <w:highlight w:val="none"/>
          <w:u w:val="single"/>
        </w:rPr>
        <w:t xml:space="preserve">                              </w:t>
      </w:r>
    </w:p>
    <w:p>
      <w:pPr>
        <w:wordWrap w:val="0"/>
        <w:snapToGrid w:val="0"/>
        <w:spacing w:line="400" w:lineRule="exact"/>
        <w:ind w:firstLine="6720" w:firstLineChars="2800"/>
        <w:rPr>
          <w:rFonts w:eastAsia="仿宋"/>
          <w:sz w:val="24"/>
          <w:highlight w:val="none"/>
        </w:rPr>
      </w:pPr>
      <w:r>
        <w:rPr>
          <w:rFonts w:eastAsia="仿宋"/>
          <w:sz w:val="24"/>
          <w:highlight w:val="none"/>
        </w:rPr>
        <w:t xml:space="preserve">                                                                               </w:t>
      </w:r>
      <w:r>
        <w:rPr>
          <w:rFonts w:hint="eastAsia" w:eastAsia="仿宋"/>
          <w:sz w:val="24"/>
          <w:highlight w:val="none"/>
        </w:rPr>
        <w:t>供应商</w:t>
      </w:r>
      <w:r>
        <w:rPr>
          <w:rFonts w:eastAsia="仿宋"/>
          <w:sz w:val="24"/>
          <w:highlight w:val="none"/>
        </w:rPr>
        <w:t>公章：</w:t>
      </w:r>
      <w:r>
        <w:rPr>
          <w:rFonts w:eastAsia="仿宋"/>
          <w:sz w:val="24"/>
          <w:highlight w:val="none"/>
          <w:u w:val="single"/>
        </w:rPr>
        <w:t xml:space="preserve">            </w:t>
      </w:r>
    </w:p>
    <w:p>
      <w:pPr>
        <w:snapToGrid w:val="0"/>
        <w:spacing w:line="400" w:lineRule="exact"/>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5</w:t>
      </w:r>
      <w:r>
        <w:rPr>
          <w:rFonts w:eastAsia="仿宋"/>
          <w:b/>
          <w:sz w:val="24"/>
          <w:highlight w:val="none"/>
        </w:rPr>
        <w:t>）有效的委托代理人身份证正反面复印件</w:t>
      </w:r>
      <w:r>
        <w:rPr>
          <w:rFonts w:hint="eastAsia" w:eastAsia="仿宋"/>
          <w:b/>
          <w:sz w:val="24"/>
          <w:highlight w:val="none"/>
        </w:rPr>
        <w:t>并加盖公章</w:t>
      </w:r>
      <w:r>
        <w:rPr>
          <w:rFonts w:eastAsia="仿宋"/>
          <w:b/>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6</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任意连续3个月的有效依法缴纳税费或依法免缴税费的证明（无纳税记录的，应提供由</w:t>
      </w:r>
      <w:r>
        <w:rPr>
          <w:rFonts w:hint="eastAsia" w:eastAsia="仿宋"/>
          <w:b/>
          <w:sz w:val="24"/>
          <w:highlight w:val="none"/>
        </w:rPr>
        <w:t>供应商</w:t>
      </w:r>
      <w:r>
        <w:rPr>
          <w:rFonts w:eastAsia="仿宋"/>
          <w:b/>
          <w:sz w:val="24"/>
          <w:highlight w:val="none"/>
        </w:rPr>
        <w:t>所在地主管国税、地税部门出具的《依法纳税或依法免税证明》</w:t>
      </w:r>
      <w:r>
        <w:rPr>
          <w:rFonts w:hint="eastAsia" w:eastAsia="仿宋"/>
          <w:b/>
          <w:sz w:val="24"/>
          <w:highlight w:val="none"/>
        </w:rPr>
        <w:t>）</w:t>
      </w:r>
      <w:r>
        <w:rPr>
          <w:rFonts w:eastAsia="仿宋"/>
          <w:b/>
          <w:sz w:val="24"/>
          <w:highlight w:val="none"/>
        </w:rPr>
        <w:t>；</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，则提供公司成立后任意一个月的有效依法缴纳税费或依法免缴税费或依法在办缴税的证明（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7</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任意连续3个月的有效依法缴纳社保费的缴费凭证（无缴费记录的，应提供由</w:t>
      </w:r>
      <w:r>
        <w:rPr>
          <w:rFonts w:hint="eastAsia" w:eastAsia="仿宋"/>
          <w:b/>
          <w:sz w:val="24"/>
          <w:highlight w:val="none"/>
        </w:rPr>
        <w:t>供应商</w:t>
      </w:r>
      <w:r>
        <w:rPr>
          <w:rFonts w:eastAsia="仿宋"/>
          <w:b/>
          <w:sz w:val="24"/>
          <w:highlight w:val="none"/>
        </w:rPr>
        <w:t>所在地社保部门出具的《依法缴纳或依法免缴社保费证明》</w:t>
      </w:r>
      <w:r>
        <w:rPr>
          <w:rFonts w:hint="eastAsia" w:eastAsia="仿宋"/>
          <w:b/>
          <w:sz w:val="24"/>
          <w:highlight w:val="none"/>
        </w:rPr>
        <w:t>）</w:t>
      </w:r>
      <w:r>
        <w:rPr>
          <w:rFonts w:eastAsia="仿宋"/>
          <w:b/>
          <w:sz w:val="24"/>
          <w:highlight w:val="none"/>
        </w:rPr>
        <w:t>；</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hint="eastAsia" w:eastAsia="仿宋"/>
          <w:b/>
          <w:sz w:val="24"/>
          <w:highlight w:val="none"/>
        </w:rPr>
        <w:t>（8）响应文件递交截止之日前半年内任意连续3个月供应商为项目实施人员缴纳的社保证明（社保证明必须经供应商所在地的社保部门盖章确认，依法不参与社保的人员，应出具相关的证明文件；复印件加盖单位公章；）</w:t>
      </w:r>
    </w:p>
    <w:p>
      <w:pPr>
        <w:pStyle w:val="36"/>
        <w:rPr>
          <w:highlight w:val="none"/>
        </w:rPr>
      </w:pPr>
    </w:p>
    <w:p>
      <w:pPr>
        <w:pStyle w:val="36"/>
        <w:rPr>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供应商参加政府采购活动前3年内在经营活动中没有重大违法记录的书面声明（格式自拟，原件加盖单位公章），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供应商主体信用记录查询结果截图（加盖供应商单位公章）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11</w:t>
      </w:r>
      <w:r>
        <w:rPr>
          <w:rFonts w:eastAsia="仿宋"/>
          <w:b/>
          <w:sz w:val="24"/>
          <w:highlight w:val="none"/>
        </w:rPr>
        <w:t>）商务响应表格式：</w:t>
      </w:r>
    </w:p>
    <w:tbl>
      <w:tblPr>
        <w:tblStyle w:val="34"/>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hint="eastAsia" w:eastAsia="仿宋"/>
                <w:sz w:val="24"/>
                <w:highlight w:val="none"/>
              </w:rPr>
              <w:t>供应商</w:t>
            </w:r>
            <w:r>
              <w:rPr>
                <w:rFonts w:eastAsia="仿宋"/>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highlight w:val="none"/>
              </w:rPr>
            </w:pPr>
            <w:r>
              <w:rPr>
                <w:rFonts w:eastAsia="仿宋"/>
                <w:b/>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snapToGrid w:val="0"/>
        <w:spacing w:line="400" w:lineRule="exact"/>
        <w:ind w:firstLine="6720" w:firstLineChars="2800"/>
        <w:rPr>
          <w:rFonts w:eastAsia="仿宋"/>
          <w:sz w:val="24"/>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（1</w:t>
      </w:r>
      <w:r>
        <w:rPr>
          <w:rFonts w:hint="eastAsia" w:eastAsia="仿宋"/>
          <w:b/>
          <w:sz w:val="24"/>
          <w:highlight w:val="none"/>
        </w:rPr>
        <w:t>2</w:t>
      </w:r>
      <w:r>
        <w:rPr>
          <w:rFonts w:eastAsia="仿宋"/>
          <w:b/>
          <w:sz w:val="24"/>
          <w:highlight w:val="none"/>
        </w:rPr>
        <w:t>）服务承诺书（格式自拟）</w:t>
      </w:r>
    </w:p>
    <w:p>
      <w:pPr>
        <w:snapToGrid w:val="0"/>
        <w:spacing w:line="400" w:lineRule="exact"/>
        <w:jc w:val="left"/>
        <w:rPr>
          <w:rFonts w:eastAsia="仿宋"/>
          <w:b/>
          <w:sz w:val="24"/>
          <w:highlight w:val="none"/>
        </w:rPr>
      </w:pPr>
    </w:p>
    <w:p>
      <w:pPr>
        <w:rPr>
          <w:highlight w:val="none"/>
        </w:rPr>
        <w:sectPr>
          <w:footerReference r:id="rId12" w:type="default"/>
          <w:pgSz w:w="11906" w:h="16838"/>
          <w:pgMar w:top="1134" w:right="1134" w:bottom="1134" w:left="1134" w:header="851" w:footer="992" w:gutter="0"/>
          <w:cols w:space="720" w:num="1"/>
          <w:docGrid w:linePitch="312" w:charSpace="0"/>
        </w:sectPr>
      </w:pPr>
    </w:p>
    <w:p>
      <w:pPr>
        <w:pStyle w:val="2"/>
        <w:rPr>
          <w:highlight w:val="none"/>
        </w:rPr>
      </w:pPr>
    </w:p>
    <w:p>
      <w:pPr>
        <w:pStyle w:val="36"/>
        <w:rPr>
          <w:highlight w:val="none"/>
        </w:rPr>
      </w:pPr>
    </w:p>
    <w:p>
      <w:pPr>
        <w:pStyle w:val="36"/>
        <w:snapToGrid w:val="0"/>
        <w:spacing w:line="400" w:lineRule="exact"/>
        <w:rPr>
          <w:rFonts w:eastAsia="仿宋"/>
          <w:b/>
          <w:highlight w:val="none"/>
        </w:rPr>
      </w:pPr>
      <w:r>
        <w:rPr>
          <w:rFonts w:hint="eastAsia" w:eastAsia="仿宋"/>
          <w:b/>
          <w:highlight w:val="none"/>
        </w:rPr>
        <w:t>（13）供应商的类似成功案例的业绩证明文件：</w:t>
      </w:r>
    </w:p>
    <w:p>
      <w:pPr>
        <w:pStyle w:val="22"/>
        <w:snapToGrid w:val="0"/>
        <w:spacing w:line="400" w:lineRule="exact"/>
        <w:ind w:left="0" w:firstLine="480" w:firstLineChars="200"/>
        <w:jc w:val="left"/>
        <w:rPr>
          <w:rFonts w:eastAsia="仿宋"/>
          <w:sz w:val="24"/>
          <w:highlight w:val="none"/>
        </w:rPr>
      </w:pPr>
      <w:r>
        <w:rPr>
          <w:rFonts w:hint="eastAsia" w:eastAsia="仿宋"/>
          <w:sz w:val="24"/>
          <w:highlight w:val="none"/>
        </w:rPr>
        <w:t>供应商</w:t>
      </w:r>
      <w:r>
        <w:rPr>
          <w:rFonts w:eastAsia="仿宋"/>
          <w:sz w:val="24"/>
          <w:highlight w:val="none"/>
        </w:rPr>
        <w:t>同类项目实施情况一览表格式：（</w:t>
      </w:r>
      <w:r>
        <w:rPr>
          <w:rFonts w:hint="eastAsia" w:eastAsia="仿宋"/>
          <w:sz w:val="24"/>
          <w:highlight w:val="none"/>
        </w:rPr>
        <w:t>供应商</w:t>
      </w:r>
      <w:r>
        <w:rPr>
          <w:rFonts w:eastAsia="仿宋"/>
          <w:sz w:val="24"/>
          <w:highlight w:val="none"/>
        </w:rPr>
        <w:t>同类项目</w:t>
      </w:r>
      <w:r>
        <w:rPr>
          <w:rFonts w:hint="eastAsia" w:eastAsia="仿宋"/>
          <w:sz w:val="24"/>
          <w:highlight w:val="none"/>
        </w:rPr>
        <w:t>中标/成交通知书复印件或有效合同复印件并加盖磋商供应商公章</w:t>
      </w:r>
      <w:r>
        <w:rPr>
          <w:rFonts w:eastAsia="仿宋"/>
          <w:sz w:val="24"/>
          <w:highlight w:val="none"/>
        </w:rPr>
        <w:t>，格式可自拟）</w:t>
      </w:r>
    </w:p>
    <w:tbl>
      <w:tblPr>
        <w:tblStyle w:val="34"/>
        <w:tblW w:w="12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w:t>
            </w:r>
          </w:p>
          <w:p>
            <w:pPr>
              <w:snapToGrid w:val="0"/>
              <w:spacing w:line="400" w:lineRule="exact"/>
              <w:jc w:val="center"/>
              <w:rPr>
                <w:rFonts w:eastAsia="仿宋"/>
                <w:sz w:val="24"/>
                <w:highlight w:val="none"/>
              </w:rPr>
            </w:pPr>
            <w:r>
              <w:rPr>
                <w:rFonts w:eastAsia="仿宋"/>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p>
            <w:pPr>
              <w:snapToGrid w:val="0"/>
              <w:spacing w:line="400" w:lineRule="exact"/>
              <w:jc w:val="center"/>
              <w:rPr>
                <w:rFonts w:eastAsia="仿宋"/>
                <w:sz w:val="24"/>
                <w:highlight w:val="none"/>
              </w:rPr>
            </w:pPr>
            <w:r>
              <w:rPr>
                <w:rFonts w:eastAsia="仿宋"/>
                <w:sz w:val="24"/>
                <w:highlight w:val="none"/>
              </w:rPr>
              <w:t>金额</w:t>
            </w:r>
          </w:p>
          <w:p>
            <w:pPr>
              <w:snapToGrid w:val="0"/>
              <w:spacing w:line="400" w:lineRule="exact"/>
              <w:jc w:val="center"/>
              <w:rPr>
                <w:rFonts w:eastAsia="仿宋"/>
                <w:sz w:val="24"/>
                <w:highlight w:val="none"/>
              </w:rPr>
            </w:pPr>
            <w:r>
              <w:rPr>
                <w:rFonts w:eastAsia="仿宋"/>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采购单位联系人及</w:t>
            </w:r>
          </w:p>
          <w:p>
            <w:pPr>
              <w:snapToGrid w:val="0"/>
              <w:spacing w:line="400" w:lineRule="exact"/>
              <w:jc w:val="center"/>
              <w:rPr>
                <w:rFonts w:eastAsia="仿宋"/>
                <w:sz w:val="24"/>
                <w:highlight w:val="none"/>
              </w:rPr>
            </w:pPr>
            <w:r>
              <w:rPr>
                <w:rFonts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wordWrap w:val="0"/>
        <w:snapToGrid w:val="0"/>
        <w:spacing w:line="400" w:lineRule="exact"/>
        <w:ind w:right="120"/>
        <w:jc w:val="right"/>
        <w:rPr>
          <w:rFonts w:eastAsia="仿宋"/>
          <w:sz w:val="24"/>
          <w:highlight w:val="none"/>
        </w:rPr>
      </w:pPr>
    </w:p>
    <w:p>
      <w:pPr>
        <w:spacing w:line="300" w:lineRule="auto"/>
        <w:ind w:firstLine="720" w:firstLineChars="300"/>
        <w:rPr>
          <w:rFonts w:ascii="仿宋_GB2312" w:eastAsia="仿宋_GB2312"/>
          <w:sz w:val="24"/>
          <w:highlight w:val="none"/>
        </w:rPr>
      </w:pPr>
      <w:r>
        <w:rPr>
          <w:rFonts w:hint="eastAsia" w:ascii="仿宋_GB2312" w:eastAsia="仿宋_GB2312"/>
          <w:sz w:val="24"/>
          <w:highlight w:val="none"/>
        </w:rPr>
        <w:t>注：1.</w:t>
      </w:r>
      <w:r>
        <w:rPr>
          <w:rFonts w:hint="eastAsia" w:ascii="宋体" w:hAnsi="宋体"/>
          <w:szCs w:val="21"/>
          <w:highlight w:val="none"/>
        </w:rPr>
        <w:t>在填写时，如本表格不适合供应商的实际情况，可根据本表格式自行制表填写。</w:t>
      </w:r>
    </w:p>
    <w:p>
      <w:pPr>
        <w:spacing w:line="300" w:lineRule="auto"/>
        <w:ind w:firstLine="1155" w:firstLineChars="550"/>
        <w:rPr>
          <w:rFonts w:ascii="宋体" w:hAnsi="宋体"/>
          <w:szCs w:val="21"/>
          <w:highlight w:val="none"/>
        </w:rPr>
      </w:pPr>
      <w:r>
        <w:rPr>
          <w:rFonts w:hint="eastAsia" w:ascii="宋体" w:hAnsi="宋体"/>
          <w:szCs w:val="21"/>
          <w:highlight w:val="none"/>
        </w:rPr>
        <w:t>2.此清单由多页构成的，应逐页加盖供应商法人公章或由法定代表人（负责人）（或委托代理人）签字。</w:t>
      </w:r>
    </w:p>
    <w:p>
      <w:pPr>
        <w:pStyle w:val="36"/>
        <w:rPr>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jc w:val="right"/>
        <w:rPr>
          <w:rFonts w:eastAsia="仿宋"/>
          <w:sz w:val="24"/>
          <w:highlight w:val="none"/>
          <w:u w:val="singl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11760" w:firstLineChars="4900"/>
        <w:rPr>
          <w:rFonts w:eastAsia="仿宋"/>
          <w:sz w:val="24"/>
          <w:highlight w:val="none"/>
        </w:rPr>
      </w:pPr>
    </w:p>
    <w:p>
      <w:pPr>
        <w:snapToGrid w:val="0"/>
        <w:spacing w:line="400" w:lineRule="exact"/>
        <w:jc w:val="right"/>
        <w:rPr>
          <w:rFonts w:eastAsia="仿宋"/>
          <w:sz w:val="24"/>
          <w:highlight w:val="none"/>
        </w:rPr>
      </w:pPr>
      <w:r>
        <w:rPr>
          <w:rFonts w:eastAsia="仿宋"/>
          <w:sz w:val="24"/>
          <w:highlight w:val="none"/>
        </w:rPr>
        <w:t xml:space="preserve"> 年    月    日</w:t>
      </w:r>
    </w:p>
    <w:p>
      <w:pPr>
        <w:pStyle w:val="36"/>
        <w:rPr>
          <w:rFonts w:eastAsia="仿宋"/>
          <w:highlight w:val="none"/>
        </w:rPr>
      </w:pPr>
    </w:p>
    <w:p>
      <w:pPr>
        <w:pStyle w:val="22"/>
        <w:snapToGrid w:val="0"/>
        <w:spacing w:line="400" w:lineRule="exact"/>
        <w:ind w:left="480" w:hanging="480"/>
        <w:rPr>
          <w:rFonts w:eastAsia="仿宋"/>
          <w:sz w:val="24"/>
          <w:highlight w:val="none"/>
        </w:rPr>
      </w:pPr>
    </w:p>
    <w:p>
      <w:pPr>
        <w:pStyle w:val="36"/>
        <w:rPr>
          <w:rFonts w:eastAsia="仿宋"/>
          <w:highlight w:val="none"/>
        </w:rPr>
        <w:sectPr>
          <w:pgSz w:w="16838" w:h="11906" w:orient="landscape"/>
          <w:pgMar w:top="1134" w:right="1134" w:bottom="1134" w:left="1134" w:header="851" w:footer="992" w:gutter="0"/>
          <w:cols w:space="720" w:num="1"/>
          <w:docGrid w:linePitch="312" w:charSpace="0"/>
        </w:sectPr>
      </w:pPr>
    </w:p>
    <w:p>
      <w:pPr>
        <w:widowControl/>
        <w:jc w:val="left"/>
        <w:outlineLvl w:val="1"/>
        <w:rPr>
          <w:rFonts w:eastAsia="仿宋"/>
          <w:b/>
          <w:sz w:val="24"/>
          <w:highlight w:val="none"/>
        </w:rPr>
      </w:pPr>
      <w:r>
        <w:rPr>
          <w:rFonts w:eastAsia="仿宋"/>
          <w:b/>
          <w:sz w:val="24"/>
          <w:highlight w:val="none"/>
        </w:rPr>
        <w:t>三、技术文件格式</w:t>
      </w:r>
    </w:p>
    <w:p>
      <w:pPr>
        <w:snapToGrid w:val="0"/>
        <w:spacing w:before="156" w:beforeLines="50" w:after="50"/>
        <w:rPr>
          <w:rFonts w:eastAsia="仿宋"/>
          <w:b/>
          <w:sz w:val="24"/>
          <w:highlight w:val="none"/>
        </w:rPr>
      </w:pPr>
    </w:p>
    <w:p>
      <w:pPr>
        <w:snapToGrid w:val="0"/>
        <w:spacing w:before="156" w:beforeLines="50" w:after="50"/>
        <w:outlineLvl w:val="2"/>
        <w:rPr>
          <w:rFonts w:eastAsia="仿宋"/>
          <w:b/>
          <w:sz w:val="24"/>
          <w:highlight w:val="none"/>
        </w:rPr>
      </w:pPr>
      <w:r>
        <w:rPr>
          <w:rFonts w:eastAsia="仿宋"/>
          <w:b/>
          <w:sz w:val="24"/>
          <w:highlight w:val="none"/>
        </w:rPr>
        <w:t xml:space="preserve">1.技术文件内封面格式（格式可自拟）： </w:t>
      </w:r>
    </w:p>
    <w:p>
      <w:pPr>
        <w:snapToGrid w:val="0"/>
        <w:spacing w:before="156" w:beforeLines="50" w:after="50"/>
        <w:jc w:val="center"/>
        <w:rPr>
          <w:rFonts w:eastAsia="仿宋"/>
          <w:b/>
          <w:bCs/>
          <w:sz w:val="52"/>
          <w:szCs w:val="52"/>
          <w:highlight w:val="none"/>
        </w:rPr>
      </w:pPr>
    </w:p>
    <w:p>
      <w:pPr>
        <w:snapToGrid w:val="0"/>
        <w:spacing w:before="156" w:beforeLines="50" w:after="50"/>
        <w:jc w:val="center"/>
        <w:rPr>
          <w:rFonts w:eastAsia="仿宋"/>
          <w:b/>
          <w:bCs/>
          <w:sz w:val="52"/>
          <w:szCs w:val="52"/>
          <w:highlight w:val="none"/>
        </w:rPr>
      </w:pPr>
      <w:r>
        <w:rPr>
          <w:rFonts w:eastAsia="仿宋"/>
          <w:b/>
          <w:bCs/>
          <w:sz w:val="52"/>
          <w:szCs w:val="52"/>
          <w:highlight w:val="none"/>
        </w:rPr>
        <w:t>技 术 文 件</w:t>
      </w:r>
    </w:p>
    <w:p>
      <w:pPr>
        <w:snapToGrid w:val="0"/>
        <w:spacing w:before="156" w:beforeLines="50" w:after="50"/>
        <w:rPr>
          <w:rFonts w:eastAsia="仿宋"/>
          <w:bCs/>
          <w:sz w:val="24"/>
          <w:szCs w:val="20"/>
          <w:highlight w:val="none"/>
        </w:rPr>
      </w:pP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56" w:beforeLines="50" w:after="50"/>
        <w:ind w:firstLine="960" w:firstLineChars="400"/>
        <w:rPr>
          <w:rFonts w:eastAsia="仿宋"/>
          <w:bCs/>
          <w:sz w:val="24"/>
          <w:szCs w:val="20"/>
          <w:highlight w:val="none"/>
        </w:rPr>
      </w:pPr>
    </w:p>
    <w:p>
      <w:pPr>
        <w:snapToGrid w:val="0"/>
        <w:spacing w:before="50" w:after="50" w:line="280" w:lineRule="exact"/>
        <w:rPr>
          <w:rFonts w:eastAsia="仿宋"/>
          <w:b/>
          <w:szCs w:val="21"/>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技术文件目录</w:t>
      </w:r>
    </w:p>
    <w:p>
      <w:pPr>
        <w:snapToGrid w:val="0"/>
        <w:spacing w:line="400" w:lineRule="exact"/>
        <w:jc w:val="left"/>
        <w:rPr>
          <w:rFonts w:eastAsia="仿宋"/>
          <w:sz w:val="24"/>
          <w:highlight w:val="none"/>
        </w:rPr>
      </w:pPr>
      <w:r>
        <w:rPr>
          <w:rFonts w:eastAsia="仿宋"/>
          <w:sz w:val="24"/>
          <w:highlight w:val="none"/>
        </w:rPr>
        <w:t>（1）技术响应表</w:t>
      </w:r>
    </w:p>
    <w:p>
      <w:pPr>
        <w:snapToGrid w:val="0"/>
        <w:spacing w:line="400" w:lineRule="exact"/>
        <w:jc w:val="left"/>
        <w:rPr>
          <w:rFonts w:eastAsia="仿宋"/>
          <w:sz w:val="24"/>
          <w:highlight w:val="none"/>
        </w:rPr>
      </w:pPr>
      <w:r>
        <w:rPr>
          <w:rFonts w:eastAsia="仿宋"/>
          <w:sz w:val="24"/>
          <w:highlight w:val="none"/>
        </w:rPr>
        <w:t>（2）</w:t>
      </w:r>
      <w:r>
        <w:rPr>
          <w:rFonts w:hint="eastAsia" w:eastAsia="仿宋"/>
          <w:sz w:val="24"/>
          <w:highlight w:val="none"/>
        </w:rPr>
        <w:t>实施</w:t>
      </w:r>
      <w:r>
        <w:rPr>
          <w:rFonts w:eastAsia="仿宋"/>
          <w:sz w:val="24"/>
          <w:highlight w:val="none"/>
        </w:rPr>
        <w:t>方案</w:t>
      </w:r>
    </w:p>
    <w:p>
      <w:pPr>
        <w:snapToGrid w:val="0"/>
        <w:spacing w:line="400" w:lineRule="exact"/>
        <w:jc w:val="left"/>
        <w:rPr>
          <w:rFonts w:eastAsia="仿宋"/>
          <w:sz w:val="24"/>
          <w:highlight w:val="none"/>
        </w:rPr>
      </w:pPr>
      <w:r>
        <w:rPr>
          <w:rFonts w:eastAsia="仿宋"/>
          <w:sz w:val="24"/>
          <w:highlight w:val="none"/>
        </w:rPr>
        <w:t>（3）</w:t>
      </w:r>
      <w:r>
        <w:rPr>
          <w:rFonts w:hint="eastAsia" w:eastAsia="仿宋"/>
          <w:sz w:val="24"/>
          <w:highlight w:val="none"/>
        </w:rPr>
        <w:t>故障处置</w:t>
      </w:r>
      <w:r>
        <w:rPr>
          <w:rFonts w:eastAsia="仿宋"/>
          <w:sz w:val="24"/>
          <w:highlight w:val="none"/>
        </w:rPr>
        <w:t>方案</w:t>
      </w:r>
    </w:p>
    <w:p>
      <w:pPr>
        <w:pStyle w:val="2"/>
        <w:jc w:val="left"/>
        <w:rPr>
          <w:highlight w:val="none"/>
        </w:rPr>
      </w:pPr>
      <w:r>
        <w:rPr>
          <w:rFonts w:eastAsia="仿宋"/>
          <w:sz w:val="24"/>
          <w:highlight w:val="none"/>
        </w:rPr>
        <w:t>（4）项目实施人员一览表</w:t>
      </w:r>
    </w:p>
    <w:p>
      <w:pPr>
        <w:pStyle w:val="36"/>
        <w:outlineLvl w:val="2"/>
        <w:rPr>
          <w:highlight w:val="none"/>
        </w:rPr>
      </w:pPr>
      <w:r>
        <w:rPr>
          <w:rFonts w:eastAsia="仿宋"/>
          <w:b/>
          <w:highlight w:val="none"/>
        </w:rPr>
        <w:t>可作为</w:t>
      </w:r>
      <w:r>
        <w:rPr>
          <w:rFonts w:hint="eastAsia" w:eastAsia="仿宋"/>
          <w:b/>
          <w:highlight w:val="none"/>
        </w:rPr>
        <w:t>供应商</w:t>
      </w:r>
      <w:r>
        <w:rPr>
          <w:rFonts w:eastAsia="仿宋"/>
          <w:b/>
          <w:highlight w:val="none"/>
        </w:rPr>
        <w:t>技术评分的材料（</w:t>
      </w:r>
      <w:r>
        <w:rPr>
          <w:rFonts w:hint="eastAsia" w:eastAsia="仿宋"/>
          <w:b/>
          <w:highlight w:val="none"/>
        </w:rPr>
        <w:t>供应商</w:t>
      </w:r>
      <w:r>
        <w:rPr>
          <w:rFonts w:eastAsia="仿宋"/>
          <w:b/>
          <w:highlight w:val="none"/>
        </w:rPr>
        <w:t>可根据自身情况选择提供）：</w:t>
      </w:r>
    </w:p>
    <w:p>
      <w:pPr>
        <w:snapToGrid w:val="0"/>
        <w:spacing w:line="400" w:lineRule="exact"/>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w:t>
      </w:r>
      <w:r>
        <w:rPr>
          <w:rFonts w:hint="eastAsia" w:eastAsia="仿宋"/>
          <w:sz w:val="24"/>
          <w:highlight w:val="none"/>
        </w:rPr>
        <w:t>供应商认为需要提供的其他证明材料</w:t>
      </w:r>
    </w:p>
    <w:p>
      <w:pPr>
        <w:snapToGrid w:val="0"/>
        <w:spacing w:line="400" w:lineRule="exact"/>
        <w:jc w:val="left"/>
        <w:outlineLvl w:val="2"/>
        <w:rPr>
          <w:rFonts w:eastAsia="仿宋"/>
          <w:b/>
          <w:sz w:val="24"/>
          <w:highlight w:val="none"/>
        </w:rPr>
      </w:pPr>
      <w:r>
        <w:rPr>
          <w:rFonts w:eastAsia="仿宋"/>
          <w:sz w:val="24"/>
          <w:highlight w:val="none"/>
        </w:rPr>
        <w:br w:type="page"/>
      </w:r>
      <w:r>
        <w:rPr>
          <w:rFonts w:eastAsia="仿宋"/>
          <w:b/>
          <w:sz w:val="24"/>
          <w:highlight w:val="none"/>
        </w:rPr>
        <w:t>（1）技术响应表格式：</w:t>
      </w:r>
    </w:p>
    <w:p>
      <w:pPr>
        <w:snapToGrid w:val="0"/>
        <w:spacing w:line="400" w:lineRule="exact"/>
        <w:ind w:firstLine="361" w:firstLineChars="150"/>
        <w:jc w:val="left"/>
        <w:rPr>
          <w:rFonts w:eastAsia="仿宋"/>
          <w:b/>
          <w:sz w:val="24"/>
          <w:highlight w:val="none"/>
        </w:rPr>
      </w:pPr>
    </w:p>
    <w:tbl>
      <w:tblPr>
        <w:tblStyle w:val="34"/>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1" w:name="_Toc254970699"/>
            <w:bookmarkStart w:id="22" w:name="_Toc254970558"/>
            <w:r>
              <w:rPr>
                <w:rFonts w:eastAsia="仿宋"/>
                <w:spacing w:val="20"/>
                <w:sz w:val="24"/>
                <w:highlight w:val="none"/>
              </w:rPr>
              <w:t>采购文件要求</w:t>
            </w:r>
            <w:bookmarkEnd w:id="21"/>
            <w:bookmarkEnd w:id="22"/>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3" w:name="_Toc254970559"/>
            <w:bookmarkStart w:id="24" w:name="_Toc254970700"/>
            <w:r>
              <w:rPr>
                <w:rFonts w:eastAsia="仿宋"/>
                <w:spacing w:val="20"/>
                <w:sz w:val="24"/>
                <w:highlight w:val="none"/>
              </w:rPr>
              <w:t>响应文件响应</w:t>
            </w:r>
            <w:bookmarkEnd w:id="23"/>
            <w:bookmarkEnd w:id="24"/>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rPr>
                <w:rFonts w:ascii="Times New Roman" w:hAnsi="Times New Roman" w:eastAsia="仿宋"/>
                <w:spacing w:val="20"/>
                <w:kern w:val="2"/>
                <w:sz w:val="24"/>
                <w:szCs w:val="24"/>
                <w:highlight w:val="none"/>
              </w:rPr>
            </w:pPr>
            <w:bookmarkStart w:id="25" w:name="_Toc301424943"/>
            <w:bookmarkStart w:id="26" w:name="_Toc293863064"/>
            <w:bookmarkStart w:id="27" w:name="_Toc293863334"/>
            <w:bookmarkStart w:id="28" w:name="_Toc326217569"/>
            <w:bookmarkStart w:id="29" w:name="_Toc254970701"/>
            <w:bookmarkStart w:id="30" w:name="_Toc254970560"/>
            <w:r>
              <w:rPr>
                <w:rFonts w:ascii="Times New Roman" w:hAnsi="Times New Roman" w:eastAsia="仿宋"/>
                <w:spacing w:val="20"/>
                <w:kern w:val="2"/>
                <w:sz w:val="24"/>
                <w:szCs w:val="24"/>
                <w:highlight w:val="none"/>
              </w:rPr>
              <w:t>偏离情况</w:t>
            </w:r>
            <w:bookmarkEnd w:id="25"/>
            <w:bookmarkEnd w:id="26"/>
            <w:bookmarkEnd w:id="27"/>
            <w:bookmarkEnd w:id="28"/>
            <w:bookmarkEnd w:id="29"/>
            <w:bookmarkEnd w:id="3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highlight w:val="none"/>
              </w:rPr>
            </w:pPr>
            <w:r>
              <w:rPr>
                <w:rFonts w:eastAsia="仿宋"/>
                <w:b/>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bl>
    <w:p>
      <w:pPr>
        <w:pStyle w:val="12"/>
        <w:spacing w:line="400" w:lineRule="exact"/>
        <w:ind w:firstLine="420" w:firstLineChars="200"/>
        <w:rPr>
          <w:rFonts w:eastAsia="仿宋"/>
          <w:spacing w:val="20"/>
          <w:sz w:val="21"/>
          <w:szCs w:val="21"/>
          <w:highlight w:val="none"/>
        </w:rPr>
      </w:pPr>
      <w:r>
        <w:rPr>
          <w:rFonts w:eastAsia="仿宋"/>
          <w:sz w:val="21"/>
          <w:szCs w:val="21"/>
          <w:highlight w:val="none"/>
        </w:rPr>
        <w:t>注：</w:t>
      </w:r>
      <w:r>
        <w:rPr>
          <w:rFonts w:hint="eastAsia" w:eastAsia="仿宋"/>
          <w:sz w:val="21"/>
          <w:szCs w:val="21"/>
          <w:highlight w:val="none"/>
        </w:rPr>
        <w:t>供应商</w:t>
      </w:r>
      <w:r>
        <w:rPr>
          <w:rFonts w:eastAsia="仿宋"/>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5"/>
        </w:numPr>
        <w:snapToGrid w:val="0"/>
        <w:spacing w:line="400" w:lineRule="exact"/>
        <w:jc w:val="left"/>
        <w:outlineLvl w:val="2"/>
        <w:rPr>
          <w:rFonts w:eastAsia="仿宋"/>
          <w:b/>
          <w:sz w:val="24"/>
          <w:highlight w:val="none"/>
        </w:rPr>
      </w:pPr>
      <w:r>
        <w:rPr>
          <w:rFonts w:hint="eastAsia" w:eastAsia="仿宋"/>
          <w:b/>
          <w:sz w:val="24"/>
          <w:highlight w:val="none"/>
        </w:rPr>
        <w:t>服务</w:t>
      </w:r>
      <w:r>
        <w:rPr>
          <w:rFonts w:eastAsia="仿宋"/>
          <w:b/>
          <w:sz w:val="24"/>
          <w:highlight w:val="none"/>
        </w:rPr>
        <w:t>方案（格式自拟）</w:t>
      </w:r>
    </w:p>
    <w:p>
      <w:pPr>
        <w:snapToGrid w:val="0"/>
        <w:spacing w:line="400" w:lineRule="exact"/>
        <w:jc w:val="left"/>
        <w:rPr>
          <w:rFonts w:eastAsia="仿宋"/>
          <w:b/>
          <w:sz w:val="24"/>
          <w:highlight w:val="none"/>
        </w:rPr>
      </w:pPr>
    </w:p>
    <w:p>
      <w:pPr>
        <w:pStyle w:val="36"/>
        <w:rPr>
          <w:rFonts w:eastAsia="仿宋"/>
          <w:b/>
          <w:highlight w:val="none"/>
        </w:rPr>
      </w:pPr>
    </w:p>
    <w:p>
      <w:pPr>
        <w:pStyle w:val="36"/>
        <w:outlineLvl w:val="2"/>
        <w:rPr>
          <w:rFonts w:eastAsia="仿宋"/>
          <w:b/>
          <w:highlight w:val="none"/>
        </w:rPr>
      </w:pPr>
      <w:r>
        <w:rPr>
          <w:rFonts w:hint="eastAsia" w:eastAsia="仿宋"/>
          <w:b/>
          <w:highlight w:val="none"/>
        </w:rPr>
        <w:t>（3）项目实施人员一览表</w:t>
      </w:r>
    </w:p>
    <w:p>
      <w:pPr>
        <w:spacing w:before="312" w:beforeLines="100" w:after="468" w:afterLines="150" w:line="320" w:lineRule="exact"/>
        <w:jc w:val="center"/>
        <w:rPr>
          <w:rFonts w:ascii="宋体" w:hAnsi="宋体"/>
          <w:b/>
          <w:sz w:val="32"/>
          <w:szCs w:val="32"/>
          <w:highlight w:val="none"/>
        </w:rPr>
      </w:pPr>
      <w:r>
        <w:rPr>
          <w:rFonts w:hint="eastAsia" w:ascii="宋体" w:hAnsi="宋体"/>
          <w:b/>
          <w:sz w:val="32"/>
          <w:szCs w:val="32"/>
          <w:highlight w:val="none"/>
        </w:rPr>
        <w:t>项目实施人员一览表（格式）</w:t>
      </w:r>
    </w:p>
    <w:tbl>
      <w:tblPr>
        <w:tblStyle w:val="34"/>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vAlign w:val="center"/>
          </w:tcPr>
          <w:p>
            <w:pPr>
              <w:pStyle w:val="79"/>
              <w:spacing w:before="182"/>
              <w:jc w:val="center"/>
              <w:rPr>
                <w:sz w:val="24"/>
                <w:highlight w:val="none"/>
              </w:rPr>
            </w:pPr>
            <w:r>
              <w:rPr>
                <w:sz w:val="24"/>
                <w:highlight w:val="none"/>
              </w:rPr>
              <w:t>姓名</w:t>
            </w:r>
          </w:p>
        </w:tc>
        <w:tc>
          <w:tcPr>
            <w:tcW w:w="1129" w:type="dxa"/>
            <w:vAlign w:val="center"/>
          </w:tcPr>
          <w:p>
            <w:pPr>
              <w:pStyle w:val="79"/>
              <w:spacing w:before="182"/>
              <w:jc w:val="center"/>
              <w:rPr>
                <w:sz w:val="24"/>
                <w:highlight w:val="none"/>
              </w:rPr>
            </w:pPr>
            <w:r>
              <w:rPr>
                <w:sz w:val="24"/>
                <w:highlight w:val="none"/>
              </w:rPr>
              <w:t>职务</w:t>
            </w:r>
          </w:p>
        </w:tc>
        <w:tc>
          <w:tcPr>
            <w:tcW w:w="2050" w:type="dxa"/>
            <w:vAlign w:val="center"/>
          </w:tcPr>
          <w:p>
            <w:pPr>
              <w:pStyle w:val="79"/>
              <w:spacing w:before="182"/>
              <w:jc w:val="center"/>
              <w:rPr>
                <w:sz w:val="24"/>
                <w:highlight w:val="none"/>
              </w:rPr>
            </w:pPr>
            <w:r>
              <w:rPr>
                <w:rFonts w:hint="eastAsia"/>
                <w:sz w:val="24"/>
                <w:highlight w:val="none"/>
              </w:rPr>
              <w:t>职称</w:t>
            </w:r>
            <w:r>
              <w:rPr>
                <w:rFonts w:hint="eastAsia"/>
                <w:sz w:val="24"/>
                <w:highlight w:val="none"/>
                <w:lang w:val="en-US"/>
              </w:rPr>
              <w:t>/</w:t>
            </w:r>
            <w:r>
              <w:rPr>
                <w:sz w:val="24"/>
                <w:highlight w:val="none"/>
              </w:rPr>
              <w:t>专业技术资格</w:t>
            </w:r>
          </w:p>
        </w:tc>
        <w:tc>
          <w:tcPr>
            <w:tcW w:w="1235" w:type="dxa"/>
            <w:vAlign w:val="center"/>
          </w:tcPr>
          <w:p>
            <w:pPr>
              <w:pStyle w:val="79"/>
              <w:spacing w:before="182"/>
              <w:jc w:val="center"/>
              <w:rPr>
                <w:sz w:val="24"/>
                <w:highlight w:val="none"/>
              </w:rPr>
            </w:pPr>
            <w:r>
              <w:rPr>
                <w:sz w:val="24"/>
                <w:highlight w:val="none"/>
              </w:rPr>
              <w:t>证书编号</w:t>
            </w:r>
          </w:p>
        </w:tc>
        <w:tc>
          <w:tcPr>
            <w:tcW w:w="2550" w:type="dxa"/>
            <w:vAlign w:val="center"/>
          </w:tcPr>
          <w:p>
            <w:pPr>
              <w:pStyle w:val="79"/>
              <w:spacing w:before="182"/>
              <w:jc w:val="center"/>
              <w:rPr>
                <w:sz w:val="24"/>
                <w:highlight w:val="none"/>
              </w:rPr>
            </w:pPr>
            <w:r>
              <w:rPr>
                <w:sz w:val="24"/>
                <w:highlight w:val="none"/>
              </w:rPr>
              <w:t>参加本单位工作时间</w:t>
            </w:r>
          </w:p>
        </w:tc>
        <w:tc>
          <w:tcPr>
            <w:tcW w:w="901" w:type="dxa"/>
            <w:vAlign w:val="center"/>
          </w:tcPr>
          <w:p>
            <w:pPr>
              <w:pStyle w:val="79"/>
              <w:spacing w:before="182"/>
              <w:jc w:val="center"/>
              <w:rPr>
                <w:sz w:val="24"/>
                <w:highlight w:val="none"/>
              </w:rPr>
            </w:pPr>
            <w:r>
              <w:rPr>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bl>
    <w:p>
      <w:pPr>
        <w:tabs>
          <w:tab w:val="left" w:pos="1065"/>
        </w:tabs>
        <w:adjustRightInd w:val="0"/>
        <w:snapToGrid w:val="0"/>
        <w:spacing w:line="300" w:lineRule="auto"/>
        <w:rPr>
          <w:rFonts w:ascii="宋体" w:hAnsi="宋体"/>
          <w:szCs w:val="21"/>
          <w:highlight w:val="none"/>
        </w:rPr>
      </w:pPr>
      <w:r>
        <w:rPr>
          <w:rFonts w:hint="eastAsia" w:ascii="宋体" w:hAnsi="宋体"/>
          <w:szCs w:val="21"/>
          <w:highlight w:val="none"/>
        </w:rPr>
        <w:tab/>
      </w:r>
    </w:p>
    <w:p>
      <w:pPr>
        <w:spacing w:line="300" w:lineRule="auto"/>
        <w:ind w:firstLine="630" w:firstLineChars="300"/>
        <w:rPr>
          <w:rFonts w:ascii="宋体" w:hAnsi="宋体"/>
          <w:szCs w:val="21"/>
          <w:highlight w:val="none"/>
        </w:rPr>
      </w:pPr>
      <w:r>
        <w:rPr>
          <w:rFonts w:hint="eastAsia" w:ascii="宋体" w:hAnsi="宋体"/>
          <w:szCs w:val="21"/>
          <w:highlight w:val="none"/>
        </w:rPr>
        <w:t>说明：</w:t>
      </w:r>
    </w:p>
    <w:p>
      <w:pPr>
        <w:spacing w:line="300" w:lineRule="auto"/>
        <w:ind w:firstLine="630" w:firstLineChars="300"/>
        <w:rPr>
          <w:rFonts w:ascii="宋体" w:hAnsi="宋体"/>
          <w:szCs w:val="21"/>
          <w:highlight w:val="none"/>
        </w:rPr>
      </w:pPr>
      <w:r>
        <w:rPr>
          <w:rFonts w:hint="eastAsia" w:ascii="宋体" w:hAnsi="宋体"/>
          <w:szCs w:val="21"/>
          <w:highlight w:val="none"/>
        </w:rPr>
        <w:t>1、在填写时，如本表格不适合供应商的实际情况，可根据本表格式自行制表填写。</w:t>
      </w:r>
    </w:p>
    <w:p>
      <w:pPr>
        <w:spacing w:line="300" w:lineRule="auto"/>
        <w:ind w:firstLine="630" w:firstLineChars="300"/>
        <w:rPr>
          <w:rFonts w:ascii="宋体" w:hAnsi="宋体"/>
          <w:szCs w:val="21"/>
          <w:highlight w:val="none"/>
        </w:rPr>
      </w:pPr>
      <w:r>
        <w:rPr>
          <w:rFonts w:ascii="宋体" w:hAnsi="宋体"/>
          <w:bCs/>
          <w:szCs w:val="21"/>
          <w:highlight w:val="none"/>
        </w:rPr>
        <w:t>2</w:t>
      </w:r>
      <w:r>
        <w:rPr>
          <w:rFonts w:hint="eastAsia" w:ascii="宋体" w:hAnsi="宋体"/>
          <w:bCs/>
          <w:szCs w:val="21"/>
          <w:highlight w:val="none"/>
        </w:rPr>
        <w:t>、</w:t>
      </w:r>
      <w:r>
        <w:rPr>
          <w:rFonts w:hint="eastAsia" w:ascii="宋体" w:hAnsi="宋体"/>
          <w:szCs w:val="21"/>
          <w:highlight w:val="none"/>
        </w:rPr>
        <w:t>此清单由多页构成的，应逐页加盖供应商法人公章或由法定代表人（负责人）（或委托代理人）签字。</w:t>
      </w:r>
    </w:p>
    <w:p>
      <w:pPr>
        <w:adjustRightInd w:val="0"/>
        <w:snapToGrid w:val="0"/>
        <w:spacing w:line="300" w:lineRule="auto"/>
        <w:rPr>
          <w:rFonts w:ascii="宋体" w:hAnsi="宋体"/>
          <w:szCs w:val="21"/>
          <w:highlight w:val="none"/>
        </w:rPr>
      </w:pPr>
    </w:p>
    <w:p>
      <w:pPr>
        <w:pStyle w:val="36"/>
        <w:rPr>
          <w:highlight w:val="none"/>
        </w:rPr>
      </w:pPr>
    </w:p>
    <w:p>
      <w:pPr>
        <w:pStyle w:val="36"/>
        <w:rPr>
          <w:highlight w:val="none"/>
        </w:rPr>
      </w:pPr>
    </w:p>
    <w:p>
      <w:pPr>
        <w:pStyle w:val="15"/>
        <w:ind w:firstLine="5200" w:firstLineChars="2600"/>
        <w:rPr>
          <w:highlight w:val="none"/>
        </w:rPr>
      </w:pPr>
      <w:r>
        <w:rPr>
          <w:rFonts w:hint="eastAsia"/>
          <w:highlight w:val="none"/>
        </w:rPr>
        <w:t xml:space="preserve">供应商(公章)  </w:t>
      </w:r>
      <w:r>
        <w:rPr>
          <w:rFonts w:hint="eastAsia"/>
          <w:highlight w:val="none"/>
          <w:u w:val="single"/>
        </w:rPr>
        <w:t xml:space="preserve">                              </w:t>
      </w:r>
    </w:p>
    <w:p>
      <w:pPr>
        <w:adjustRightInd w:val="0"/>
        <w:snapToGrid w:val="0"/>
        <w:spacing w:line="300" w:lineRule="auto"/>
        <w:rPr>
          <w:rFonts w:ascii="宋体" w:hAnsi="宋体"/>
          <w:szCs w:val="21"/>
          <w:highlight w:val="none"/>
        </w:rPr>
      </w:pPr>
    </w:p>
    <w:p>
      <w:pPr>
        <w:adjustRightInd w:val="0"/>
        <w:snapToGrid w:val="0"/>
        <w:spacing w:line="300" w:lineRule="auto"/>
        <w:ind w:firstLine="4515" w:firstLineChars="2150"/>
        <w:rPr>
          <w:rFonts w:ascii="宋体" w:hAnsi="宋体"/>
          <w:szCs w:val="21"/>
          <w:highlight w:val="none"/>
          <w:u w:val="single"/>
        </w:rPr>
      </w:pPr>
      <w:r>
        <w:rPr>
          <w:rFonts w:hint="eastAsia" w:ascii="宋体" w:hAnsi="宋体"/>
          <w:szCs w:val="21"/>
          <w:highlight w:val="none"/>
        </w:rPr>
        <w:t>法定代表人（负责人）或授权代表签字：</w:t>
      </w:r>
      <w:r>
        <w:rPr>
          <w:rFonts w:hint="eastAsia" w:ascii="宋体" w:hAnsi="宋体"/>
          <w:szCs w:val="21"/>
          <w:highlight w:val="none"/>
          <w:u w:val="single"/>
        </w:rPr>
        <w:t xml:space="preserve">              </w:t>
      </w:r>
    </w:p>
    <w:p>
      <w:pPr>
        <w:snapToGrid w:val="0"/>
        <w:spacing w:line="400" w:lineRule="exact"/>
        <w:ind w:firstLine="6720" w:firstLineChars="3200"/>
        <w:jc w:val="left"/>
        <w:rPr>
          <w:rFonts w:eastAsia="仿宋"/>
          <w:b/>
          <w:sz w:val="24"/>
          <w:highlight w:val="none"/>
        </w:rPr>
      </w:pPr>
      <w:r>
        <w:rPr>
          <w:rFonts w:hint="eastAsia" w:hAnsi="宋体"/>
          <w:highlight w:val="none"/>
          <w:u w:val="single"/>
        </w:rPr>
        <w:t xml:space="preserve">      </w:t>
      </w:r>
      <w:r>
        <w:rPr>
          <w:rFonts w:hint="eastAsia" w:hAnsi="宋体"/>
          <w:highlight w:val="none"/>
        </w:rPr>
        <w:t>年</w:t>
      </w:r>
      <w:r>
        <w:rPr>
          <w:rFonts w:hint="eastAsia" w:hAnsi="宋体"/>
          <w:highlight w:val="none"/>
          <w:u w:val="single"/>
        </w:rPr>
        <w:t xml:space="preserve">   </w:t>
      </w:r>
      <w:r>
        <w:rPr>
          <w:rFonts w:hint="eastAsia" w:hAnsi="宋体"/>
          <w:highlight w:val="none"/>
        </w:rPr>
        <w:t>月</w:t>
      </w:r>
      <w:r>
        <w:rPr>
          <w:rFonts w:hint="eastAsia" w:hAnsi="宋体"/>
          <w:highlight w:val="none"/>
          <w:u w:val="single"/>
        </w:rPr>
        <w:t xml:space="preserve">   </w:t>
      </w:r>
      <w:r>
        <w:rPr>
          <w:rFonts w:hint="eastAsia" w:hAnsi="宋体"/>
          <w:highlight w:val="none"/>
        </w:rPr>
        <w:t>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outlineLvl w:val="2"/>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w:t>
      </w:r>
      <w:r>
        <w:rPr>
          <w:rFonts w:hint="eastAsia" w:eastAsia="仿宋"/>
          <w:b/>
          <w:sz w:val="24"/>
          <w:highlight w:val="none"/>
        </w:rPr>
        <w:t>供应商认为需要提供的其他证明材料</w:t>
      </w:r>
      <w:r>
        <w:rPr>
          <w:rFonts w:eastAsia="仿宋"/>
          <w:b/>
          <w:sz w:val="24"/>
          <w:highlight w:val="none"/>
        </w:rPr>
        <w:t>（格式自拟）</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before="50" w:after="156" w:afterLines="50"/>
        <w:jc w:val="left"/>
        <w:outlineLvl w:val="1"/>
        <w:rPr>
          <w:rFonts w:eastAsia="仿宋"/>
          <w:b/>
          <w:sz w:val="24"/>
          <w:highlight w:val="none"/>
        </w:rPr>
      </w:pPr>
      <w:r>
        <w:rPr>
          <w:rFonts w:eastAsia="仿宋"/>
          <w:b/>
          <w:bCs/>
          <w:sz w:val="24"/>
          <w:highlight w:val="none"/>
        </w:rPr>
        <w:br w:type="page"/>
      </w:r>
      <w:r>
        <w:rPr>
          <w:rFonts w:eastAsia="仿宋"/>
          <w:b/>
          <w:bCs/>
          <w:sz w:val="24"/>
          <w:highlight w:val="none"/>
        </w:rPr>
        <w:t>四、报价文件格式</w:t>
      </w:r>
    </w:p>
    <w:p>
      <w:pPr>
        <w:widowControl/>
        <w:jc w:val="left"/>
        <w:outlineLvl w:val="2"/>
        <w:rPr>
          <w:rFonts w:eastAsia="仿宋"/>
          <w:b/>
          <w:sz w:val="24"/>
          <w:highlight w:val="none"/>
        </w:rPr>
      </w:pPr>
      <w:r>
        <w:rPr>
          <w:rFonts w:eastAsia="仿宋"/>
          <w:b/>
          <w:sz w:val="24"/>
          <w:highlight w:val="none"/>
        </w:rPr>
        <w:t>1.报价文件内封面格式（格式可自拟）：</w:t>
      </w:r>
    </w:p>
    <w:p>
      <w:pPr>
        <w:snapToGrid w:val="0"/>
        <w:spacing w:before="156" w:beforeLines="50" w:after="50" w:line="400" w:lineRule="exact"/>
        <w:jc w:val="center"/>
        <w:rPr>
          <w:rFonts w:eastAsia="仿宋"/>
          <w:b/>
          <w:bCs/>
          <w:sz w:val="52"/>
          <w:szCs w:val="52"/>
          <w:highlight w:val="none"/>
        </w:rPr>
      </w:pPr>
      <w:r>
        <w:rPr>
          <w:rFonts w:eastAsia="仿宋"/>
          <w:b/>
          <w:bCs/>
          <w:sz w:val="52"/>
          <w:szCs w:val="52"/>
          <w:highlight w:val="none"/>
        </w:rPr>
        <w:t>报 价 文 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hint="eastAsia" w:eastAsia="仿宋"/>
          <w:b/>
          <w:sz w:val="24"/>
          <w:highlight w:val="none"/>
        </w:rPr>
        <w:t>报价</w:t>
      </w:r>
      <w:r>
        <w:rPr>
          <w:rFonts w:eastAsia="仿宋"/>
          <w:b/>
          <w:sz w:val="24"/>
          <w:highlight w:val="none"/>
        </w:rPr>
        <w:t>函格式：</w:t>
      </w:r>
    </w:p>
    <w:p>
      <w:pPr>
        <w:snapToGrid w:val="0"/>
        <w:spacing w:line="400" w:lineRule="exact"/>
        <w:jc w:val="center"/>
        <w:rPr>
          <w:rFonts w:eastAsia="仿宋"/>
          <w:b/>
          <w:sz w:val="32"/>
          <w:szCs w:val="32"/>
          <w:highlight w:val="none"/>
        </w:rPr>
      </w:pPr>
      <w:r>
        <w:rPr>
          <w:rFonts w:hint="eastAsia" w:eastAsia="仿宋"/>
          <w:b/>
          <w:sz w:val="32"/>
          <w:szCs w:val="32"/>
          <w:highlight w:val="none"/>
        </w:rPr>
        <w:t>报 价</w:t>
      </w:r>
      <w:r>
        <w:rPr>
          <w:rFonts w:eastAsia="仿宋"/>
          <w:b/>
          <w:sz w:val="32"/>
          <w:szCs w:val="32"/>
          <w:highlight w:val="none"/>
        </w:rPr>
        <w:t xml:space="preserve"> 函</w:t>
      </w:r>
    </w:p>
    <w:p>
      <w:pPr>
        <w:snapToGrid w:val="0"/>
        <w:spacing w:line="400" w:lineRule="exact"/>
        <w:jc w:val="center"/>
        <w:rPr>
          <w:rFonts w:eastAsia="仿宋"/>
          <w:b/>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480"/>
        <w:rPr>
          <w:rFonts w:eastAsia="仿宋"/>
          <w:sz w:val="24"/>
          <w:highlight w:val="none"/>
        </w:rPr>
      </w:pPr>
      <w:r>
        <w:rPr>
          <w:rFonts w:eastAsia="仿宋"/>
          <w:sz w:val="24"/>
          <w:highlight w:val="none"/>
        </w:rPr>
        <w:t>根据贵方</w:t>
      </w:r>
      <w:r>
        <w:rPr>
          <w:rFonts w:hint="eastAsia" w:eastAsia="仿宋"/>
          <w:sz w:val="24"/>
          <w:highlight w:val="none"/>
          <w:u w:val="single"/>
        </w:rPr>
        <w:t>广西自治区级公共安全视频监控建设联网应用项目第一批变更</w:t>
      </w:r>
      <w:r>
        <w:rPr>
          <w:rFonts w:hint="eastAsia" w:eastAsia="仿宋"/>
          <w:sz w:val="24"/>
          <w:highlight w:val="none"/>
          <w:u w:val="single"/>
          <w:lang w:eastAsia="zh-CN"/>
        </w:rPr>
        <w:t>项目</w:t>
      </w:r>
      <w:r>
        <w:rPr>
          <w:rFonts w:hint="eastAsia" w:eastAsia="仿宋"/>
          <w:sz w:val="24"/>
          <w:highlight w:val="none"/>
          <w:u w:val="single"/>
          <w:lang w:val="en-US" w:eastAsia="zh-CN"/>
        </w:rPr>
        <w:t>设备</w:t>
      </w:r>
      <w:r>
        <w:rPr>
          <w:rFonts w:hint="eastAsia" w:eastAsia="仿宋"/>
          <w:sz w:val="24"/>
          <w:highlight w:val="none"/>
        </w:rPr>
        <w:t>的采购</w:t>
      </w:r>
      <w:r>
        <w:rPr>
          <w:rFonts w:eastAsia="仿宋"/>
          <w:sz w:val="24"/>
          <w:highlight w:val="none"/>
        </w:rPr>
        <w:t>文件，签字代表</w:t>
      </w:r>
      <w:r>
        <w:rPr>
          <w:rFonts w:eastAsia="仿宋"/>
          <w:sz w:val="24"/>
          <w:highlight w:val="none"/>
          <w:u w:val="single"/>
        </w:rPr>
        <w:t xml:space="preserve">             </w:t>
      </w:r>
      <w:r>
        <w:rPr>
          <w:rFonts w:eastAsia="仿宋"/>
          <w:sz w:val="24"/>
          <w:highlight w:val="none"/>
        </w:rPr>
        <w:t>（全名）经正式授权并代表</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名称）提交响应文件正本一份、副本</w:t>
      </w:r>
      <w:r>
        <w:rPr>
          <w:rFonts w:hint="eastAsia" w:eastAsia="仿宋"/>
          <w:sz w:val="24"/>
          <w:highlight w:val="none"/>
        </w:rPr>
        <w:t>二</w:t>
      </w:r>
      <w:r>
        <w:rPr>
          <w:rFonts w:eastAsia="仿宋"/>
          <w:sz w:val="24"/>
          <w:highlight w:val="none"/>
        </w:rPr>
        <w:t>份。</w:t>
      </w:r>
    </w:p>
    <w:p>
      <w:pPr>
        <w:snapToGrid w:val="0"/>
        <w:spacing w:line="400" w:lineRule="exact"/>
        <w:ind w:firstLine="480" w:firstLineChars="200"/>
        <w:rPr>
          <w:rFonts w:eastAsia="仿宋"/>
          <w:sz w:val="24"/>
          <w:highlight w:val="none"/>
        </w:rPr>
      </w:pPr>
      <w:r>
        <w:rPr>
          <w:rFonts w:eastAsia="仿宋"/>
          <w:sz w:val="24"/>
          <w:highlight w:val="none"/>
        </w:rPr>
        <w:t>据此函，签字代表宣布同意如下：</w:t>
      </w:r>
    </w:p>
    <w:p>
      <w:pPr>
        <w:snapToGrid w:val="0"/>
        <w:spacing w:line="400" w:lineRule="exact"/>
        <w:ind w:firstLine="480" w:firstLineChars="200"/>
        <w:rPr>
          <w:rFonts w:eastAsia="仿宋"/>
          <w:sz w:val="24"/>
          <w:highlight w:val="none"/>
        </w:rPr>
      </w:pPr>
      <w:r>
        <w:rPr>
          <w:rFonts w:eastAsia="仿宋"/>
          <w:sz w:val="24"/>
          <w:highlight w:val="none"/>
        </w:rPr>
        <w:t>1、</w:t>
      </w:r>
      <w:r>
        <w:rPr>
          <w:rFonts w:hint="eastAsia" w:eastAsia="仿宋"/>
          <w:sz w:val="24"/>
          <w:highlight w:val="none"/>
        </w:rPr>
        <w:t>供应商</w:t>
      </w:r>
      <w:r>
        <w:rPr>
          <w:rFonts w:eastAsia="仿宋"/>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highlight w:val="none"/>
        </w:rPr>
      </w:pPr>
      <w:r>
        <w:rPr>
          <w:rFonts w:eastAsia="仿宋"/>
          <w:sz w:val="24"/>
          <w:highlight w:val="none"/>
        </w:rPr>
        <w:t>2、</w:t>
      </w:r>
      <w:r>
        <w:rPr>
          <w:rFonts w:hint="eastAsia" w:eastAsia="仿宋"/>
          <w:sz w:val="24"/>
          <w:highlight w:val="none"/>
        </w:rPr>
        <w:t>供应商</w:t>
      </w:r>
      <w:r>
        <w:rPr>
          <w:rFonts w:eastAsia="仿宋"/>
          <w:sz w:val="24"/>
          <w:highlight w:val="none"/>
        </w:rPr>
        <w:t>在参与</w:t>
      </w:r>
      <w:r>
        <w:rPr>
          <w:rFonts w:hint="eastAsia" w:eastAsia="仿宋"/>
          <w:sz w:val="24"/>
          <w:highlight w:val="none"/>
        </w:rPr>
        <w:t>报价</w:t>
      </w:r>
      <w:r>
        <w:rPr>
          <w:rFonts w:eastAsia="仿宋"/>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highlight w:val="none"/>
        </w:rPr>
      </w:pPr>
      <w:r>
        <w:rPr>
          <w:rFonts w:eastAsia="仿宋"/>
          <w:sz w:val="24"/>
          <w:highlight w:val="none"/>
        </w:rPr>
        <w:t>3、如成交，本响应文件至本项目合同履行完毕止均保持有效，本</w:t>
      </w:r>
      <w:r>
        <w:rPr>
          <w:rFonts w:hint="eastAsia" w:eastAsia="仿宋"/>
          <w:sz w:val="24"/>
          <w:highlight w:val="none"/>
        </w:rPr>
        <w:t>供应商</w:t>
      </w:r>
      <w:r>
        <w:rPr>
          <w:rFonts w:eastAsia="仿宋"/>
          <w:sz w:val="24"/>
          <w:highlight w:val="none"/>
        </w:rPr>
        <w:t>将按“采购文件”及政府采购法律、法规的规定履行合同责任和义务。</w:t>
      </w:r>
    </w:p>
    <w:p>
      <w:pPr>
        <w:snapToGrid w:val="0"/>
        <w:spacing w:line="400" w:lineRule="exact"/>
        <w:ind w:firstLine="480" w:firstLineChars="200"/>
        <w:rPr>
          <w:rFonts w:eastAsia="仿宋"/>
          <w:sz w:val="24"/>
          <w:highlight w:val="none"/>
        </w:rPr>
      </w:pPr>
      <w:r>
        <w:rPr>
          <w:rFonts w:hint="eastAsia" w:eastAsia="仿宋"/>
          <w:sz w:val="24"/>
          <w:highlight w:val="none"/>
        </w:rPr>
        <w:t>4</w:t>
      </w:r>
      <w:r>
        <w:rPr>
          <w:rFonts w:eastAsia="仿宋"/>
          <w:sz w:val="24"/>
          <w:highlight w:val="none"/>
        </w:rPr>
        <w:t>、</w:t>
      </w:r>
      <w:r>
        <w:rPr>
          <w:rFonts w:hint="eastAsia" w:eastAsia="仿宋"/>
          <w:sz w:val="24"/>
          <w:highlight w:val="none"/>
        </w:rPr>
        <w:t>供应商</w:t>
      </w:r>
      <w:r>
        <w:rPr>
          <w:rFonts w:eastAsia="仿宋"/>
          <w:sz w:val="24"/>
          <w:highlight w:val="none"/>
        </w:rPr>
        <w:t>同意按照贵方要求提供与</w:t>
      </w:r>
      <w:r>
        <w:rPr>
          <w:rFonts w:hint="eastAsia" w:eastAsia="仿宋"/>
          <w:sz w:val="24"/>
          <w:highlight w:val="none"/>
        </w:rPr>
        <w:t>项目报价</w:t>
      </w:r>
      <w:r>
        <w:rPr>
          <w:rFonts w:eastAsia="仿宋"/>
          <w:sz w:val="24"/>
          <w:highlight w:val="none"/>
        </w:rPr>
        <w:t>有关的一切数据或资料。</w:t>
      </w:r>
    </w:p>
    <w:p>
      <w:pPr>
        <w:snapToGrid w:val="0"/>
        <w:spacing w:line="400" w:lineRule="exact"/>
        <w:ind w:firstLine="480" w:firstLineChars="200"/>
        <w:rPr>
          <w:rFonts w:eastAsia="仿宋"/>
          <w:sz w:val="24"/>
          <w:highlight w:val="none"/>
        </w:rPr>
      </w:pPr>
      <w:r>
        <w:rPr>
          <w:rFonts w:hint="eastAsia" w:eastAsia="仿宋"/>
          <w:sz w:val="24"/>
          <w:highlight w:val="none"/>
        </w:rPr>
        <w:t>5</w:t>
      </w:r>
      <w:r>
        <w:rPr>
          <w:rFonts w:eastAsia="仿宋"/>
          <w:sz w:val="24"/>
          <w:highlight w:val="none"/>
        </w:rPr>
        <w:t>、与本次</w:t>
      </w:r>
      <w:r>
        <w:rPr>
          <w:rFonts w:hint="eastAsia" w:eastAsia="仿宋"/>
          <w:sz w:val="24"/>
          <w:highlight w:val="none"/>
        </w:rPr>
        <w:t>报价</w:t>
      </w:r>
      <w:r>
        <w:rPr>
          <w:rFonts w:eastAsia="仿宋"/>
          <w:sz w:val="24"/>
          <w:highlight w:val="none"/>
        </w:rPr>
        <w:t>有关的一切正式往来信函请寄：</w:t>
      </w:r>
    </w:p>
    <w:p>
      <w:pPr>
        <w:wordWrap w:val="0"/>
        <w:snapToGrid w:val="0"/>
        <w:spacing w:line="400" w:lineRule="exact"/>
        <w:rPr>
          <w:rFonts w:eastAsia="仿宋"/>
          <w:sz w:val="24"/>
          <w:highlight w:val="none"/>
          <w:u w:val="single"/>
        </w:rPr>
      </w:pPr>
      <w:r>
        <w:rPr>
          <w:rFonts w:eastAsia="仿宋"/>
          <w:sz w:val="24"/>
          <w:highlight w:val="none"/>
        </w:rPr>
        <w:t>地址：</w:t>
      </w:r>
      <w:r>
        <w:rPr>
          <w:rFonts w:eastAsia="仿宋"/>
          <w:sz w:val="24"/>
          <w:highlight w:val="none"/>
          <w:u w:val="single"/>
        </w:rPr>
        <w:t xml:space="preserve">                       </w:t>
      </w:r>
      <w:r>
        <w:rPr>
          <w:rFonts w:eastAsia="仿宋"/>
          <w:sz w:val="24"/>
          <w:highlight w:val="none"/>
        </w:rPr>
        <w:t>邮编：</w:t>
      </w:r>
      <w:r>
        <w:rPr>
          <w:rFonts w:eastAsia="仿宋"/>
          <w:sz w:val="24"/>
          <w:highlight w:val="none"/>
          <w:u w:val="single"/>
        </w:rPr>
        <w:t xml:space="preserve">               </w:t>
      </w:r>
      <w:r>
        <w:rPr>
          <w:rFonts w:eastAsia="仿宋"/>
          <w:sz w:val="24"/>
          <w:highlight w:val="none"/>
        </w:rPr>
        <w:t xml:space="preserve">   电话：</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eastAsia="仿宋"/>
          <w:sz w:val="24"/>
          <w:highlight w:val="none"/>
        </w:rPr>
        <w:t>传真：</w:t>
      </w:r>
      <w:r>
        <w:rPr>
          <w:rFonts w:eastAsia="仿宋"/>
          <w:sz w:val="24"/>
          <w:highlight w:val="none"/>
          <w:u w:val="single"/>
        </w:rPr>
        <w:t xml:space="preserve">                       </w:t>
      </w:r>
      <w:r>
        <w:rPr>
          <w:rFonts w:hint="eastAsia" w:eastAsia="仿宋"/>
          <w:sz w:val="24"/>
          <w:highlight w:val="none"/>
        </w:rPr>
        <w:t>供应商</w:t>
      </w:r>
      <w:r>
        <w:rPr>
          <w:rFonts w:eastAsia="仿宋"/>
          <w:sz w:val="24"/>
          <w:highlight w:val="none"/>
        </w:rPr>
        <w:t>代表姓名：</w:t>
      </w:r>
      <w:r>
        <w:rPr>
          <w:rFonts w:eastAsia="仿宋"/>
          <w:sz w:val="24"/>
          <w:highlight w:val="none"/>
          <w:u w:val="single"/>
        </w:rPr>
        <w:t xml:space="preserve">                </w:t>
      </w:r>
      <w:r>
        <w:rPr>
          <w:rFonts w:eastAsia="仿宋"/>
          <w:sz w:val="24"/>
          <w:highlight w:val="none"/>
        </w:rPr>
        <w:t xml:space="preserve">  职务：</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hint="eastAsia" w:eastAsia="仿宋"/>
          <w:sz w:val="24"/>
          <w:highlight w:val="none"/>
        </w:rPr>
        <w:t>供应商</w:t>
      </w:r>
      <w:r>
        <w:rPr>
          <w:rFonts w:eastAsia="仿宋"/>
          <w:sz w:val="24"/>
          <w:highlight w:val="none"/>
        </w:rPr>
        <w:t>名称（公章）：</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开户银行：</w:t>
      </w:r>
      <w:r>
        <w:rPr>
          <w:rFonts w:eastAsia="仿宋"/>
          <w:sz w:val="24"/>
          <w:highlight w:val="none"/>
          <w:u w:val="single"/>
        </w:rPr>
        <w:t xml:space="preserve">                      </w:t>
      </w:r>
      <w:r>
        <w:rPr>
          <w:rFonts w:eastAsia="仿宋"/>
          <w:sz w:val="24"/>
          <w:highlight w:val="none"/>
        </w:rPr>
        <w:t xml:space="preserve">   </w:t>
      </w:r>
      <w:r>
        <w:rPr>
          <w:rFonts w:hint="eastAsia" w:eastAsia="仿宋"/>
          <w:sz w:val="24"/>
          <w:highlight w:val="none"/>
        </w:rPr>
        <w:t>银行账号</w:t>
      </w:r>
      <w:r>
        <w:rPr>
          <w:rFonts w:eastAsia="仿宋"/>
          <w:sz w:val="24"/>
          <w:highlight w:val="none"/>
        </w:rPr>
        <w:t>：</w:t>
      </w:r>
      <w:r>
        <w:rPr>
          <w:rFonts w:eastAsia="仿宋"/>
          <w:sz w:val="24"/>
          <w:highlight w:val="none"/>
          <w:u w:val="single"/>
        </w:rPr>
        <w:t xml:space="preserve">                    </w:t>
      </w:r>
      <w:r>
        <w:rPr>
          <w:rFonts w:eastAsia="仿宋"/>
          <w:sz w:val="24"/>
          <w:highlight w:val="none"/>
        </w:rPr>
        <w:t xml:space="preserve"> </w:t>
      </w:r>
    </w:p>
    <w:p>
      <w:pPr>
        <w:wordWrap w:val="0"/>
        <w:snapToGrid w:val="0"/>
        <w:spacing w:line="400" w:lineRule="exact"/>
        <w:rPr>
          <w:rFonts w:eastAsia="仿宋"/>
          <w:sz w:val="24"/>
          <w:highlight w:val="none"/>
        </w:rPr>
      </w:pPr>
      <w:r>
        <w:rPr>
          <w:rFonts w:eastAsia="仿宋"/>
          <w:sz w:val="24"/>
          <w:highlight w:val="none"/>
        </w:rPr>
        <w:t>授权代表签字或盖章：</w:t>
      </w:r>
      <w:r>
        <w:rPr>
          <w:rFonts w:eastAsia="仿宋"/>
          <w:sz w:val="24"/>
          <w:highlight w:val="none"/>
          <w:u w:val="single"/>
        </w:rPr>
        <w:t xml:space="preserve">                                       </w:t>
      </w:r>
    </w:p>
    <w:p>
      <w:pPr>
        <w:snapToGrid w:val="0"/>
        <w:spacing w:line="400" w:lineRule="exact"/>
        <w:ind w:firstLine="7080" w:firstLineChars="2950"/>
        <w:rPr>
          <w:rFonts w:eastAsia="仿宋"/>
          <w:sz w:val="24"/>
          <w:highlight w:val="none"/>
        </w:rPr>
      </w:pPr>
      <w:r>
        <w:rPr>
          <w:rFonts w:eastAsia="仿宋"/>
          <w:sz w:val="24"/>
          <w:highlight w:val="none"/>
        </w:rPr>
        <w:t>（公章）</w:t>
      </w:r>
    </w:p>
    <w:p>
      <w:pPr>
        <w:snapToGrid w:val="0"/>
        <w:spacing w:line="400" w:lineRule="exact"/>
        <w:rPr>
          <w:rFonts w:eastAsia="仿宋"/>
          <w:sz w:val="24"/>
          <w:highlight w:val="none"/>
        </w:rPr>
      </w:pPr>
      <w:r>
        <w:rPr>
          <w:rFonts w:eastAsia="仿宋"/>
          <w:sz w:val="24"/>
          <w:highlight w:val="none"/>
        </w:rPr>
        <w:t xml:space="preserve">                                                        </w:t>
      </w:r>
      <w:r>
        <w:rPr>
          <w:rFonts w:eastAsia="仿宋"/>
          <w:sz w:val="24"/>
          <w:highlight w:val="none"/>
          <w:u w:val="single"/>
        </w:rPr>
        <w:t xml:space="preserve">     </w:t>
      </w:r>
      <w:r>
        <w:rPr>
          <w:rFonts w:eastAsia="仿宋"/>
          <w:sz w:val="24"/>
          <w:highlight w:val="none"/>
        </w:rPr>
        <w:t>年</w:t>
      </w:r>
      <w:r>
        <w:rPr>
          <w:rFonts w:eastAsia="仿宋"/>
          <w:sz w:val="24"/>
          <w:highlight w:val="none"/>
          <w:u w:val="single"/>
        </w:rPr>
        <w:t xml:space="preserve">     </w:t>
      </w:r>
      <w:r>
        <w:rPr>
          <w:rFonts w:eastAsia="仿宋"/>
          <w:sz w:val="24"/>
          <w:highlight w:val="none"/>
        </w:rPr>
        <w:t>月</w:t>
      </w:r>
      <w:r>
        <w:rPr>
          <w:rFonts w:eastAsia="仿宋"/>
          <w:sz w:val="24"/>
          <w:highlight w:val="none"/>
          <w:u w:val="single"/>
        </w:rPr>
        <w:t xml:space="preserve">     </w:t>
      </w:r>
      <w:r>
        <w:rPr>
          <w:rFonts w:eastAsia="仿宋"/>
          <w:sz w:val="24"/>
          <w:highlight w:val="none"/>
        </w:rPr>
        <w:t>日</w:t>
      </w: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3.报价表格式：</w:t>
      </w:r>
    </w:p>
    <w:p>
      <w:pPr>
        <w:pStyle w:val="15"/>
        <w:snapToGrid w:val="0"/>
        <w:spacing w:line="400" w:lineRule="exact"/>
        <w:jc w:val="center"/>
        <w:outlineLvl w:val="1"/>
        <w:rPr>
          <w:rFonts w:ascii="Times New Roman" w:hAnsi="Times New Roman" w:eastAsia="仿宋"/>
          <w:b/>
          <w:sz w:val="28"/>
          <w:szCs w:val="28"/>
          <w:highlight w:val="none"/>
        </w:rPr>
      </w:pPr>
      <w:r>
        <w:rPr>
          <w:rFonts w:ascii="Times New Roman" w:hAnsi="Times New Roman" w:eastAsia="仿宋"/>
          <w:b/>
          <w:sz w:val="28"/>
          <w:szCs w:val="28"/>
          <w:highlight w:val="none"/>
        </w:rPr>
        <w:t>报价表</w:t>
      </w:r>
    </w:p>
    <w:p>
      <w:pPr>
        <w:snapToGrid w:val="0"/>
        <w:spacing w:line="400" w:lineRule="exact"/>
        <w:ind w:firstLine="360" w:firstLineChars="150"/>
        <w:jc w:val="left"/>
        <w:rPr>
          <w:rFonts w:eastAsia="仿宋"/>
          <w:sz w:val="24"/>
          <w:highlight w:val="none"/>
        </w:rPr>
      </w:pPr>
      <w:r>
        <w:rPr>
          <w:rFonts w:eastAsia="仿宋"/>
          <w:sz w:val="24"/>
          <w:highlight w:val="none"/>
        </w:rPr>
        <w:t xml:space="preserve">                                </w:t>
      </w:r>
    </w:p>
    <w:tbl>
      <w:tblPr>
        <w:tblStyle w:val="34"/>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highlight w:val="none"/>
              </w:rPr>
            </w:pPr>
            <w:r>
              <w:rPr>
                <w:rFonts w:hint="eastAsia" w:eastAsia="仿宋"/>
                <w:b/>
                <w:sz w:val="24"/>
                <w:highlight w:val="none"/>
              </w:rPr>
              <w:t>服务、设备型号及品牌</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highlight w:val="none"/>
              </w:rPr>
            </w:pPr>
            <w:r>
              <w:rPr>
                <w:rFonts w:eastAsia="仿宋"/>
                <w:sz w:val="24"/>
                <w:highlight w:val="none"/>
              </w:rPr>
              <w:t>合计金额大写：</w:t>
            </w:r>
            <w:r>
              <w:rPr>
                <w:rFonts w:eastAsia="仿宋"/>
                <w:sz w:val="24"/>
                <w:highlight w:val="none"/>
                <w:u w:val="single"/>
              </w:rPr>
              <w:t xml:space="preserve">                                </w:t>
            </w:r>
            <w:r>
              <w:rPr>
                <w:rFonts w:eastAsia="仿宋"/>
                <w:sz w:val="24"/>
                <w:highlight w:val="none"/>
              </w:rPr>
              <w:t>￥</w:t>
            </w:r>
            <w:r>
              <w:rPr>
                <w:rFonts w:eastAsia="仿宋"/>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highlight w:val="none"/>
              </w:rPr>
            </w:pPr>
            <w:r>
              <w:rPr>
                <w:rFonts w:eastAsia="仿宋"/>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highlight w:val="none"/>
              </w:rPr>
            </w:pPr>
          </w:p>
        </w:tc>
      </w:tr>
    </w:tbl>
    <w:p>
      <w:pPr>
        <w:tabs>
          <w:tab w:val="left" w:pos="1418"/>
        </w:tabs>
        <w:snapToGrid w:val="0"/>
        <w:spacing w:line="400" w:lineRule="exact"/>
        <w:jc w:val="center"/>
        <w:rPr>
          <w:rFonts w:eastAsia="仿宋"/>
          <w:spacing w:val="20"/>
          <w:sz w:val="24"/>
          <w:highlight w:val="none"/>
          <w:u w:val="singl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rPr>
          <w:rFonts w:eastAsia="仿宋"/>
          <w:sz w:val="24"/>
          <w:highlight w:val="none"/>
        </w:rPr>
      </w:pPr>
    </w:p>
    <w:p>
      <w:pPr>
        <w:snapToGrid w:val="0"/>
        <w:spacing w:line="400" w:lineRule="exact"/>
        <w:rPr>
          <w:rFonts w:eastAsia="仿宋"/>
          <w:sz w:val="24"/>
          <w:highlight w:val="none"/>
        </w:rPr>
      </w:pPr>
      <w:r>
        <w:rPr>
          <w:rFonts w:eastAsia="仿宋"/>
          <w:sz w:val="24"/>
          <w:highlight w:val="none"/>
        </w:rPr>
        <w:t>注：1、</w:t>
      </w:r>
      <w:r>
        <w:rPr>
          <w:rFonts w:hint="eastAsia" w:eastAsia="仿宋"/>
          <w:sz w:val="24"/>
          <w:highlight w:val="none"/>
        </w:rPr>
        <w:t>供应商</w:t>
      </w:r>
      <w:r>
        <w:rPr>
          <w:rFonts w:eastAsia="仿宋"/>
          <w:sz w:val="24"/>
          <w:highlight w:val="none"/>
        </w:rPr>
        <w:t>应根据所提供的货物（服务）如实填写报价表的各项内容。</w:t>
      </w:r>
    </w:p>
    <w:p>
      <w:pPr>
        <w:numPr>
          <w:ilvl w:val="0"/>
          <w:numId w:val="6"/>
        </w:numPr>
        <w:snapToGrid w:val="0"/>
        <w:spacing w:line="400" w:lineRule="exact"/>
        <w:ind w:firstLine="465"/>
        <w:rPr>
          <w:rFonts w:eastAsia="仿宋"/>
          <w:sz w:val="24"/>
          <w:highlight w:val="none"/>
        </w:rPr>
      </w:pPr>
      <w:r>
        <w:rPr>
          <w:rFonts w:eastAsia="仿宋"/>
          <w:sz w:val="24"/>
          <w:highlight w:val="none"/>
        </w:rPr>
        <w:t>报价表由多页构成时，需逐页加盖</w:t>
      </w:r>
      <w:r>
        <w:rPr>
          <w:rFonts w:hint="eastAsia" w:eastAsia="仿宋"/>
          <w:sz w:val="24"/>
          <w:highlight w:val="none"/>
        </w:rPr>
        <w:t>供应商</w:t>
      </w:r>
      <w:r>
        <w:rPr>
          <w:rFonts w:eastAsia="仿宋"/>
          <w:sz w:val="24"/>
          <w:highlight w:val="none"/>
        </w:rPr>
        <w:t>公章。</w:t>
      </w:r>
    </w:p>
    <w:p>
      <w:pPr>
        <w:spacing w:line="39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highlight w:val="none"/>
        </w:rPr>
      </w:pPr>
    </w:p>
    <w:p>
      <w:pPr>
        <w:pStyle w:val="15"/>
        <w:rPr>
          <w:rFonts w:hAnsi="宋体" w:cs="宋体"/>
          <w:b/>
          <w:sz w:val="24"/>
          <w:highlight w:val="none"/>
        </w:rPr>
      </w:pPr>
      <w:r>
        <w:rPr>
          <w:rFonts w:eastAsia="仿宋"/>
          <w:b/>
          <w:sz w:val="24"/>
          <w:highlight w:val="none"/>
        </w:rPr>
        <w:t>4.</w:t>
      </w:r>
      <w:r>
        <w:rPr>
          <w:rFonts w:hint="eastAsia" w:eastAsia="仿宋"/>
          <w:b/>
          <w:sz w:val="24"/>
          <w:highlight w:val="none"/>
        </w:rPr>
        <w:t>供应商</w:t>
      </w:r>
      <w:r>
        <w:rPr>
          <w:rFonts w:eastAsia="仿宋"/>
          <w:b/>
          <w:sz w:val="24"/>
          <w:highlight w:val="none"/>
        </w:rPr>
        <w:t>针对报价需要说明的其他文件和说明（格式自拟）</w:t>
      </w:r>
      <w:r>
        <w:rPr>
          <w:rFonts w:hint="eastAsia" w:hAnsi="宋体" w:cs="宋体"/>
          <w:b/>
          <w:sz w:val="24"/>
          <w:highlight w:val="none"/>
        </w:rPr>
        <w:t xml:space="preserve"> </w:t>
      </w:r>
    </w:p>
    <w:p>
      <w:pPr>
        <w:pStyle w:val="15"/>
        <w:spacing w:line="288" w:lineRule="auto"/>
        <w:jc w:val="left"/>
        <w:rPr>
          <w:rFonts w:hAnsi="宋体"/>
          <w:highlight w:val="none"/>
        </w:rPr>
      </w:pPr>
    </w:p>
    <w:sectPr>
      <w:footerReference r:id="rId13"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C1175C-F660-4CB0-B24A-0EC601DC1F33}"/>
  </w:font>
  <w:font w:name="Arial">
    <w:panose1 w:val="020B0604020202020204"/>
    <w:charset w:val="01"/>
    <w:family w:val="swiss"/>
    <w:pitch w:val="default"/>
    <w:sig w:usb0="E0002EFF" w:usb1="C000785B" w:usb2="00000009" w:usb3="00000000" w:csb0="400001FF" w:csb1="FFFF0000"/>
    <w:embedRegular r:id="rId2" w:fontKey="{FD392225-E5FE-45DE-92AF-26D53D80A35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841716D-4CD3-4B25-83AB-CE2829F386E8}"/>
  </w:font>
  <w:font w:name="Symbol">
    <w:panose1 w:val="05050102010706020507"/>
    <w:charset w:val="02"/>
    <w:family w:val="roman"/>
    <w:pitch w:val="default"/>
    <w:sig w:usb0="00000000" w:usb1="00000000" w:usb2="00000000" w:usb3="00000000" w:csb0="80000000" w:csb1="00000000"/>
    <w:embedRegular r:id="rId4" w:fontKey="{3AE6AA7C-6D3E-4BB9-841B-C6554FC2CCBD}"/>
  </w:font>
  <w:font w:name="Cambria">
    <w:panose1 w:val="02040503050406030204"/>
    <w:charset w:val="00"/>
    <w:family w:val="roman"/>
    <w:pitch w:val="default"/>
    <w:sig w:usb0="E00006FF" w:usb1="420024FF" w:usb2="02000000" w:usb3="00000000" w:csb0="2000019F" w:csb1="00000000"/>
    <w:embedRegular r:id="rId5" w:fontKey="{207B528E-A024-4423-9C66-275519F2CE22}"/>
  </w:font>
  <w:font w:name="Calibri">
    <w:panose1 w:val="020F0502020204030204"/>
    <w:charset w:val="00"/>
    <w:family w:val="swiss"/>
    <w:pitch w:val="default"/>
    <w:sig w:usb0="E4002EFF" w:usb1="C000247B" w:usb2="00000009" w:usb3="00000000" w:csb0="200001FF" w:csb1="00000000"/>
    <w:embedRegular r:id="rId6" w:fontKey="{89F1DF2A-8EE5-4054-A213-CFA61112B169}"/>
  </w:font>
  <w:font w:name="仿宋_GB2312">
    <w:panose1 w:val="02010609030101010101"/>
    <w:charset w:val="86"/>
    <w:family w:val="modern"/>
    <w:pitch w:val="default"/>
    <w:sig w:usb0="00000001" w:usb1="080E0000" w:usb2="00000000" w:usb3="00000000" w:csb0="00040000" w:csb1="00000000"/>
    <w:embedRegular r:id="rId7" w:fontKey="{92597B2F-B369-4D9F-A27D-EB45B6B8DBE2}"/>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8" w:fontKey="{BB90DD76-1946-41E5-92A5-AADD3BA5FA7C}"/>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ECB87988-9BAC-4BD9-9F2E-49E9D60BCB4C}"/>
  </w:font>
  <w:font w:name="楷体">
    <w:panose1 w:val="02010609060101010101"/>
    <w:charset w:val="86"/>
    <w:family w:val="modern"/>
    <w:pitch w:val="default"/>
    <w:sig w:usb0="800002BF" w:usb1="38CF7CFA" w:usb2="00000016" w:usb3="00000000" w:csb0="00040001" w:csb1="00000000"/>
    <w:embedRegular r:id="rId10" w:fontKey="{3A945998-4003-4C0D-AF2E-7C61B1FE5BBC}"/>
  </w:font>
  <w:font w:name="微软雅黑">
    <w:panose1 w:val="020B0503020204020204"/>
    <w:charset w:val="86"/>
    <w:family w:val="swiss"/>
    <w:pitch w:val="default"/>
    <w:sig w:usb0="80000287" w:usb1="2ACF3C50" w:usb2="00000016" w:usb3="00000000" w:csb0="0004001F" w:csb1="00000000"/>
    <w:embedRegular r:id="rId11" w:fontKey="{264065A6-27F7-4B23-84FF-6DEF4D640C1C}"/>
  </w:font>
  <w:font w:name="文泉驿微米黑">
    <w:altName w:val="黑体"/>
    <w:panose1 w:val="020B0606030804020204"/>
    <w:charset w:val="86"/>
    <w:family w:val="auto"/>
    <w:pitch w:val="default"/>
    <w:sig w:usb0="00000000" w:usb1="00000000" w:usb2="00800036" w:usb3="00000000" w:csb0="603E019F" w:csb1="DFD70000"/>
  </w:font>
  <w:font w:name="方正宋体S-超大字符集">
    <w:altName w:val="宋体"/>
    <w:panose1 w:val="02000000000000000000"/>
    <w:charset w:val="86"/>
    <w:family w:val="auto"/>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embedRegular r:id="rId12" w:fontKey="{3EE202DF-29A7-4D11-8FA1-66A914685EEF}"/>
  </w:font>
  <w:font w:name="Arial">
    <w:panose1 w:val="020B0604020202020204"/>
    <w:charset w:val="00"/>
    <w:family w:val="swiss"/>
    <w:pitch w:val="default"/>
    <w:sig w:usb0="E0002EFF" w:usb1="C000785B" w:usb2="00000009" w:usb3="00000000" w:csb0="400001FF" w:csb1="FFFF0000"/>
    <w:embedRegular r:id="rId13" w:fontKey="{34511C8F-01E0-4DFD-BFC1-816FA8BC17B5}"/>
  </w:font>
  <w:font w:name="Courier New">
    <w:panose1 w:val="02070309020205020404"/>
    <w:charset w:val="00"/>
    <w:family w:val="modern"/>
    <w:pitch w:val="default"/>
    <w:sig w:usb0="E0002EFF" w:usb1="C0007843" w:usb2="00000009" w:usb3="00000000" w:csb0="400001FF" w:csb1="FFFF0000"/>
    <w:embedRegular r:id="rId14" w:fontKey="{FCB44E59-C3C0-48ED-9FC8-CA77B4B6BB40}"/>
  </w:font>
  <w:font w:name="Franklin Gothic Demi Cond">
    <w:panose1 w:val="020B0706030402020204"/>
    <w:charset w:val="00"/>
    <w:family w:val="swiss"/>
    <w:pitch w:val="default"/>
    <w:sig w:usb0="00000287" w:usb1="00000000" w:usb2="00000000" w:usb3="00000000" w:csb0="2000009F" w:csb1="DFD70000"/>
    <w:embedRegular r:id="rId15" w:fontKey="{5BBCBF1F-5374-4A75-9941-6240BCEA8441}"/>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Ul6JzBcCAAAW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kEXk8bcBAABWAwAADgAAAAAAAAABACAAAAAfAQAAZHJzL2Uyb0RvYy54bWxQSwUGAAAAAAYABgBZ&#10;AQAAS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3728720</wp:posOffset>
              </wp:positionH>
              <wp:positionV relativeFrom="paragraph">
                <wp:posOffset>10795</wp:posOffset>
              </wp:positionV>
              <wp:extent cx="469265" cy="305435"/>
              <wp:effectExtent l="0" t="0" r="0" b="0"/>
              <wp:wrapNone/>
              <wp:docPr id="9" name="文本框 10"/>
              <wp:cNvGraphicFramePr/>
              <a:graphic xmlns:a="http://schemas.openxmlformats.org/drawingml/2006/main">
                <a:graphicData uri="http://schemas.microsoft.com/office/word/2010/wordprocessingShape">
                  <wps:wsp>
                    <wps:cNvSpPr txBox="1"/>
                    <wps:spPr>
                      <a:xfrm>
                        <a:off x="0" y="0"/>
                        <a:ext cx="469265" cy="305435"/>
                      </a:xfrm>
                      <a:prstGeom prst="rect">
                        <a:avLst/>
                      </a:prstGeom>
                      <a:noFill/>
                      <a:ln w="6350">
                        <a:noFill/>
                      </a:ln>
                    </wps:spPr>
                    <wps:txbx>
                      <w:txbxContent>
                        <w:p/>
                      </w:txbxContent>
                    </wps:txbx>
                    <wps:bodyPr lIns="0" tIns="0" rIns="0" bIns="0" upright="1"/>
                  </wps:wsp>
                </a:graphicData>
              </a:graphic>
            </wp:anchor>
          </w:drawing>
        </mc:Choice>
        <mc:Fallback>
          <w:pict>
            <v:shape id="文本框 10" o:spid="_x0000_s1026" o:spt="202" type="#_x0000_t202" style="position:absolute;left:0pt;margin-left:293.6pt;margin-top:0.85pt;height:24.05pt;width:36.95pt;mso-position-horizontal-relative:margin;z-index:251667456;mso-width-relative:page;mso-height-relative:page;" filled="f" stroked="f" coordsize="21600,21600" o:gfxdata="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LUsu41wAAAAgBAAAP&#10;AAAAAAAAAAEAIAAAACIAAABkcnMvZG93bnJldi54bWxQSwECFAAUAAAACACHTuJAptckY6cBAAAt&#10;AwAADgAAAAAAAAABACAAAAAmAQAAZHJzL2Uyb0RvYy54bWxQSwUGAAAAAAYABgBZAQAAPwUAAAAA&#10;">
              <v:fill on="f" focussize="0,0"/>
              <v:stroke on="f" weight="0.5pt"/>
              <v:imagedata o:title=""/>
              <o:lock v:ext="edit" aspectratio="f"/>
              <v:textbox inset="0mm,0mm,0mm,0mm">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410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9"/>
                            <w:rPr>
                              <w:rStyle w:val="29"/>
                            </w:rPr>
                          </w:pPr>
                        </w:p>
                      </w:txbxContent>
                    </wps:txbx>
                    <wps:bodyPr rot="0" vert="horz" wrap="none" lIns="0" tIns="0" rIns="0" bIns="0" anchor="t" anchorCtr="0" upright="1">
                      <a:spAutoFit/>
                    </wps:bodyPr>
                  </wps:wsp>
                </a:graphicData>
              </a:graphic>
            </wp:anchor>
          </w:drawing>
        </mc:Choice>
        <mc:Fallback>
          <w:pict>
            <v:shape id="4101"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i91E0AAAAAIBAAAPAAAAAAAA&#10;AAEAIAAAACIAAABkcnMvZG93bnJldi54bWxQSwECFAAUAAAACACHTuJADFuTneEBAAC6AwAADgAA&#10;AAAAAAABACAAAAAfAQAAZHJzL2Uyb0RvYy54bWxQSwUGAAAAAAYABgBZAQAAcgUAAAAA&#10;">
              <v:fill on="f" focussize="0,0"/>
              <v:stroke on="f"/>
              <v:imagedata o:title=""/>
              <o:lock v:ext="edit" aspectratio="f"/>
              <v:textbox inset="0mm,0mm,0mm,0mm" style="mso-fit-shape-to-text:t;">
                <w:txbxContent>
                  <w:p>
                    <w:pPr>
                      <w:pStyle w:val="19"/>
                      <w:rPr>
                        <w:rStyle w:val="29"/>
                      </w:rPr>
                    </w:pPr>
                  </w:p>
                </w:txbxContent>
              </v:textbox>
            </v:shape>
          </w:pict>
        </mc:Fallback>
      </mc:AlternateContent>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9"/>
      </w:rPr>
    </w:pPr>
    <w:r>
      <w:fldChar w:fldCharType="begin"/>
    </w:r>
    <w:r>
      <w:rPr>
        <w:rStyle w:val="29"/>
      </w:rPr>
      <w:instrText xml:space="preserve">PAGE  </w:instrText>
    </w:r>
    <w:r>
      <w:fldChar w:fldCharType="end"/>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wgI6jrcBAABWAwAADgAAAAAAAAABACAAAAAfAQAAZHJzL2Uyb0RvYy54bWxQSwUGAAAAAAYABgBZ&#10;AQAAS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14935" cy="153035"/>
              <wp:effectExtent l="0" t="0" r="0" b="0"/>
              <wp:wrapNone/>
              <wp:docPr id="2" name="4103"/>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4103" o:spid="_x0000_s1026" o:spt="202" type="#_x0000_t202" style="position:absolute;left:0pt;margin-left:230.4pt;margin-top:1.5pt;height:12.05pt;width:9.05pt;mso-position-horizontal-relative:margin;mso-wrap-style:none;z-index:251660288;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Pg1G1QAAAAgBAAAPAAAA&#10;AAAAAAEAIAAAACIAAABkcnMvZG93bnJldi54bWxQSwECFAAUAAAACACHTuJAqEmaK98BAAC7AwAA&#10;DgAAAAAAAAABACAAAAAkAQAAZHJzL2Uyb0RvYy54bWxQSwUGAAAAAAYABgBZAQAAdQU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3" name="4104"/>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4104"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QVPmtAAAAADAQAADwAAAAAAAAAB&#10;ACAAAAAiAAAAZHJzL2Rvd25yZXYueG1sUEsBAhQAFAAAAAgAh07iQERrd9LfAQAAuwMAAA4AAAAA&#10;AAAAAQAgAAAAHwEAAGRycy9lMm9Eb2MueG1sUEsFBgAAAAAGAAYAWQEAAHA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62890"/>
              <wp:effectExtent l="0" t="0" r="0" b="0"/>
              <wp:wrapNone/>
              <wp:docPr id="4" name="4105"/>
              <wp:cNvGraphicFramePr/>
              <a:graphic xmlns:a="http://schemas.openxmlformats.org/drawingml/2006/main">
                <a:graphicData uri="http://schemas.microsoft.com/office/word/2010/wordprocessingShape">
                  <wps:wsp>
                    <wps:cNvSpPr txBox="1">
                      <a:spLocks noChangeArrowheads="1"/>
                    </wps:cNvSpPr>
                    <wps:spPr bwMode="auto">
                      <a:xfrm>
                        <a:off x="0" y="0"/>
                        <a:ext cx="114935" cy="262890"/>
                      </a:xfrm>
                      <a:prstGeom prst="rect">
                        <a:avLst/>
                      </a:prstGeom>
                      <a:noFill/>
                      <a:ln>
                        <a:noFill/>
                      </a:ln>
                      <a:effectLst/>
                    </wps:spPr>
                    <wps:txbx>
                      <w:txbxContent>
                        <w:p>
                          <w:pPr>
                            <w:pStyle w:val="19"/>
                          </w:pPr>
                          <w:r>
                            <w:rPr>
                              <w:rFonts w:hint="eastAsia"/>
                            </w:rPr>
                            <w:t>3</w:t>
                          </w:r>
                        </w:p>
                        <w:p>
                          <w:pPr>
                            <w:pStyle w:val="19"/>
                          </w:pPr>
                        </w:p>
                      </w:txbxContent>
                    </wps:txbx>
                    <wps:bodyPr rot="0" vert="horz" wrap="none" lIns="0" tIns="0" rIns="0" bIns="0" anchor="t" anchorCtr="0" upright="1">
                      <a:spAutoFit/>
                    </wps:bodyPr>
                  </wps:wsp>
                </a:graphicData>
              </a:graphic>
            </wp:anchor>
          </w:drawing>
        </mc:Choice>
        <mc:Fallback>
          <w:pict>
            <v:shape id="4105" o:spid="_x0000_s1026" o:spt="202" type="#_x0000_t202" style="position:absolute;left:0pt;margin-top:0pt;height:20.7pt;width:9.05pt;mso-position-horizontal:center;mso-position-horizontal-relative:margin;mso-wrap-style:none;z-index:251662336;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l1yedAAAAADAQAADwAAAAAA&#10;AAABACAAAAAiAAAAZHJzL2Rvd25yZXYueG1sUEsBAhQAFAAAAAgAh07iQGN5yZjiAQAAuwMAAA4A&#10;AAAAAAAAAQAgAAAAHwEAAGRycy9lMm9Eb2MueG1sUEsFBgAAAAAGAAYAWQEAAHMFAAAAAA==&#10;">
              <v:fill on="f" focussize="0,0"/>
              <v:stroke on="f"/>
              <v:imagedata o:title=""/>
              <o:lock v:ext="edit" aspectratio="f"/>
              <v:textbox inset="0mm,0mm,0mm,0mm" style="mso-fit-shape-to-text:t;">
                <w:txbxContent>
                  <w:p>
                    <w:pPr>
                      <w:pStyle w:val="19"/>
                    </w:pPr>
                    <w:r>
                      <w:rPr>
                        <w:rFonts w:hint="eastAsia"/>
                      </w:rPr>
                      <w:t>3</w:t>
                    </w:r>
                  </w:p>
                  <w:p>
                    <w:pPr>
                      <w:pStyle w:val="19"/>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410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9"/>
                          </w:pPr>
                          <w:r>
                            <w:rPr>
                              <w:rFonts w:hint="eastAsia"/>
                            </w:rPr>
                            <w:t>3</w:t>
                          </w:r>
                        </w:p>
                      </w:txbxContent>
                    </wps:txbx>
                    <wps:bodyPr rot="0" vert="horz" wrap="none" lIns="0" tIns="0" rIns="0" bIns="0" anchor="t" anchorCtr="0" upright="1">
                      <a:spAutoFit/>
                    </wps:bodyPr>
                  </wps:wsp>
                </a:graphicData>
              </a:graphic>
            </wp:anchor>
          </w:drawing>
        </mc:Choice>
        <mc:Fallback>
          <w:pict>
            <v:shape id="410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i91E0AAAAAIBAAAPAAAAAAAA&#10;AAEAIAAAACIAAABkcnMvZG93bnJldi54bWxQSwECFAAUAAAACACHTuJAF78nCeEBAAC6AwAADgAA&#10;AAAAAAABACAAAAAfAQAAZHJzL2Uyb0RvYy54bWxQSwUGAAAAAAYABgBZAQAAcgUAAAAA&#10;">
              <v:fill on="f" focussize="0,0"/>
              <v:stroke on="f"/>
              <v:imagedata o:title=""/>
              <o:lock v:ext="edit" aspectratio="f"/>
              <v:textbox inset="0mm,0mm,0mm,0mm" style="mso-fit-shape-to-text:t;">
                <w:txbxContent>
                  <w:p>
                    <w:pPr>
                      <w:pStyle w:val="19"/>
                    </w:pPr>
                    <w:r>
                      <w:rPr>
                        <w:rFonts w:hint="eastAsia"/>
                      </w:rPr>
                      <w:t>3</w:t>
                    </w:r>
                  </w:p>
                </w:txbxContent>
              </v:textbox>
            </v:shape>
          </w:pict>
        </mc:Fallback>
      </mc:AlternateContent>
    </w:r>
  </w:p>
  <w:p>
    <w:pPr>
      <w:pStyle w:val="19"/>
      <w:tabs>
        <w:tab w:val="clear" w:pos="4153"/>
      </w:tabs>
    </w:pPr>
  </w:p>
  <w:p>
    <w:pPr>
      <w:pStyle w:val="19"/>
      <w:tabs>
        <w:tab w:val="clear" w:pos="415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I5NBDu4AQAAVgMAAA4AAAAAAAAAAQAgAAAAHwEAAGRycy9lMm9Eb2MueG1sUEsFBgAAAAAGAAYA&#10;WQEAAEk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31445"/>
              <wp:effectExtent l="0" t="0" r="0" b="0"/>
              <wp:wrapNone/>
              <wp:docPr id="7" name="4110"/>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9"/>
                            <w:rPr>
                              <w:rStyle w:val="29"/>
                            </w:rPr>
                          </w:pPr>
                        </w:p>
                      </w:txbxContent>
                    </wps:txbx>
                    <wps:bodyPr rot="0" vert="horz" wrap="none" lIns="0" tIns="0" rIns="0" bIns="0" anchor="t" anchorCtr="0" upright="1">
                      <a:spAutoFit/>
                    </wps:bodyPr>
                  </wps:wsp>
                </a:graphicData>
              </a:graphic>
            </wp:anchor>
          </w:drawing>
        </mc:Choice>
        <mc:Fallback>
          <w:pict>
            <v:shape id="4110" o:spid="_x0000_s1026" o:spt="202" type="#_x0000_t202" style="position:absolute;left:0pt;margin-top:0pt;height:10.35pt;width:4.55pt;mso-position-horizontal:center;mso-position-horizontal-relative:margin;mso-wrap-style:none;z-index:25166540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L3UTQAAAAAgEAAA8AAAAAAAAA&#10;AQAgAAAAIgAAAGRycy9kb3ducmV2LnhtbFBLAQIUABQAAAAIAIdO4kCU4tQV4AEAALoDAAAOAAAA&#10;AAAAAAEAIAAAAB8BAABkcnMvZTJvRG9jLnhtbFBLBQYAAAAABgAGAFkBAABxBQAAAAA=&#10;">
              <v:fill on="f" focussize="0,0"/>
              <v:stroke on="f"/>
              <v:imagedata o:title=""/>
              <o:lock v:ext="edit" aspectratio="f"/>
              <v:textbox inset="0mm,0mm,0mm,0mm" style="mso-fit-shape-to-text:t;">
                <w:txbxContent>
                  <w:p>
                    <w:pPr>
                      <w:pStyle w:val="19"/>
                      <w:rPr>
                        <w:rStyle w:val="29"/>
                      </w:rPr>
                    </w:pPr>
                  </w:p>
                </w:txbxContent>
              </v:textbox>
            </v:shape>
          </w:pict>
        </mc:Fallback>
      </mc:AlternateContent>
    </w:r>
  </w:p>
  <w:p>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fldChar w:fldCharType="begin"/>
                          </w:r>
                          <w:r>
                            <w:instrText xml:space="preserve"> PAGE  \* MERGEFORMAT </w:instrText>
                          </w:r>
                          <w:r>
                            <w:fldChar w:fldCharType="separate"/>
                          </w:r>
                          <w:r>
                            <w:t>31</w:t>
                          </w:r>
                          <w:r>
                            <w:fldChar w:fldCharType="end"/>
                          </w:r>
                        </w:p>
                      </w:txbxContent>
                    </wps:txbx>
                    <wps:bodyPr wrap="none" lIns="0" tIns="0" rIns="0" bIns="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CEtVt9uQEAAFYDAAAOAAAAAAAAAAEAIAAAAB8BAABkcnMvZTJvRG9jLnhtbFBLBQYAAAAABgAG&#10;AFkBAAB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xZTYyNGJlNTNmMmEzZjE3NTM4YmQ0MjU2OGVhMDcifQ=="/>
  </w:docVars>
  <w:rsids>
    <w:rsidRoot w:val="0062188A"/>
    <w:rsid w:val="000012F0"/>
    <w:rsid w:val="00021D6C"/>
    <w:rsid w:val="000401A8"/>
    <w:rsid w:val="00063162"/>
    <w:rsid w:val="000929B2"/>
    <w:rsid w:val="00094719"/>
    <w:rsid w:val="000A055B"/>
    <w:rsid w:val="000E3EB1"/>
    <w:rsid w:val="001100C2"/>
    <w:rsid w:val="00117CFA"/>
    <w:rsid w:val="00125FD4"/>
    <w:rsid w:val="00152DFC"/>
    <w:rsid w:val="00157681"/>
    <w:rsid w:val="001A7F41"/>
    <w:rsid w:val="00233A2E"/>
    <w:rsid w:val="00235FE0"/>
    <w:rsid w:val="0024011F"/>
    <w:rsid w:val="00263916"/>
    <w:rsid w:val="00264E69"/>
    <w:rsid w:val="002935D2"/>
    <w:rsid w:val="002B1890"/>
    <w:rsid w:val="002C47D1"/>
    <w:rsid w:val="002D5F94"/>
    <w:rsid w:val="0031739D"/>
    <w:rsid w:val="00322CC6"/>
    <w:rsid w:val="003537EC"/>
    <w:rsid w:val="00363737"/>
    <w:rsid w:val="003A061A"/>
    <w:rsid w:val="003A4EAD"/>
    <w:rsid w:val="003F1A82"/>
    <w:rsid w:val="004902DB"/>
    <w:rsid w:val="004A77E2"/>
    <w:rsid w:val="004B4EDA"/>
    <w:rsid w:val="004F26DE"/>
    <w:rsid w:val="00554184"/>
    <w:rsid w:val="0056787E"/>
    <w:rsid w:val="0057692F"/>
    <w:rsid w:val="005770D3"/>
    <w:rsid w:val="005B7C8F"/>
    <w:rsid w:val="00605371"/>
    <w:rsid w:val="006137E1"/>
    <w:rsid w:val="0062188A"/>
    <w:rsid w:val="00690CF0"/>
    <w:rsid w:val="006C7886"/>
    <w:rsid w:val="007213C4"/>
    <w:rsid w:val="00723EF5"/>
    <w:rsid w:val="00763CC4"/>
    <w:rsid w:val="007A2F27"/>
    <w:rsid w:val="007D78F0"/>
    <w:rsid w:val="007E28A3"/>
    <w:rsid w:val="0087183A"/>
    <w:rsid w:val="00884577"/>
    <w:rsid w:val="009650A5"/>
    <w:rsid w:val="009F3EC9"/>
    <w:rsid w:val="00A00E5C"/>
    <w:rsid w:val="00A03BF6"/>
    <w:rsid w:val="00A2665F"/>
    <w:rsid w:val="00A435A6"/>
    <w:rsid w:val="00A449E0"/>
    <w:rsid w:val="00A90C40"/>
    <w:rsid w:val="00AA7F2F"/>
    <w:rsid w:val="00AB5F51"/>
    <w:rsid w:val="00AC7E6A"/>
    <w:rsid w:val="00AE1BCE"/>
    <w:rsid w:val="00AE498B"/>
    <w:rsid w:val="00AF6FCB"/>
    <w:rsid w:val="00B15D67"/>
    <w:rsid w:val="00B54BD6"/>
    <w:rsid w:val="00B6133B"/>
    <w:rsid w:val="00B72C90"/>
    <w:rsid w:val="00BC6CCE"/>
    <w:rsid w:val="00BE0FDB"/>
    <w:rsid w:val="00C26D4D"/>
    <w:rsid w:val="00C81855"/>
    <w:rsid w:val="00CD2C36"/>
    <w:rsid w:val="00D02B31"/>
    <w:rsid w:val="00D27633"/>
    <w:rsid w:val="00D76E82"/>
    <w:rsid w:val="00DF5D3F"/>
    <w:rsid w:val="00E31567"/>
    <w:rsid w:val="00E63A09"/>
    <w:rsid w:val="00E7042C"/>
    <w:rsid w:val="00EC33A0"/>
    <w:rsid w:val="00ED00C0"/>
    <w:rsid w:val="00ED11FB"/>
    <w:rsid w:val="00F15EE4"/>
    <w:rsid w:val="00F253D4"/>
    <w:rsid w:val="00F34CB1"/>
    <w:rsid w:val="00F52E1C"/>
    <w:rsid w:val="00F56213"/>
    <w:rsid w:val="00F706FB"/>
    <w:rsid w:val="00FE686B"/>
    <w:rsid w:val="00FF2E3E"/>
    <w:rsid w:val="01CE59EE"/>
    <w:rsid w:val="02655F8C"/>
    <w:rsid w:val="03492475"/>
    <w:rsid w:val="034E6950"/>
    <w:rsid w:val="035717DD"/>
    <w:rsid w:val="05CF7D50"/>
    <w:rsid w:val="06787243"/>
    <w:rsid w:val="06833B0E"/>
    <w:rsid w:val="071023CF"/>
    <w:rsid w:val="07C75183"/>
    <w:rsid w:val="07E04CA3"/>
    <w:rsid w:val="08326375"/>
    <w:rsid w:val="089235FD"/>
    <w:rsid w:val="08A2174C"/>
    <w:rsid w:val="09434CDD"/>
    <w:rsid w:val="0A312D88"/>
    <w:rsid w:val="0AC2140A"/>
    <w:rsid w:val="0ACA6D38"/>
    <w:rsid w:val="0C9413AC"/>
    <w:rsid w:val="0CBB3FC5"/>
    <w:rsid w:val="0D4E59FF"/>
    <w:rsid w:val="0E970955"/>
    <w:rsid w:val="0ECB645C"/>
    <w:rsid w:val="0F7B6853"/>
    <w:rsid w:val="10CE3F3B"/>
    <w:rsid w:val="10EA3C90"/>
    <w:rsid w:val="11135072"/>
    <w:rsid w:val="11427629"/>
    <w:rsid w:val="11AB1672"/>
    <w:rsid w:val="12503FC7"/>
    <w:rsid w:val="128F5FC0"/>
    <w:rsid w:val="12AF0CEE"/>
    <w:rsid w:val="12CE0A4E"/>
    <w:rsid w:val="12D93FBD"/>
    <w:rsid w:val="12E34E3B"/>
    <w:rsid w:val="13111E52"/>
    <w:rsid w:val="13692FAC"/>
    <w:rsid w:val="14382F65"/>
    <w:rsid w:val="145D5CCB"/>
    <w:rsid w:val="146B333A"/>
    <w:rsid w:val="152B4878"/>
    <w:rsid w:val="15867667"/>
    <w:rsid w:val="15F9724C"/>
    <w:rsid w:val="16B26FFE"/>
    <w:rsid w:val="1864257A"/>
    <w:rsid w:val="188E75F7"/>
    <w:rsid w:val="18CA0CDF"/>
    <w:rsid w:val="19243D1F"/>
    <w:rsid w:val="19B66E06"/>
    <w:rsid w:val="1AB621C2"/>
    <w:rsid w:val="1ABD2416"/>
    <w:rsid w:val="1BB05AD7"/>
    <w:rsid w:val="1BD73063"/>
    <w:rsid w:val="1C4C4058"/>
    <w:rsid w:val="1CCD20B8"/>
    <w:rsid w:val="1D077978"/>
    <w:rsid w:val="1D491D3F"/>
    <w:rsid w:val="1D8D3C20"/>
    <w:rsid w:val="1E0F4D36"/>
    <w:rsid w:val="1EA60132"/>
    <w:rsid w:val="1EE12B77"/>
    <w:rsid w:val="1EFBEFF6"/>
    <w:rsid w:val="1F69491A"/>
    <w:rsid w:val="212C3E51"/>
    <w:rsid w:val="21517470"/>
    <w:rsid w:val="21891E0D"/>
    <w:rsid w:val="21EB3E03"/>
    <w:rsid w:val="223631D9"/>
    <w:rsid w:val="225A5718"/>
    <w:rsid w:val="22682C67"/>
    <w:rsid w:val="2492400C"/>
    <w:rsid w:val="249266C1"/>
    <w:rsid w:val="24B959FC"/>
    <w:rsid w:val="25302162"/>
    <w:rsid w:val="25382DC5"/>
    <w:rsid w:val="253D711F"/>
    <w:rsid w:val="256516E0"/>
    <w:rsid w:val="266554D1"/>
    <w:rsid w:val="26695200"/>
    <w:rsid w:val="278A3680"/>
    <w:rsid w:val="27D8263D"/>
    <w:rsid w:val="28304227"/>
    <w:rsid w:val="28B9246E"/>
    <w:rsid w:val="28FE60D3"/>
    <w:rsid w:val="293E2974"/>
    <w:rsid w:val="29F25F7B"/>
    <w:rsid w:val="2A521C1D"/>
    <w:rsid w:val="2B0025D7"/>
    <w:rsid w:val="2B7D7783"/>
    <w:rsid w:val="2BB22A22"/>
    <w:rsid w:val="2BC74EA2"/>
    <w:rsid w:val="2C073A31"/>
    <w:rsid w:val="2C544C1B"/>
    <w:rsid w:val="2C697D08"/>
    <w:rsid w:val="2CCE2260"/>
    <w:rsid w:val="2CDF7FCA"/>
    <w:rsid w:val="2D3F1F71"/>
    <w:rsid w:val="2E56075F"/>
    <w:rsid w:val="2EA8720D"/>
    <w:rsid w:val="2EFBD120"/>
    <w:rsid w:val="2F6F7D2B"/>
    <w:rsid w:val="304C024B"/>
    <w:rsid w:val="307153DD"/>
    <w:rsid w:val="307D2FD7"/>
    <w:rsid w:val="310426F5"/>
    <w:rsid w:val="3168FCDF"/>
    <w:rsid w:val="32E824F2"/>
    <w:rsid w:val="3330157F"/>
    <w:rsid w:val="339D07EA"/>
    <w:rsid w:val="34671D89"/>
    <w:rsid w:val="35196EEF"/>
    <w:rsid w:val="358636D8"/>
    <w:rsid w:val="359758E5"/>
    <w:rsid w:val="35C30677"/>
    <w:rsid w:val="37386C54"/>
    <w:rsid w:val="37A442EA"/>
    <w:rsid w:val="37A582D4"/>
    <w:rsid w:val="37C52BDE"/>
    <w:rsid w:val="37DE77FC"/>
    <w:rsid w:val="37FA7E18"/>
    <w:rsid w:val="37FF7772"/>
    <w:rsid w:val="381369CA"/>
    <w:rsid w:val="38B93DC5"/>
    <w:rsid w:val="39880619"/>
    <w:rsid w:val="39A700C1"/>
    <w:rsid w:val="39CD7B28"/>
    <w:rsid w:val="39E3559D"/>
    <w:rsid w:val="3A8A5A19"/>
    <w:rsid w:val="3C4D4F50"/>
    <w:rsid w:val="3C6504EB"/>
    <w:rsid w:val="3C7626F9"/>
    <w:rsid w:val="3D0715A3"/>
    <w:rsid w:val="3D766728"/>
    <w:rsid w:val="3DBB4D38"/>
    <w:rsid w:val="3DE25992"/>
    <w:rsid w:val="3DFFD199"/>
    <w:rsid w:val="3E210442"/>
    <w:rsid w:val="3E377C66"/>
    <w:rsid w:val="3E554590"/>
    <w:rsid w:val="3E8804C1"/>
    <w:rsid w:val="3E990920"/>
    <w:rsid w:val="3EAA48DB"/>
    <w:rsid w:val="3EB27791"/>
    <w:rsid w:val="3F3B9246"/>
    <w:rsid w:val="3F7052E0"/>
    <w:rsid w:val="3F966FA9"/>
    <w:rsid w:val="3FE8A86B"/>
    <w:rsid w:val="3FED3524"/>
    <w:rsid w:val="3FFDE7DD"/>
    <w:rsid w:val="3FFE7E0D"/>
    <w:rsid w:val="40302122"/>
    <w:rsid w:val="415428DD"/>
    <w:rsid w:val="42402E61"/>
    <w:rsid w:val="42F02AD9"/>
    <w:rsid w:val="432F3601"/>
    <w:rsid w:val="434E6406"/>
    <w:rsid w:val="44C47D79"/>
    <w:rsid w:val="457572C5"/>
    <w:rsid w:val="45B222C8"/>
    <w:rsid w:val="45F14B9E"/>
    <w:rsid w:val="45F75F2C"/>
    <w:rsid w:val="461F5BAF"/>
    <w:rsid w:val="46A97D70"/>
    <w:rsid w:val="47BC11DC"/>
    <w:rsid w:val="482D3E87"/>
    <w:rsid w:val="4851401A"/>
    <w:rsid w:val="48873598"/>
    <w:rsid w:val="493B2278"/>
    <w:rsid w:val="4A0B01F8"/>
    <w:rsid w:val="4A45370A"/>
    <w:rsid w:val="4BAFE261"/>
    <w:rsid w:val="4BB02E05"/>
    <w:rsid w:val="4BFAF62B"/>
    <w:rsid w:val="4CA30BBC"/>
    <w:rsid w:val="4D5325E2"/>
    <w:rsid w:val="4D553C64"/>
    <w:rsid w:val="4D653AE1"/>
    <w:rsid w:val="4DBC3CE3"/>
    <w:rsid w:val="4E3F78E4"/>
    <w:rsid w:val="4EB1136E"/>
    <w:rsid w:val="4EC118D5"/>
    <w:rsid w:val="4EEF208C"/>
    <w:rsid w:val="50371D47"/>
    <w:rsid w:val="51AE428B"/>
    <w:rsid w:val="51E01241"/>
    <w:rsid w:val="523E59A1"/>
    <w:rsid w:val="52C607E9"/>
    <w:rsid w:val="53687651"/>
    <w:rsid w:val="53AF6B6F"/>
    <w:rsid w:val="53BC2C8F"/>
    <w:rsid w:val="54280325"/>
    <w:rsid w:val="550B38B0"/>
    <w:rsid w:val="55357DC1"/>
    <w:rsid w:val="55766E6E"/>
    <w:rsid w:val="55A51501"/>
    <w:rsid w:val="55BDCC1C"/>
    <w:rsid w:val="55C951EF"/>
    <w:rsid w:val="562700AF"/>
    <w:rsid w:val="56D51151"/>
    <w:rsid w:val="56ED315F"/>
    <w:rsid w:val="57580F21"/>
    <w:rsid w:val="5765719A"/>
    <w:rsid w:val="57CD4D3F"/>
    <w:rsid w:val="58214520"/>
    <w:rsid w:val="58317531"/>
    <w:rsid w:val="58586FF4"/>
    <w:rsid w:val="588673C8"/>
    <w:rsid w:val="58AC0A25"/>
    <w:rsid w:val="5932820E"/>
    <w:rsid w:val="598EF2FE"/>
    <w:rsid w:val="59B12B6A"/>
    <w:rsid w:val="5A114F82"/>
    <w:rsid w:val="5BDB5C7C"/>
    <w:rsid w:val="5BF7027C"/>
    <w:rsid w:val="5C3D4468"/>
    <w:rsid w:val="5C5872CD"/>
    <w:rsid w:val="5D617D3E"/>
    <w:rsid w:val="5DDB01B6"/>
    <w:rsid w:val="5DEF41AF"/>
    <w:rsid w:val="5DF03535"/>
    <w:rsid w:val="5E017123"/>
    <w:rsid w:val="5E7B52A6"/>
    <w:rsid w:val="5EC2740F"/>
    <w:rsid w:val="5F0E76A2"/>
    <w:rsid w:val="607B17DC"/>
    <w:rsid w:val="60B6497E"/>
    <w:rsid w:val="60D0163F"/>
    <w:rsid w:val="60FF8956"/>
    <w:rsid w:val="61F64DB2"/>
    <w:rsid w:val="62151D32"/>
    <w:rsid w:val="624D0F56"/>
    <w:rsid w:val="63A80195"/>
    <w:rsid w:val="64CA4AE0"/>
    <w:rsid w:val="651636FD"/>
    <w:rsid w:val="654523B9"/>
    <w:rsid w:val="654B2514"/>
    <w:rsid w:val="66636F9A"/>
    <w:rsid w:val="66DE4873"/>
    <w:rsid w:val="67065B78"/>
    <w:rsid w:val="67D363A2"/>
    <w:rsid w:val="68D75A1D"/>
    <w:rsid w:val="69DA7573"/>
    <w:rsid w:val="6A085C84"/>
    <w:rsid w:val="6A4B66C3"/>
    <w:rsid w:val="6ABE7492"/>
    <w:rsid w:val="6B3727A3"/>
    <w:rsid w:val="6B99520C"/>
    <w:rsid w:val="6C111246"/>
    <w:rsid w:val="6C4909E0"/>
    <w:rsid w:val="6C7F31D6"/>
    <w:rsid w:val="6CDB1656"/>
    <w:rsid w:val="6CFA7F2C"/>
    <w:rsid w:val="6D7EC0C6"/>
    <w:rsid w:val="6DA83A16"/>
    <w:rsid w:val="6DB8464E"/>
    <w:rsid w:val="6DFD088F"/>
    <w:rsid w:val="6E4B6C92"/>
    <w:rsid w:val="6E647D53"/>
    <w:rsid w:val="6EAB14DE"/>
    <w:rsid w:val="6ED36C87"/>
    <w:rsid w:val="6F567754"/>
    <w:rsid w:val="7004359C"/>
    <w:rsid w:val="704F7D4A"/>
    <w:rsid w:val="70787AE6"/>
    <w:rsid w:val="70C20EAF"/>
    <w:rsid w:val="70D2369A"/>
    <w:rsid w:val="71C07997"/>
    <w:rsid w:val="71FACBA3"/>
    <w:rsid w:val="724063E2"/>
    <w:rsid w:val="72BA43E6"/>
    <w:rsid w:val="738E22A1"/>
    <w:rsid w:val="739E71A7"/>
    <w:rsid w:val="747B1953"/>
    <w:rsid w:val="74B825D9"/>
    <w:rsid w:val="74F76CB8"/>
    <w:rsid w:val="750E79AD"/>
    <w:rsid w:val="75824BD9"/>
    <w:rsid w:val="75FFEF0E"/>
    <w:rsid w:val="761F4A15"/>
    <w:rsid w:val="76283D5C"/>
    <w:rsid w:val="76465F91"/>
    <w:rsid w:val="764665BF"/>
    <w:rsid w:val="765A8CC4"/>
    <w:rsid w:val="76607052"/>
    <w:rsid w:val="76E67720"/>
    <w:rsid w:val="77065E77"/>
    <w:rsid w:val="7777617A"/>
    <w:rsid w:val="77EB3837"/>
    <w:rsid w:val="77FD5320"/>
    <w:rsid w:val="793741EC"/>
    <w:rsid w:val="7A287E87"/>
    <w:rsid w:val="7A493B55"/>
    <w:rsid w:val="7A625ED8"/>
    <w:rsid w:val="7AD12011"/>
    <w:rsid w:val="7B8B0F53"/>
    <w:rsid w:val="7BF7FB7C"/>
    <w:rsid w:val="7C35629E"/>
    <w:rsid w:val="7C404545"/>
    <w:rsid w:val="7C887303"/>
    <w:rsid w:val="7CC145C3"/>
    <w:rsid w:val="7D3F3684"/>
    <w:rsid w:val="7DFF5B27"/>
    <w:rsid w:val="7DFFF7CD"/>
    <w:rsid w:val="7EF591D6"/>
    <w:rsid w:val="7FAB42A3"/>
    <w:rsid w:val="7FB16B71"/>
    <w:rsid w:val="7FDF9D6D"/>
    <w:rsid w:val="7FDFF206"/>
    <w:rsid w:val="8FFD2249"/>
    <w:rsid w:val="AFD7A01E"/>
    <w:rsid w:val="B37F4D6D"/>
    <w:rsid w:val="BB7FDF47"/>
    <w:rsid w:val="BF2DF510"/>
    <w:rsid w:val="BFB7ABDA"/>
    <w:rsid w:val="BFDFAF0F"/>
    <w:rsid w:val="C3F2CBA8"/>
    <w:rsid w:val="CDF7A776"/>
    <w:rsid w:val="DB7E60CF"/>
    <w:rsid w:val="DD658DFA"/>
    <w:rsid w:val="DDF79636"/>
    <w:rsid w:val="DE2F3BF8"/>
    <w:rsid w:val="DEDDA5B2"/>
    <w:rsid w:val="E32DAC7D"/>
    <w:rsid w:val="E43F3C24"/>
    <w:rsid w:val="EBB92864"/>
    <w:rsid w:val="EBFF3946"/>
    <w:rsid w:val="EDEF518D"/>
    <w:rsid w:val="EEFAA062"/>
    <w:rsid w:val="EFB9B418"/>
    <w:rsid w:val="EFFB1A74"/>
    <w:rsid w:val="F3762282"/>
    <w:rsid w:val="F4EBEF67"/>
    <w:rsid w:val="F568DF19"/>
    <w:rsid w:val="F5776622"/>
    <w:rsid w:val="F5BFFEE1"/>
    <w:rsid w:val="F73AC77A"/>
    <w:rsid w:val="F7EF7FF8"/>
    <w:rsid w:val="FA77DEC4"/>
    <w:rsid w:val="FBB7CF6F"/>
    <w:rsid w:val="FBBF1057"/>
    <w:rsid w:val="FBFBE7A8"/>
    <w:rsid w:val="FCFD762A"/>
    <w:rsid w:val="FCFD95CF"/>
    <w:rsid w:val="FDF5375D"/>
    <w:rsid w:val="FEF86FBB"/>
    <w:rsid w:val="FFBFFC17"/>
    <w:rsid w:val="FFC3165B"/>
    <w:rsid w:val="FFCD593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qFormat/>
    <w:uiPriority w:val="0"/>
    <w:pPr>
      <w:keepNext/>
      <w:keepLines/>
      <w:spacing w:before="260" w:after="260" w:line="416" w:lineRule="auto"/>
      <w:outlineLvl w:val="2"/>
    </w:pPr>
    <w:rPr>
      <w:b/>
      <w:bCs/>
      <w:sz w:val="32"/>
      <w:szCs w:val="32"/>
    </w:rPr>
  </w:style>
  <w:style w:type="paragraph" w:styleId="7">
    <w:name w:val="heading 4"/>
    <w:basedOn w:val="1"/>
    <w:next w:val="1"/>
    <w:link w:val="41"/>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qFormat/>
    <w:uiPriority w:val="9"/>
    <w:pPr>
      <w:spacing w:before="100" w:beforeAutospacing="1" w:after="100" w:afterAutospacing="1"/>
      <w:jc w:val="left"/>
      <w:outlineLvl w:val="4"/>
    </w:pPr>
    <w:rPr>
      <w:rFonts w:ascii="宋体" w:hAnsi="宋体"/>
      <w:b/>
      <w:kern w:val="0"/>
      <w:sz w:val="20"/>
      <w:szCs w:val="20"/>
    </w:rPr>
  </w:style>
  <w:style w:type="character" w:default="1" w:styleId="27">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45"/>
    <w:qFormat/>
    <w:uiPriority w:val="0"/>
    <w:pPr>
      <w:jc w:val="center"/>
    </w:pPr>
  </w:style>
  <w:style w:type="paragraph" w:styleId="5">
    <w:name w:val="Normal Indent"/>
    <w:basedOn w:val="1"/>
    <w:link w:val="39"/>
    <w:qFormat/>
    <w:uiPriority w:val="0"/>
    <w:pPr>
      <w:ind w:firstLine="420" w:firstLineChars="200"/>
    </w:pPr>
  </w:style>
  <w:style w:type="paragraph" w:styleId="9">
    <w:name w:val="annotation subject"/>
    <w:basedOn w:val="10"/>
    <w:next w:val="10"/>
    <w:link w:val="55"/>
    <w:qFormat/>
    <w:uiPriority w:val="0"/>
    <w:rPr>
      <w:b/>
      <w:bCs/>
    </w:rPr>
  </w:style>
  <w:style w:type="paragraph" w:styleId="10">
    <w:name w:val="annotation text"/>
    <w:basedOn w:val="1"/>
    <w:link w:val="43"/>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4"/>
    <w:qFormat/>
    <w:uiPriority w:val="99"/>
    <w:pPr>
      <w:spacing w:after="120"/>
    </w:pPr>
    <w:rPr>
      <w:sz w:val="16"/>
      <w:szCs w:val="16"/>
    </w:rPr>
  </w:style>
  <w:style w:type="paragraph" w:styleId="13">
    <w:name w:val="Body Text Indent"/>
    <w:basedOn w:val="1"/>
    <w:link w:val="46"/>
    <w:qFormat/>
    <w:uiPriority w:val="0"/>
    <w:pPr>
      <w:ind w:firstLine="830" w:firstLineChars="352"/>
    </w:pPr>
    <w:rPr>
      <w:rFonts w:ascii="仿宋_GB2312" w:eastAsia="仿宋_GB2312"/>
      <w:kern w:val="0"/>
      <w:sz w:val="32"/>
      <w:szCs w:val="20"/>
    </w:r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next w:val="7"/>
    <w:link w:val="47"/>
    <w:qFormat/>
    <w:uiPriority w:val="0"/>
    <w:rPr>
      <w:rFonts w:ascii="宋体" w:hAnsi="Courier New"/>
      <w:kern w:val="0"/>
      <w:sz w:val="20"/>
      <w:szCs w:val="21"/>
    </w:rPr>
  </w:style>
  <w:style w:type="paragraph" w:styleId="16">
    <w:name w:val="Date"/>
    <w:basedOn w:val="1"/>
    <w:next w:val="1"/>
    <w:link w:val="48"/>
    <w:qFormat/>
    <w:uiPriority w:val="0"/>
    <w:pPr>
      <w:ind w:left="100" w:leftChars="2500"/>
    </w:pPr>
  </w:style>
  <w:style w:type="paragraph" w:styleId="17">
    <w:name w:val="Body Text Indent 2"/>
    <w:basedOn w:val="1"/>
    <w:link w:val="49"/>
    <w:qFormat/>
    <w:uiPriority w:val="0"/>
    <w:pPr>
      <w:spacing w:after="120" w:line="480" w:lineRule="auto"/>
      <w:ind w:left="420" w:leftChars="200"/>
    </w:pPr>
  </w:style>
  <w:style w:type="paragraph" w:styleId="18">
    <w:name w:val="Balloon Text"/>
    <w:basedOn w:val="1"/>
    <w:link w:val="50"/>
    <w:qFormat/>
    <w:uiPriority w:val="99"/>
    <w:rPr>
      <w:sz w:val="18"/>
      <w:szCs w:val="18"/>
    </w:rPr>
  </w:style>
  <w:style w:type="paragraph" w:styleId="19">
    <w:name w:val="footer"/>
    <w:basedOn w:val="1"/>
    <w:link w:val="51"/>
    <w:qFormat/>
    <w:uiPriority w:val="0"/>
    <w:pPr>
      <w:tabs>
        <w:tab w:val="center" w:pos="4153"/>
        <w:tab w:val="right" w:pos="8306"/>
      </w:tabs>
      <w:snapToGrid w:val="0"/>
      <w:jc w:val="left"/>
    </w:pPr>
    <w:rPr>
      <w:kern w:val="0"/>
      <w:sz w:val="18"/>
      <w:szCs w:val="18"/>
    </w:rPr>
  </w:style>
  <w:style w:type="paragraph" w:styleId="20">
    <w:name w:val="header"/>
    <w:basedOn w:val="1"/>
    <w:link w:val="52"/>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3"/>
    <w:qFormat/>
    <w:uiPriority w:val="99"/>
    <w:pPr>
      <w:spacing w:after="120"/>
      <w:ind w:left="420" w:leftChars="200"/>
    </w:pPr>
    <w:rPr>
      <w:sz w:val="16"/>
      <w:szCs w:val="16"/>
    </w:rPr>
  </w:style>
  <w:style w:type="paragraph" w:styleId="24">
    <w:name w:val="Body Text 2"/>
    <w:basedOn w:val="1"/>
    <w:qFormat/>
    <w:uiPriority w:val="99"/>
    <w:pPr>
      <w:spacing w:after="120" w:line="480" w:lineRule="auto"/>
    </w:pPr>
    <w:rPr>
      <w:kern w:val="0"/>
      <w:sz w:val="20"/>
      <w:szCs w:val="20"/>
    </w:rPr>
  </w:style>
  <w:style w:type="paragraph" w:styleId="25">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6">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28">
    <w:name w:val="Strong"/>
    <w:qFormat/>
    <w:uiPriority w:val="22"/>
    <w:rPr>
      <w:b/>
      <w:bCs/>
    </w:rPr>
  </w:style>
  <w:style w:type="character" w:styleId="29">
    <w:name w:val="page number"/>
    <w:qFormat/>
    <w:uiPriority w:val="0"/>
  </w:style>
  <w:style w:type="character" w:styleId="30">
    <w:name w:val="FollowedHyperlink"/>
    <w:qFormat/>
    <w:uiPriority w:val="0"/>
    <w:rPr>
      <w:color w:val="800080"/>
      <w:u w:val="single"/>
    </w:rPr>
  </w:style>
  <w:style w:type="character" w:styleId="31">
    <w:name w:val="Hyperlink"/>
    <w:qFormat/>
    <w:uiPriority w:val="0"/>
    <w:rPr>
      <w:color w:val="0000FF"/>
      <w:u w:val="single"/>
    </w:rPr>
  </w:style>
  <w:style w:type="character" w:styleId="32">
    <w:name w:val="annotation reference"/>
    <w:qFormat/>
    <w:uiPriority w:val="0"/>
    <w:rPr>
      <w:sz w:val="21"/>
      <w:szCs w:val="21"/>
    </w:rPr>
  </w:style>
  <w:style w:type="character" w:styleId="33">
    <w:name w:val="HTML Cite"/>
    <w:qFormat/>
    <w:uiPriority w:val="0"/>
  </w:style>
  <w:style w:type="table" w:styleId="35">
    <w:name w:val="Table Grid"/>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36">
    <w:name w:val="表格文字"/>
    <w:basedOn w:val="1"/>
    <w:qFormat/>
    <w:uiPriority w:val="0"/>
    <w:pPr>
      <w:spacing w:before="25" w:after="25"/>
      <w:jc w:val="left"/>
    </w:pPr>
    <w:rPr>
      <w:bCs/>
      <w:spacing w:val="10"/>
      <w:kern w:val="0"/>
      <w:sz w:val="24"/>
    </w:rPr>
  </w:style>
  <w:style w:type="character" w:customStyle="1" w:styleId="37">
    <w:name w:val="标题 1 字符"/>
    <w:link w:val="3"/>
    <w:qFormat/>
    <w:uiPriority w:val="0"/>
    <w:rPr>
      <w:b/>
      <w:bCs/>
      <w:kern w:val="44"/>
      <w:sz w:val="44"/>
      <w:szCs w:val="44"/>
    </w:rPr>
  </w:style>
  <w:style w:type="character" w:customStyle="1" w:styleId="38">
    <w:name w:val="标题 2 字符"/>
    <w:link w:val="4"/>
    <w:qFormat/>
    <w:uiPriority w:val="0"/>
    <w:rPr>
      <w:rFonts w:ascii="Arial" w:hAnsi="Arial" w:eastAsia="黑体"/>
      <w:b/>
      <w:bCs/>
      <w:kern w:val="2"/>
      <w:sz w:val="32"/>
      <w:szCs w:val="32"/>
    </w:rPr>
  </w:style>
  <w:style w:type="character" w:customStyle="1" w:styleId="39">
    <w:name w:val="正文缩进 字符"/>
    <w:link w:val="5"/>
    <w:qFormat/>
    <w:uiPriority w:val="0"/>
    <w:rPr>
      <w:kern w:val="2"/>
      <w:sz w:val="21"/>
      <w:szCs w:val="24"/>
    </w:rPr>
  </w:style>
  <w:style w:type="character" w:customStyle="1" w:styleId="40">
    <w:name w:val="标题 3 字符"/>
    <w:link w:val="6"/>
    <w:qFormat/>
    <w:uiPriority w:val="0"/>
    <w:rPr>
      <w:b/>
      <w:bCs/>
      <w:kern w:val="2"/>
      <w:sz w:val="32"/>
      <w:szCs w:val="32"/>
    </w:rPr>
  </w:style>
  <w:style w:type="character" w:customStyle="1" w:styleId="41">
    <w:name w:val="标题 4 字符"/>
    <w:link w:val="7"/>
    <w:qFormat/>
    <w:uiPriority w:val="9"/>
    <w:rPr>
      <w:rFonts w:ascii="宋体" w:hAnsi="宋体"/>
      <w:b/>
      <w:sz w:val="24"/>
      <w:szCs w:val="24"/>
    </w:rPr>
  </w:style>
  <w:style w:type="character" w:customStyle="1" w:styleId="42">
    <w:name w:val="标题 5 字符"/>
    <w:link w:val="8"/>
    <w:qFormat/>
    <w:uiPriority w:val="9"/>
    <w:rPr>
      <w:rFonts w:ascii="宋体" w:hAnsi="宋体" w:cs="宋体"/>
      <w:b/>
    </w:rPr>
  </w:style>
  <w:style w:type="character" w:customStyle="1" w:styleId="43">
    <w:name w:val="批注文字 字符"/>
    <w:link w:val="10"/>
    <w:qFormat/>
    <w:uiPriority w:val="0"/>
    <w:rPr>
      <w:rFonts w:ascii="Times New Roman" w:hAnsi="Times New Roman"/>
      <w:kern w:val="2"/>
      <w:sz w:val="21"/>
      <w:szCs w:val="24"/>
    </w:rPr>
  </w:style>
  <w:style w:type="character" w:customStyle="1" w:styleId="44">
    <w:name w:val="正文文本 3 字符"/>
    <w:link w:val="12"/>
    <w:qFormat/>
    <w:uiPriority w:val="99"/>
    <w:rPr>
      <w:kern w:val="2"/>
      <w:sz w:val="16"/>
      <w:szCs w:val="16"/>
    </w:rPr>
  </w:style>
  <w:style w:type="character" w:customStyle="1" w:styleId="45">
    <w:name w:val="正文文本 字符"/>
    <w:link w:val="2"/>
    <w:qFormat/>
    <w:uiPriority w:val="0"/>
    <w:rPr>
      <w:kern w:val="2"/>
      <w:sz w:val="21"/>
      <w:szCs w:val="24"/>
    </w:rPr>
  </w:style>
  <w:style w:type="character" w:customStyle="1" w:styleId="46">
    <w:name w:val="正文文本缩进 字符1"/>
    <w:link w:val="13"/>
    <w:qFormat/>
    <w:uiPriority w:val="0"/>
    <w:rPr>
      <w:rFonts w:ascii="仿宋_GB2312" w:hAnsi="Times New Roman" w:eastAsia="仿宋_GB2312" w:cs="Times New Roman"/>
      <w:sz w:val="32"/>
      <w:szCs w:val="20"/>
    </w:rPr>
  </w:style>
  <w:style w:type="character" w:customStyle="1" w:styleId="47">
    <w:name w:val="纯文本 字符1"/>
    <w:link w:val="15"/>
    <w:qFormat/>
    <w:uiPriority w:val="0"/>
    <w:rPr>
      <w:rFonts w:ascii="宋体" w:hAnsi="Courier New" w:eastAsia="宋体" w:cs="Courier New"/>
      <w:szCs w:val="21"/>
    </w:rPr>
  </w:style>
  <w:style w:type="character" w:customStyle="1" w:styleId="48">
    <w:name w:val="日期 字符"/>
    <w:link w:val="16"/>
    <w:qFormat/>
    <w:uiPriority w:val="0"/>
    <w:rPr>
      <w:kern w:val="2"/>
      <w:sz w:val="21"/>
      <w:szCs w:val="24"/>
    </w:rPr>
  </w:style>
  <w:style w:type="character" w:customStyle="1" w:styleId="49">
    <w:name w:val="正文文本缩进 2 字符"/>
    <w:link w:val="17"/>
    <w:qFormat/>
    <w:uiPriority w:val="0"/>
    <w:rPr>
      <w:kern w:val="2"/>
      <w:sz w:val="21"/>
      <w:szCs w:val="24"/>
    </w:rPr>
  </w:style>
  <w:style w:type="character" w:customStyle="1" w:styleId="50">
    <w:name w:val="批注框文本 字符"/>
    <w:link w:val="18"/>
    <w:qFormat/>
    <w:uiPriority w:val="99"/>
    <w:rPr>
      <w:kern w:val="2"/>
      <w:sz w:val="18"/>
      <w:szCs w:val="18"/>
    </w:rPr>
  </w:style>
  <w:style w:type="character" w:customStyle="1" w:styleId="51">
    <w:name w:val="页脚 字符1"/>
    <w:link w:val="19"/>
    <w:qFormat/>
    <w:uiPriority w:val="0"/>
    <w:rPr>
      <w:sz w:val="18"/>
      <w:szCs w:val="18"/>
    </w:rPr>
  </w:style>
  <w:style w:type="character" w:customStyle="1" w:styleId="52">
    <w:name w:val="页眉 字符1"/>
    <w:link w:val="20"/>
    <w:qFormat/>
    <w:uiPriority w:val="0"/>
    <w:rPr>
      <w:sz w:val="18"/>
      <w:szCs w:val="18"/>
    </w:rPr>
  </w:style>
  <w:style w:type="character" w:customStyle="1" w:styleId="53">
    <w:name w:val="正文文本缩进 3 字符"/>
    <w:link w:val="23"/>
    <w:qFormat/>
    <w:uiPriority w:val="99"/>
    <w:rPr>
      <w:kern w:val="2"/>
      <w:sz w:val="16"/>
      <w:szCs w:val="16"/>
    </w:rPr>
  </w:style>
  <w:style w:type="character" w:customStyle="1" w:styleId="54">
    <w:name w:val="HTML 预设格式 字符"/>
    <w:link w:val="25"/>
    <w:qFormat/>
    <w:uiPriority w:val="99"/>
    <w:rPr>
      <w:rFonts w:ascii="宋体" w:hAnsi="宋体" w:cs="宋体"/>
      <w:sz w:val="24"/>
      <w:szCs w:val="24"/>
    </w:rPr>
  </w:style>
  <w:style w:type="character" w:customStyle="1" w:styleId="55">
    <w:name w:val="批注主题 字符"/>
    <w:link w:val="9"/>
    <w:qFormat/>
    <w:uiPriority w:val="0"/>
    <w:rPr>
      <w:rFonts w:ascii="Times New Roman" w:hAnsi="Times New Roman"/>
      <w:b/>
      <w:bCs/>
      <w:kern w:val="2"/>
      <w:sz w:val="21"/>
      <w:szCs w:val="24"/>
    </w:rPr>
  </w:style>
  <w:style w:type="character" w:customStyle="1" w:styleId="56">
    <w:name w:val="页脚 字符"/>
    <w:qFormat/>
    <w:uiPriority w:val="99"/>
    <w:rPr>
      <w:rFonts w:ascii="Times New Roman" w:hAnsi="Times New Roman" w:eastAsia="宋体" w:cs="Times New Roman"/>
      <w:sz w:val="18"/>
      <w:szCs w:val="18"/>
    </w:rPr>
  </w:style>
  <w:style w:type="character" w:customStyle="1" w:styleId="57">
    <w:name w:val="font91"/>
    <w:qFormat/>
    <w:uiPriority w:val="0"/>
    <w:rPr>
      <w:rFonts w:hint="default" w:ascii="仿宋_GB2312" w:eastAsia="仿宋_GB2312" w:cs="仿宋_GB2312"/>
      <w:color w:val="000000"/>
      <w:sz w:val="22"/>
      <w:szCs w:val="22"/>
      <w:u w:val="none"/>
    </w:rPr>
  </w:style>
  <w:style w:type="character" w:customStyle="1" w:styleId="58">
    <w:name w:val="普通文字 Char Char3"/>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标题 3 Char"/>
    <w:qFormat/>
    <w:uiPriority w:val="0"/>
    <w:rPr>
      <w:rFonts w:eastAsia="宋体"/>
      <w:b/>
      <w:bCs/>
      <w:kern w:val="2"/>
      <w:sz w:val="32"/>
      <w:szCs w:val="32"/>
      <w:lang w:val="en-US" w:eastAsia="zh-CN" w:bidi="ar-SA"/>
    </w:rPr>
  </w:style>
  <w:style w:type="character" w:customStyle="1" w:styleId="61">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qFormat/>
    <w:uiPriority w:val="0"/>
    <w:rPr>
      <w:rFonts w:ascii="Times New Roman" w:hAnsi="Times New Roman" w:eastAsia="宋体" w:cs="Times New Roman"/>
      <w:sz w:val="18"/>
      <w:szCs w:val="18"/>
    </w:rPr>
  </w:style>
  <w:style w:type="character" w:customStyle="1" w:styleId="63">
    <w:name w:val="font01"/>
    <w:qFormat/>
    <w:uiPriority w:val="0"/>
    <w:rPr>
      <w:rFonts w:hint="eastAsia" w:ascii="宋体" w:hAnsi="宋体" w:eastAsia="宋体" w:cs="宋体"/>
      <w:b/>
      <w:color w:val="000000"/>
      <w:sz w:val="20"/>
      <w:szCs w:val="20"/>
      <w:u w:val="none"/>
    </w:rPr>
  </w:style>
  <w:style w:type="character" w:customStyle="1" w:styleId="64">
    <w:name w:val="Char Char3"/>
    <w:qFormat/>
    <w:uiPriority w:val="0"/>
    <w:rPr>
      <w:rFonts w:ascii="宋体" w:hAnsi="Courier New" w:eastAsia="宋体"/>
      <w:b/>
      <w:kern w:val="2"/>
      <w:sz w:val="21"/>
      <w:lang w:val="en-US" w:eastAsia="zh-CN"/>
    </w:rPr>
  </w:style>
  <w:style w:type="character" w:customStyle="1" w:styleId="65">
    <w:name w:val="font71"/>
    <w:qFormat/>
    <w:uiPriority w:val="0"/>
    <w:rPr>
      <w:rFonts w:hint="default" w:ascii="Arial" w:hAnsi="Arial" w:cs="Arial"/>
      <w:color w:val="000000"/>
      <w:sz w:val="22"/>
      <w:szCs w:val="22"/>
      <w:u w:val="none"/>
    </w:rPr>
  </w:style>
  <w:style w:type="character" w:customStyle="1" w:styleId="66">
    <w:name w:val="font11"/>
    <w:qFormat/>
    <w:uiPriority w:val="0"/>
    <w:rPr>
      <w:rFonts w:hint="eastAsia" w:ascii="宋体" w:hAnsi="宋体" w:eastAsia="宋体" w:cs="宋体"/>
      <w:color w:val="000000"/>
      <w:sz w:val="20"/>
      <w:szCs w:val="20"/>
      <w:u w:val="none"/>
    </w:rPr>
  </w:style>
  <w:style w:type="character" w:customStyle="1" w:styleId="67">
    <w:name w:val="纯文本 Char1"/>
    <w:qFormat/>
    <w:uiPriority w:val="0"/>
    <w:rPr>
      <w:rFonts w:ascii="宋体" w:hAnsi="Courier New" w:eastAsia="宋体" w:cs="Courier New"/>
      <w:szCs w:val="21"/>
    </w:rPr>
  </w:style>
  <w:style w:type="character" w:customStyle="1" w:styleId="68">
    <w:name w:val="正文文本缩进 字符"/>
    <w:qFormat/>
    <w:uiPriority w:val="0"/>
    <w:rPr>
      <w:rFonts w:ascii="仿宋_GB2312" w:hAnsi="Times New Roman" w:eastAsia="仿宋_GB2312" w:cs="Times New Roman"/>
      <w:sz w:val="32"/>
      <w:szCs w:val="20"/>
    </w:rPr>
  </w:style>
  <w:style w:type="character" w:customStyle="1" w:styleId="69">
    <w:name w:val="font121"/>
    <w:qFormat/>
    <w:uiPriority w:val="0"/>
    <w:rPr>
      <w:rFonts w:hint="eastAsia" w:ascii="宋体" w:hAnsi="宋体" w:eastAsia="宋体" w:cs="宋体"/>
      <w:b/>
      <w:bCs/>
      <w:color w:val="000000"/>
      <w:sz w:val="20"/>
      <w:szCs w:val="20"/>
      <w:u w:val="none"/>
    </w:rPr>
  </w:style>
  <w:style w:type="character" w:customStyle="1" w:styleId="70">
    <w:name w:val="纯文本 Char"/>
    <w:qFormat/>
    <w:uiPriority w:val="0"/>
    <w:rPr>
      <w:rFonts w:ascii="宋体" w:hAnsi="Courier New" w:eastAsia="宋体"/>
      <w:szCs w:val="21"/>
      <w:lang w:bidi="ar-SA"/>
    </w:rPr>
  </w:style>
  <w:style w:type="character" w:customStyle="1" w:styleId="71">
    <w:name w:val="apple-converted-space"/>
    <w:qFormat/>
    <w:uiPriority w:val="0"/>
  </w:style>
  <w:style w:type="paragraph" w:customStyle="1" w:styleId="72">
    <w:name w:val="_Style 5"/>
    <w:basedOn w:val="1"/>
    <w:qFormat/>
    <w:uiPriority w:val="34"/>
    <w:pPr>
      <w:ind w:firstLine="420" w:firstLineChars="200"/>
    </w:pPr>
  </w:style>
  <w:style w:type="paragraph" w:customStyle="1" w:styleId="73">
    <w:name w:val="表格字体"/>
    <w:basedOn w:val="1"/>
    <w:qFormat/>
    <w:uiPriority w:val="0"/>
    <w:rPr>
      <w:sz w:val="18"/>
      <w:szCs w:val="18"/>
    </w:rPr>
  </w:style>
  <w:style w:type="paragraph" w:customStyle="1" w:styleId="74">
    <w:name w:val="彩色列表 - 强调文字颜色 11"/>
    <w:basedOn w:val="1"/>
    <w:qFormat/>
    <w:uiPriority w:val="0"/>
    <w:pPr>
      <w:ind w:firstLine="420" w:firstLineChars="200"/>
    </w:pPr>
    <w:rPr>
      <w:rFonts w:ascii="Calibri" w:hAnsi="Calibri"/>
      <w:szCs w:val="22"/>
    </w:rPr>
  </w:style>
  <w:style w:type="paragraph" w:customStyle="1" w:styleId="75">
    <w:name w:val="p0"/>
    <w:basedOn w:val="1"/>
    <w:qFormat/>
    <w:uiPriority w:val="0"/>
    <w:pPr>
      <w:widowControl/>
    </w:pPr>
    <w:rPr>
      <w:kern w:val="0"/>
      <w:szCs w:val="21"/>
    </w:rPr>
  </w:style>
  <w:style w:type="paragraph" w:customStyle="1" w:styleId="76">
    <w:name w:val="_Style 1"/>
    <w:basedOn w:val="1"/>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qFormat/>
    <w:uiPriority w:val="0"/>
    <w:rPr>
      <w:b/>
      <w:bCs/>
      <w:sz w:val="36"/>
      <w:szCs w:val="32"/>
    </w:rPr>
  </w:style>
  <w:style w:type="paragraph" w:customStyle="1" w:styleId="78">
    <w:name w:val="1"/>
    <w:basedOn w:val="1"/>
    <w:next w:val="15"/>
    <w:qFormat/>
    <w:uiPriority w:val="0"/>
    <w:rPr>
      <w:rFonts w:ascii="宋体" w:hAnsi="Courier New"/>
      <w:szCs w:val="20"/>
    </w:rPr>
  </w:style>
  <w:style w:type="paragraph" w:customStyle="1" w:styleId="79">
    <w:name w:val="Table Paragraph"/>
    <w:basedOn w:val="1"/>
    <w:qFormat/>
    <w:uiPriority w:val="1"/>
    <w:rPr>
      <w:rFonts w:ascii="宋体" w:hAnsi="宋体" w:cs="宋体"/>
      <w:lang w:val="zh-CN" w:bidi="zh-CN"/>
    </w:rPr>
  </w:style>
  <w:style w:type="paragraph" w:customStyle="1" w:styleId="80">
    <w:name w:val="Char Char"/>
    <w:basedOn w:val="1"/>
    <w:qFormat/>
    <w:uiPriority w:val="0"/>
    <w:rPr>
      <w:rFonts w:ascii="仿宋_GB2312" w:eastAsia="仿宋_GB2312"/>
      <w:b/>
      <w:sz w:val="32"/>
      <w:szCs w:val="32"/>
    </w:rPr>
  </w:style>
  <w:style w:type="paragraph" w:customStyle="1" w:styleId="81">
    <w:name w:val="Char"/>
    <w:basedOn w:val="1"/>
    <w:qFormat/>
    <w:uiPriority w:val="0"/>
  </w:style>
  <w:style w:type="paragraph" w:customStyle="1" w:styleId="82">
    <w:name w:val="Char1"/>
    <w:basedOn w:val="1"/>
    <w:qFormat/>
    <w:uiPriority w:val="0"/>
    <w:rPr>
      <w:rFonts w:ascii="仿宋_GB2312" w:eastAsia="仿宋_GB2312"/>
      <w:b/>
      <w:sz w:val="32"/>
      <w:szCs w:val="32"/>
    </w:rPr>
  </w:style>
  <w:style w:type="paragraph" w:customStyle="1" w:styleId="83">
    <w:name w:val="Char1 Char Char Char Char Char"/>
    <w:basedOn w:val="1"/>
    <w:qFormat/>
    <w:uiPriority w:val="0"/>
    <w:rPr>
      <w:rFonts w:eastAsia="Times New Roman"/>
      <w:b/>
      <w:bCs/>
      <w:kern w:val="0"/>
      <w:sz w:val="36"/>
      <w:szCs w:val="32"/>
    </w:rPr>
  </w:style>
  <w:style w:type="paragraph" w:customStyle="1" w:styleId="84">
    <w:name w:val="Char1 Char Char Char"/>
    <w:basedOn w:val="1"/>
    <w:qFormat/>
    <w:uiPriority w:val="0"/>
    <w:rPr>
      <w:rFonts w:ascii="Tahoma" w:hAnsi="Tahoma"/>
      <w:sz w:val="24"/>
      <w:szCs w:val="20"/>
    </w:rPr>
  </w:style>
  <w:style w:type="paragraph" w:customStyle="1" w:styleId="85">
    <w:name w:val="修订1"/>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qFormat/>
    <w:uiPriority w:val="0"/>
    <w:pPr>
      <w:ind w:firstLine="420" w:firstLineChars="200"/>
    </w:pPr>
  </w:style>
  <w:style w:type="paragraph" w:customStyle="1" w:styleId="87">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8">
    <w:name w:val="列表段落1"/>
    <w:basedOn w:val="1"/>
    <w:qFormat/>
    <w:uiPriority w:val="34"/>
    <w:pPr>
      <w:ind w:firstLine="420" w:firstLineChars="200"/>
    </w:pPr>
    <w:rPr>
      <w:szCs w:val="20"/>
    </w:rPr>
  </w:style>
  <w:style w:type="paragraph" w:customStyle="1" w:styleId="89">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列出段落1"/>
    <w:qFormat/>
    <w:uiPriority w:val="0"/>
    <w:pPr>
      <w:ind w:firstLine="200" w:firstLineChars="200"/>
    </w:pPr>
    <w:rPr>
      <w:rFonts w:ascii="Times New Roman" w:hAnsi="Times New Roman" w:eastAsia="宋体" w:cs="Times New Roman"/>
      <w:szCs w:val="22"/>
      <w:lang w:val="en-US" w:eastAsia="zh-CN" w:bidi="ar-SA"/>
    </w:rPr>
  </w:style>
  <w:style w:type="paragraph" w:customStyle="1" w:styleId="92">
    <w:name w:val="修订3"/>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34</Pages>
  <Words>16478</Words>
  <Characters>18404</Characters>
  <Lines>148</Lines>
  <Paragraphs>41</Paragraphs>
  <ScaleCrop>false</ScaleCrop>
  <LinksUpToDate>false</LinksUpToDate>
  <CharactersWithSpaces>19989</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2023-03-02T23:23:00Z</dcterms:created>
  <dc:creator>唐冰</dc:creator>
  <cp:lastModifiedBy>韦宝</cp:lastModifiedBy>
  <cp:lastPrinted>2019-04-21T08:11:00Z</cp:lastPrinted>
  <dcterms:modified xsi:type="dcterms:W3CDTF">2023-03-03T10:14:57Z</dcterms:modified>
  <dc:title>竞争性谈判文件规范</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KSOSaveFontToCloudKey">
    <vt:lpwstr>0_embed</vt:lpwstr>
  </property>
  <property fmtid="{D5CDD505-2E9C-101B-9397-08002B2CF9AE}" pid="4" name="ICV">
    <vt:lpwstr>F5C9EAD7169C47DC80CAF19FF9E2BDD6</vt:lpwstr>
  </property>
</Properties>
</file>