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黑体_GBK" w:hAnsi="方正黑体_GBK" w:eastAsia="方正黑体_GBK" w:cs="方正黑体_GBK"/>
        </w:rPr>
      </w:pPr>
      <w:r>
        <w:rPr>
          <w:rFonts w:hint="eastAsia" w:ascii="方正黑体_GBK" w:hAnsi="方正黑体_GBK" w:eastAsia="方正黑体_GBK" w:cs="方正黑体_GBK"/>
        </w:rPr>
        <w:t>附件1</w:t>
      </w:r>
    </w:p>
    <w:p>
      <w:pPr>
        <w:spacing w:line="560" w:lineRule="exact"/>
        <w:jc w:val="lef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w:t>
      </w:r>
      <w:r>
        <w:rPr>
          <w:rFonts w:hint="eastAsia" w:ascii="Times New Roman" w:hAnsi="Times New Roman" w:eastAsia="方正小标宋_GBK"/>
          <w:sz w:val="44"/>
          <w:szCs w:val="44"/>
          <w:lang w:eastAsia="zh-CN"/>
        </w:rPr>
        <w:t>自治区政务服务专用信息化系统安全管理测评</w:t>
      </w:r>
      <w:r>
        <w:rPr>
          <w:rFonts w:hint="eastAsia" w:ascii="方正小标宋_GBK" w:hAnsi="方正小标宋_GBK" w:eastAsia="方正小标宋_GBK" w:cs="方正小标宋_GBK"/>
          <w:sz w:val="44"/>
          <w:szCs w:val="44"/>
        </w:rPr>
        <w:t>采购需求</w:t>
      </w:r>
    </w:p>
    <w:p>
      <w:pPr>
        <w:numPr>
          <w:ilvl w:val="0"/>
          <w:numId w:val="1"/>
        </w:numPr>
        <w:ind w:firstLine="562" w:firstLineChars="200"/>
        <w:rPr>
          <w:rFonts w:hint="eastAsia"/>
        </w:rPr>
      </w:pPr>
      <w:r>
        <w:rPr>
          <w:rFonts w:hint="eastAsia" w:cs="宋体"/>
          <w:b/>
          <w:bCs/>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根据《中华人民共和国网络安全法》</w:t>
      </w:r>
      <w:r>
        <w:rPr>
          <w:rFonts w:hint="eastAsia"/>
          <w:lang w:eastAsia="zh-CN"/>
        </w:rPr>
        <w:t>第</w:t>
      </w:r>
      <w:r>
        <w:rPr>
          <w:rFonts w:hint="eastAsia"/>
        </w:rPr>
        <w:t>二十一条“国家实行网络安全等级保护制度。网络运营者应当按照网络安全等级保护制度的要求，履行下列安全保护义务，保障网络免受干扰、破坏或者未经授权的访问，防止网络数据泄露或者被窃取、篡改</w:t>
      </w:r>
      <w:r>
        <w:rPr>
          <w:rFonts w:hint="eastAsia"/>
          <w:lang w:eastAsia="zh-CN"/>
        </w:rPr>
        <w:t>。</w:t>
      </w:r>
      <w:r>
        <w:rPr>
          <w:rFonts w:hint="eastAsia"/>
        </w:rPr>
        <w:t>”规定，为了落实国家网络安全等级保护制度，履行网络安全保护义务，广西大数据发展局位计划采购一家有网络安全等级测评与检测评估机构服务认证证书资质</w:t>
      </w:r>
      <w:bookmarkStart w:id="0" w:name="_GoBack"/>
      <w:bookmarkEnd w:id="0"/>
      <w:r>
        <w:rPr>
          <w:rFonts w:hint="eastAsia"/>
        </w:rPr>
        <w:t>的机构对广西政务服务中心等级保护对象开展等级测评工作，衡量等级保护对象是否达到相应等级的安全保护能力。</w:t>
      </w:r>
    </w:p>
    <w:p>
      <w:pPr>
        <w:ind w:firstLine="562" w:firstLineChars="200"/>
        <w:rPr>
          <w:rFonts w:hint="eastAsia" w:cs="宋体"/>
          <w:b/>
          <w:bCs/>
          <w:sz w:val="28"/>
          <w:szCs w:val="28"/>
        </w:rPr>
      </w:pPr>
      <w:r>
        <w:rPr>
          <w:rFonts w:hint="eastAsia" w:cs="宋体"/>
          <w:b/>
          <w:bCs/>
          <w:sz w:val="28"/>
          <w:szCs w:val="28"/>
        </w:rPr>
        <w:t>二、需求一览表</w:t>
      </w:r>
    </w:p>
    <w:tbl>
      <w:tblPr>
        <w:tblStyle w:val="10"/>
        <w:tblW w:w="9007"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35"/>
        <w:gridCol w:w="547"/>
        <w:gridCol w:w="563"/>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510" w:type="dxa"/>
            <w:shd w:val="clear" w:color="auto" w:fill="F1F1F1"/>
            <w:noWrap w:val="0"/>
            <w:vAlign w:val="center"/>
          </w:tcPr>
          <w:p>
            <w:pPr>
              <w:spacing w:line="240" w:lineRule="auto"/>
              <w:jc w:val="center"/>
              <w:rPr>
                <w:rFonts w:hint="eastAsia" w:cs="宋体"/>
                <w:b/>
                <w:bCs/>
              </w:rPr>
            </w:pPr>
            <w:r>
              <w:rPr>
                <w:rFonts w:hint="eastAsia" w:cs="宋体"/>
                <w:b/>
                <w:bCs/>
              </w:rPr>
              <w:t>项号</w:t>
            </w:r>
          </w:p>
        </w:tc>
        <w:tc>
          <w:tcPr>
            <w:tcW w:w="735" w:type="dxa"/>
            <w:shd w:val="clear" w:color="auto" w:fill="F1F1F1"/>
            <w:noWrap w:val="0"/>
            <w:vAlign w:val="center"/>
          </w:tcPr>
          <w:p>
            <w:pPr>
              <w:spacing w:line="240" w:lineRule="auto"/>
              <w:jc w:val="center"/>
              <w:rPr>
                <w:rFonts w:hint="eastAsia" w:cs="宋体"/>
                <w:b/>
                <w:bCs/>
              </w:rPr>
            </w:pPr>
            <w:r>
              <w:rPr>
                <w:rFonts w:hint="eastAsia" w:cs="宋体"/>
                <w:b/>
                <w:bCs/>
              </w:rPr>
              <w:t>服务名称</w:t>
            </w:r>
          </w:p>
        </w:tc>
        <w:tc>
          <w:tcPr>
            <w:tcW w:w="547" w:type="dxa"/>
            <w:shd w:val="clear" w:color="auto" w:fill="F1F1F1"/>
            <w:noWrap w:val="0"/>
            <w:vAlign w:val="center"/>
          </w:tcPr>
          <w:p>
            <w:pPr>
              <w:spacing w:line="240" w:lineRule="auto"/>
              <w:jc w:val="center"/>
              <w:rPr>
                <w:rFonts w:hint="eastAsia" w:cs="宋体"/>
                <w:b/>
                <w:bCs/>
              </w:rPr>
            </w:pPr>
            <w:r>
              <w:rPr>
                <w:rFonts w:hint="eastAsia" w:cs="宋体"/>
                <w:b/>
                <w:bCs/>
              </w:rPr>
              <w:t>数量</w:t>
            </w:r>
          </w:p>
        </w:tc>
        <w:tc>
          <w:tcPr>
            <w:tcW w:w="563" w:type="dxa"/>
            <w:shd w:val="clear" w:color="auto" w:fill="F1F1F1"/>
            <w:noWrap w:val="0"/>
            <w:vAlign w:val="center"/>
          </w:tcPr>
          <w:p>
            <w:pPr>
              <w:spacing w:line="240" w:lineRule="auto"/>
              <w:jc w:val="center"/>
              <w:rPr>
                <w:rFonts w:hint="eastAsia" w:cs="宋体"/>
                <w:b/>
                <w:bCs/>
              </w:rPr>
            </w:pPr>
            <w:r>
              <w:rPr>
                <w:rFonts w:hint="eastAsia" w:cs="宋体"/>
                <w:b/>
                <w:bCs/>
              </w:rPr>
              <w:t>单位</w:t>
            </w:r>
          </w:p>
        </w:tc>
        <w:tc>
          <w:tcPr>
            <w:tcW w:w="6652" w:type="dxa"/>
            <w:shd w:val="clear" w:color="auto" w:fill="F1F1F1"/>
            <w:noWrap w:val="0"/>
            <w:vAlign w:val="center"/>
          </w:tcPr>
          <w:p>
            <w:pPr>
              <w:spacing w:line="240" w:lineRule="auto"/>
              <w:jc w:val="center"/>
              <w:rPr>
                <w:rFonts w:hint="eastAsia" w:cs="宋体"/>
                <w:b/>
                <w:bCs/>
              </w:rPr>
            </w:pPr>
            <w:r>
              <w:rPr>
                <w:rFonts w:hint="eastAsia" w:cs="宋体"/>
                <w:b/>
                <w:bCs/>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pPr>
              <w:jc w:val="center"/>
              <w:rPr>
                <w:rFonts w:hint="eastAsia" w:cs="宋体"/>
              </w:rPr>
            </w:pPr>
            <w:r>
              <w:rPr>
                <w:rFonts w:hint="eastAsia" w:cs="宋体"/>
              </w:rPr>
              <w:t>1</w:t>
            </w:r>
          </w:p>
        </w:tc>
        <w:tc>
          <w:tcPr>
            <w:tcW w:w="735" w:type="dxa"/>
            <w:noWrap w:val="0"/>
            <w:vAlign w:val="center"/>
          </w:tcPr>
          <w:p>
            <w:pPr>
              <w:jc w:val="center"/>
              <w:rPr>
                <w:rFonts w:hint="eastAsia" w:cs="宋体"/>
              </w:rPr>
            </w:pPr>
            <w:r>
              <w:rPr>
                <w:rFonts w:hint="eastAsia"/>
                <w:color w:val="000000"/>
              </w:rPr>
              <w:t>网络安全等级保护</w:t>
            </w:r>
            <w:r>
              <w:rPr>
                <w:color w:val="000000"/>
              </w:rPr>
              <w:t>测评</w:t>
            </w:r>
            <w:r>
              <w:rPr>
                <w:rFonts w:hint="eastAsia"/>
                <w:color w:val="000000"/>
              </w:rPr>
              <w:t>项目</w:t>
            </w:r>
          </w:p>
        </w:tc>
        <w:tc>
          <w:tcPr>
            <w:tcW w:w="547" w:type="dxa"/>
            <w:noWrap w:val="0"/>
            <w:vAlign w:val="center"/>
          </w:tcPr>
          <w:p>
            <w:pPr>
              <w:jc w:val="center"/>
              <w:rPr>
                <w:rFonts w:hint="eastAsia" w:cs="宋体"/>
              </w:rPr>
            </w:pPr>
            <w:r>
              <w:rPr>
                <w:rFonts w:hint="eastAsia" w:cs="宋体"/>
              </w:rPr>
              <w:t>1</w:t>
            </w:r>
          </w:p>
        </w:tc>
        <w:tc>
          <w:tcPr>
            <w:tcW w:w="563" w:type="dxa"/>
            <w:noWrap w:val="0"/>
            <w:vAlign w:val="center"/>
          </w:tcPr>
          <w:p>
            <w:pPr>
              <w:jc w:val="center"/>
              <w:rPr>
                <w:rFonts w:hint="eastAsia" w:cs="宋体"/>
              </w:rPr>
            </w:pPr>
            <w:r>
              <w:rPr>
                <w:rFonts w:hint="eastAsia" w:cs="宋体"/>
              </w:rPr>
              <w:t>项</w:t>
            </w:r>
          </w:p>
        </w:tc>
        <w:tc>
          <w:tcPr>
            <w:tcW w:w="66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★1、总的要求</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依据《网络安全等级保护基本要求》（GB/T 22239-2019）对广西壮族自治区政务服务中心信息系统</w:t>
            </w:r>
            <w:r>
              <w:rPr>
                <w:rFonts w:hint="eastAsia"/>
                <w:lang w:eastAsia="zh-CN"/>
              </w:rPr>
              <w:t>【</w:t>
            </w:r>
            <w:r>
              <w:rPr>
                <w:rFonts w:hint="eastAsia"/>
              </w:rPr>
              <w:t>含自治区政务服务中心本级办公网络系统（三级）、自治区政务服务中心视频监察系统（三级）、自治区政务服务中心互联网及WIFI网络系统（二级）三个子系统</w:t>
            </w:r>
            <w:r>
              <w:rPr>
                <w:rFonts w:hint="eastAsia"/>
                <w:lang w:eastAsia="zh-CN"/>
              </w:rPr>
              <w:t>】</w:t>
            </w:r>
            <w:r>
              <w:rPr>
                <w:rFonts w:hint="eastAsia"/>
              </w:rPr>
              <w:t>开展网络安全等级保护测评工作，并出具网络安全等级保护测评报告。</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2、标准依据</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《计算机信息系统安全保护等级划分准则》（GB 17859-1999)</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《网络安全等级保护基本要求》（GB/T 22239-2019）</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《网络安全等级保护测评要求》（GB/T 28448-2019）</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《网络安全等级保护测评过程指南》（GB/T 28449-2018)</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《网络安全等级保护设计技术要求》（GB/T 25070-2019）</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《网络安全等级保护测试评估技术指南》（GB/T 36627-2018）</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★3、测评内容</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lang w:eastAsia="zh-CN"/>
              </w:rPr>
            </w:pPr>
            <w:r>
              <w:rPr>
                <w:rFonts w:hint="eastAsia"/>
              </w:rPr>
              <w:t>（1）安全通用要求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安全通用要求测评内容应包括安全技术和安全管理两大类，其中</w:t>
            </w:r>
            <w:r>
              <w:rPr>
                <w:rFonts w:hint="eastAsia"/>
                <w:lang w:eastAsia="zh-CN"/>
              </w:rPr>
              <w:t>安全</w:t>
            </w:r>
            <w:r>
              <w:rPr>
                <w:rFonts w:hint="eastAsia"/>
              </w:rPr>
              <w:t>技术类应包括对安全物理环境、安全通信网络、安全区域边界、安全计算环境、安全管理中心五个方面的测评</w:t>
            </w:r>
            <w:r>
              <w:rPr>
                <w:rFonts w:hint="eastAsia"/>
                <w:lang w:eastAsia="zh-CN"/>
              </w:rPr>
              <w:t>；</w:t>
            </w:r>
            <w:r>
              <w:rPr>
                <w:rFonts w:hint="eastAsia"/>
              </w:rPr>
              <w:t>安全管理类测评应包括对安全管理制度、安全管理机构、安全管理人员、安全建设管理、安全运维管理五个方面的测评。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安全扩展要求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应用了不同新技术的安全保护对象处于不同的应用场景中，面临不同的安全威胁，因此会有不同的安全需求，该保护对象涉及的安全扩展要求包括：</w:t>
            </w:r>
          </w:p>
          <w:p>
            <w:pPr>
              <w:widowControl/>
              <w:spacing w:line="324" w:lineRule="auto"/>
              <w:ind w:firstLine="640" w:firstLineChars="200"/>
              <w:rPr>
                <w:rFonts w:hint="eastAsia" w:eastAsia="宋体"/>
                <w:lang w:eastAsia="zh-CN"/>
              </w:rPr>
            </w:pPr>
            <w:r>
              <w:rPr>
                <w:rFonts w:hint="eastAsia"/>
              </w:rPr>
              <w:t>1）云计算</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云计算安全测评内容包括对安全物理环境、安全通信网络、安全区域边界、安全计算环境、安全管理中心、安全建设管理、安全运维管理等的测评。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lang w:eastAsia="zh-CN"/>
              </w:rPr>
            </w:pPr>
            <w:r>
              <w:rPr>
                <w:rFonts w:hint="eastAsia"/>
              </w:rPr>
              <w:t>2）移动互联</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移动互联安全测评内容包括对安全物理环境、安全区域边界、安全计算环境、安全建设管理、安全运维管理等的测评。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lang w:eastAsia="zh-CN"/>
              </w:rPr>
            </w:pPr>
            <w:r>
              <w:rPr>
                <w:rFonts w:hint="eastAsia"/>
              </w:rPr>
              <w:t>3）物联网</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物联网安全测评内容包括对安全物理环境、安全区域边界、安全计算环境、安全运维管理等的测评。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lang w:eastAsia="zh-CN"/>
              </w:rPr>
            </w:pPr>
            <w:r>
              <w:rPr>
                <w:rFonts w:hint="eastAsia"/>
              </w:rPr>
              <w:t>4）工业控制系统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工业控制系统安全测评包括对安全物理环境、安全通信网络、安全区域边界、安全计算环境、安全建设管理方面的测评。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lang w:eastAsia="zh-CN"/>
              </w:rPr>
            </w:pPr>
            <w:r>
              <w:rPr>
                <w:rFonts w:hint="eastAsia"/>
              </w:rPr>
              <w:t>大数据</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大数据安全测评包括对安全物理环境、安全通信网络、安全计算环境、安全运维管理等的测评。</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4、测评方法</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在测评实施过程中，应采用访谈、检查和测试、渗透测试等测评方法进行，并与国家相关规范及标准的要求相符。</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访谈是指测评人员通过引导信息系统相关人员进行有目的的（有针对性的）交流以帮助测评人员理解、分析或取得证据的过程；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检查是指测评人员通过对测评对象（如管理制度、操作记录、安全配置等）进行观察、查验、分析以帮助测评人员理解、分析或取得证据的过程；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测试是测评人员使用预定的方法/工具使测评对象产生特定的行为，通过查看和分析结果以帮助测评人员获取证据的过程；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渗透测试是模拟黑客的攻击方法，对受保护对象的应用系统、主机、网络进行攻击，从而验证测评对象的弱点、技术缺陷或漏洞的一种评估方法。</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5、服务成果</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测评完成后，出具符合等保2.0相关技术标准要求、国家网络安全等级保护管理部门规范要求且公安机关认可的的网络安全等级保护测评报告。</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6、安全培训服务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服务期内，为采购人技术人员提供一次信息安全培训，包括等级保护建设、安全态势、安全技术、攻防技术等内容。</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7、安全咨询服务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依据《GA/T 1389-2017信息安全技术网络安全等级保护定级指南》对自治区政务服务中心信息系统提供定级备案咨询服务，完成定级报告及定级备案表的编制，协助业主单位完成定级备案工作。</w:t>
            </w:r>
          </w:p>
          <w:p>
            <w:pPr>
              <w:pStyle w:val="2"/>
            </w:pPr>
          </w:p>
          <w:p>
            <w:pPr>
              <w:pStyle w:val="2"/>
              <w:rPr>
                <w:rFonts w:hint="eastAsia"/>
              </w:rPr>
            </w:pPr>
          </w:p>
        </w:tc>
      </w:tr>
    </w:tbl>
    <w:tbl>
      <w:tblPr>
        <w:tblStyle w:val="10"/>
        <w:tblpPr w:leftFromText="180" w:rightFromText="180" w:vertAnchor="text" w:horzAnchor="page" w:tblpX="1557" w:tblpY="305"/>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shd w:val="clear" w:color="auto" w:fill="D7D7D7" w:themeFill="background1" w:themeFillShade="D8"/>
            <w:noWrap w:val="0"/>
            <w:vAlign w:val="center"/>
          </w:tcPr>
          <w:p>
            <w:pPr>
              <w:jc w:val="center"/>
              <w:rPr>
                <w:rFonts w:hint="eastAsia" w:eastAsia="仿宋_GB2312" w:cs="宋体"/>
                <w:lang w:eastAsia="zh-CN"/>
              </w:rPr>
            </w:pPr>
            <w:r>
              <w:rPr>
                <w:rFonts w:hint="eastAsia" w:cs="宋体"/>
                <w:b/>
                <w:lang w:eastAsia="zh-CN"/>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noWrap w:val="0"/>
            <w:vAlign w:val="center"/>
          </w:tcPr>
          <w:p>
            <w:pPr>
              <w:spacing w:line="288" w:lineRule="auto"/>
              <w:jc w:val="center"/>
              <w:rPr>
                <w:rFonts w:hint="eastAsia" w:ascii="仿宋_GB2312" w:eastAsia="仿宋_GB2312" w:cs="宋体" w:hAnsiTheme="minorHAnsi"/>
                <w:kern w:val="2"/>
                <w:sz w:val="32"/>
                <w:szCs w:val="32"/>
                <w:lang w:val="en-US" w:eastAsia="zh-CN" w:bidi="ar-SA"/>
              </w:rPr>
            </w:pPr>
            <w:r>
              <w:rPr>
                <w:rFonts w:hint="eastAsia" w:cs="宋体"/>
                <w:b/>
              </w:rPr>
              <w:t>★</w:t>
            </w:r>
            <w:r>
              <w:rPr>
                <w:rFonts w:hint="eastAsia" w:cs="宋体"/>
              </w:rPr>
              <w:t>投标人资质要求</w:t>
            </w:r>
          </w:p>
        </w:tc>
        <w:tc>
          <w:tcPr>
            <w:tcW w:w="7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s="宋体" w:hAnsiTheme="minorHAnsi"/>
                <w:kern w:val="2"/>
                <w:sz w:val="32"/>
                <w:szCs w:val="32"/>
                <w:lang w:val="en-US" w:eastAsia="zh-CN" w:bidi="ar-SA"/>
              </w:rPr>
            </w:pPr>
            <w:r>
              <w:rPr>
                <w:rFonts w:hint="eastAsia"/>
              </w:rPr>
              <w:t>投标人必须具备公安部第三研究所认证发放的《网络安全等级测评与检测评估机构服务认证证书》；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noWrap w:val="0"/>
            <w:vAlign w:val="center"/>
          </w:tcPr>
          <w:p>
            <w:pPr>
              <w:spacing w:line="288" w:lineRule="auto"/>
              <w:jc w:val="center"/>
              <w:rPr>
                <w:rFonts w:hint="eastAsia" w:cs="宋体"/>
              </w:rPr>
            </w:pPr>
            <w:r>
              <w:rPr>
                <w:rFonts w:hint="eastAsia" w:cs="宋体"/>
              </w:rPr>
              <w:t>完成期限及服务地点：</w:t>
            </w:r>
          </w:p>
        </w:tc>
        <w:tc>
          <w:tcPr>
            <w:tcW w:w="7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完成期限：自采购人发出进场通知书之日起60个工作日内完成现场测评并出具网络安全等级保护测评报告。</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hAnsi="宋体" w:cs="宋体"/>
                <w:szCs w:val="24"/>
              </w:rPr>
            </w:pPr>
            <w:r>
              <w:rPr>
                <w:rFonts w:hint="eastAsia"/>
              </w:rPr>
              <w:t>服务地点：采购人指定地点。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noWrap w:val="0"/>
            <w:vAlign w:val="center"/>
          </w:tcPr>
          <w:p>
            <w:pPr>
              <w:jc w:val="center"/>
              <w:rPr>
                <w:rFonts w:hint="eastAsia" w:cs="宋体"/>
              </w:rPr>
            </w:pPr>
            <w:r>
              <w:rPr>
                <w:rFonts w:hint="eastAsia" w:cs="宋体"/>
              </w:rPr>
              <w:t>其他要求</w:t>
            </w:r>
          </w:p>
        </w:tc>
        <w:tc>
          <w:tcPr>
            <w:tcW w:w="74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rPr>
                <w:rFonts w:hint="eastAsia"/>
              </w:rPr>
              <w:t>★1、投标人提供的测评人员必须具有公安部信息安全等级保护评估中心（或中关村信息安全测评联盟）颁发的《信息/网络安全等级测评师证书》，项目组成至少包括五名测评师，分别为一名高级测评师、一名中级测评师和两名初级测评师，一名质量监督人员；现场测评人员不少于三名测评师，至少包括一名中级测评师，2名初级测评师</w:t>
            </w:r>
            <w:r>
              <w:rPr>
                <w:rFonts w:hint="eastAsia"/>
                <w:lang w:eastAsia="zh-CN"/>
              </w:rPr>
              <w:t>，相关人员</w:t>
            </w:r>
            <w:r>
              <w:rPr>
                <w:rFonts w:hint="eastAsia"/>
              </w:rPr>
              <w:t>须提供在本单位投标截止日期前半年内连续3个月的社保证明</w:t>
            </w:r>
            <w:r>
              <w:rPr>
                <w:rFonts w:hint="eastAsia"/>
                <w:lang w:eastAsia="zh-CN"/>
              </w:rPr>
              <w:t>，且所提供的</w:t>
            </w:r>
            <w:r>
              <w:rPr>
                <w:rFonts w:hint="eastAsia"/>
              </w:rPr>
              <w:t>相关</w:t>
            </w:r>
            <w:r>
              <w:rPr>
                <w:rFonts w:hint="eastAsia"/>
                <w:lang w:eastAsia="zh-CN"/>
              </w:rPr>
              <w:t>资质</w:t>
            </w:r>
            <w:r>
              <w:rPr>
                <w:rFonts w:hint="eastAsia"/>
              </w:rPr>
              <w:t>证书均在有效期内。</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t>2</w:t>
            </w:r>
            <w:r>
              <w:rPr>
                <w:rFonts w:hint="eastAsia"/>
              </w:rPr>
              <w:t>、中标人必须签署相关保密协议，严格遵守协议要求。</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rPr>
            </w:pPr>
            <w:r>
              <w:t>3</w:t>
            </w:r>
            <w:r>
              <w:rPr>
                <w:rFonts w:hint="eastAsia"/>
              </w:rPr>
              <w:t>、投标人在广西有同行业项目服务案例，如有请提供。</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eastAsia="宋体"/>
                <w:lang w:eastAsia="zh-CN"/>
              </w:rPr>
            </w:pPr>
            <w:r>
              <w:t>4</w:t>
            </w:r>
            <w:r>
              <w:rPr>
                <w:rFonts w:hint="eastAsia"/>
              </w:rPr>
              <w:t>、投标人必须针对本项目提供技术实施方案</w:t>
            </w:r>
            <w:r>
              <w:rPr>
                <w:rFonts w:hint="eastAsia"/>
                <w:lang w:eastAsia="zh-CN"/>
              </w:rPr>
              <w:t>，包含测评方案、实施方案、质量管理、文档管理等详细内容。</w:t>
            </w:r>
          </w:p>
        </w:tc>
      </w:tr>
    </w:tbl>
    <w:p>
      <w:pPr>
        <w:pStyle w:val="14"/>
        <w:rPr>
          <w:rFonts w:ascii="方正小标宋_GBK" w:hAnsi="方正小标宋_GBK" w:eastAsia="方正小标宋_GBK" w:cs="方正小标宋_GBK"/>
          <w:sz w:val="44"/>
          <w:szCs w:val="44"/>
        </w:rPr>
      </w:pPr>
    </w:p>
    <w:p>
      <w:pPr>
        <w:pStyle w:val="14"/>
        <w:rPr>
          <w:rFonts w:ascii="方正小标宋_GBK" w:hAnsi="方正小标宋_GBK" w:eastAsia="方正小标宋_GBK" w:cs="方正小标宋_GBK"/>
          <w:sz w:val="44"/>
          <w:szCs w:val="44"/>
        </w:rPr>
      </w:pPr>
    </w:p>
    <w:p>
      <w:pPr>
        <w:pStyle w:val="14"/>
        <w:rPr>
          <w:rFonts w:ascii="方正小标宋_GBK" w:hAnsi="方正小标宋_GBK" w:eastAsia="方正小标宋_GBK" w:cs="方正小标宋_GBK"/>
          <w:sz w:val="44"/>
          <w:szCs w:val="44"/>
        </w:rPr>
      </w:pPr>
    </w:p>
    <w:p>
      <w:pPr>
        <w:pStyle w:val="14"/>
        <w:rPr>
          <w:rFonts w:ascii="方正小标宋_GBK" w:hAnsi="方正小标宋_GBK" w:eastAsia="方正小标宋_GBK" w:cs="方正小标宋_GBK"/>
          <w:sz w:val="44"/>
          <w:szCs w:val="44"/>
        </w:rPr>
      </w:pPr>
    </w:p>
    <w:p>
      <w:pPr>
        <w:pStyle w:val="14"/>
        <w:rPr>
          <w:rFonts w:ascii="方正小标宋_GBK" w:hAnsi="方正小标宋_GBK" w:eastAsia="方正小标宋_GBK" w:cs="方正小标宋_GBK"/>
          <w:sz w:val="44"/>
          <w:szCs w:val="44"/>
        </w:rPr>
      </w:pPr>
    </w:p>
    <w:p>
      <w:pPr>
        <w:pStyle w:val="14"/>
        <w:rPr>
          <w:rFonts w:ascii="方正小标宋_GBK" w:hAnsi="方正小标宋_GBK" w:eastAsia="方正小标宋_GBK" w:cs="方正小标宋_GBK"/>
          <w:sz w:val="44"/>
          <w:szCs w:val="44"/>
        </w:rPr>
      </w:pPr>
    </w:p>
    <w:p>
      <w:pPr>
        <w:pStyle w:val="14"/>
        <w:rPr>
          <w:rFonts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spacing w:line="400" w:lineRule="exact"/>
        <w:textAlignment w:val="auto"/>
      </w:pPr>
    </w:p>
    <w:p>
      <w:pPr>
        <w:spacing w:line="560" w:lineRule="exact"/>
        <w:rPr>
          <w:rFonts w:ascii="Times New Roman" w:hAnsi="Times New Roman" w:eastAsia="方正仿宋_GBK" w:cs="方正仿宋_GBK"/>
        </w:rPr>
      </w:pPr>
    </w:p>
    <w:p>
      <w:pPr>
        <w:pStyle w:val="14"/>
        <w:rPr>
          <w:rFonts w:ascii="Times New Roman" w:hAnsi="Times New Roman" w:eastAsia="方正仿宋_GBK" w:cs="方正仿宋_GBK"/>
        </w:rPr>
      </w:pPr>
    </w:p>
    <w:p>
      <w:pPr>
        <w:pStyle w:val="14"/>
        <w:rPr>
          <w:rFonts w:ascii="Times New Roman" w:hAnsi="Times New Roman" w:eastAsia="方正仿宋_GBK" w:cs="Times New Roman"/>
        </w:rPr>
      </w:pPr>
    </w:p>
    <w:sectPr>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123C1"/>
    <w:multiLevelType w:val="singleLevel"/>
    <w:tmpl w:val="FB7123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DQyNGJlMGQxN2FiMTIzN2FkNzA4Zjc0NzU2N2QifQ=="/>
  </w:docVars>
  <w:rsids>
    <w:rsidRoot w:val="005D7A84"/>
    <w:rsid w:val="00047EBA"/>
    <w:rsid w:val="001153C8"/>
    <w:rsid w:val="001E1BEB"/>
    <w:rsid w:val="0037089E"/>
    <w:rsid w:val="00386302"/>
    <w:rsid w:val="003D1DFE"/>
    <w:rsid w:val="004A653D"/>
    <w:rsid w:val="005154C9"/>
    <w:rsid w:val="00527653"/>
    <w:rsid w:val="005B3241"/>
    <w:rsid w:val="005B7899"/>
    <w:rsid w:val="005D7A84"/>
    <w:rsid w:val="005F2E76"/>
    <w:rsid w:val="005F77C3"/>
    <w:rsid w:val="00664AE7"/>
    <w:rsid w:val="00703EF3"/>
    <w:rsid w:val="00704F14"/>
    <w:rsid w:val="00792810"/>
    <w:rsid w:val="00850A0C"/>
    <w:rsid w:val="008F48F0"/>
    <w:rsid w:val="008F72CD"/>
    <w:rsid w:val="00980D88"/>
    <w:rsid w:val="00A34E70"/>
    <w:rsid w:val="00AA15D5"/>
    <w:rsid w:val="00AE504D"/>
    <w:rsid w:val="00B23DD6"/>
    <w:rsid w:val="00BB08A0"/>
    <w:rsid w:val="00C305FF"/>
    <w:rsid w:val="00C842F5"/>
    <w:rsid w:val="00CD037E"/>
    <w:rsid w:val="00E71F50"/>
    <w:rsid w:val="00EC26B1"/>
    <w:rsid w:val="00EF2AB8"/>
    <w:rsid w:val="00FB2A6D"/>
    <w:rsid w:val="00FD305A"/>
    <w:rsid w:val="043143A9"/>
    <w:rsid w:val="0849203C"/>
    <w:rsid w:val="0E0133A0"/>
    <w:rsid w:val="11BD13A5"/>
    <w:rsid w:val="15A20FDE"/>
    <w:rsid w:val="1E571CC7"/>
    <w:rsid w:val="212F6075"/>
    <w:rsid w:val="22A52323"/>
    <w:rsid w:val="22C64596"/>
    <w:rsid w:val="232E0476"/>
    <w:rsid w:val="2FFF39C2"/>
    <w:rsid w:val="32C620FA"/>
    <w:rsid w:val="335FB8D4"/>
    <w:rsid w:val="3F4C7741"/>
    <w:rsid w:val="46334B38"/>
    <w:rsid w:val="4B417145"/>
    <w:rsid w:val="515F2198"/>
    <w:rsid w:val="51D05FAF"/>
    <w:rsid w:val="533802B0"/>
    <w:rsid w:val="54490C4F"/>
    <w:rsid w:val="57E541F0"/>
    <w:rsid w:val="5AFDE804"/>
    <w:rsid w:val="60215A29"/>
    <w:rsid w:val="603B13E0"/>
    <w:rsid w:val="65CA0E58"/>
    <w:rsid w:val="67F9E67C"/>
    <w:rsid w:val="68F71D0E"/>
    <w:rsid w:val="69230697"/>
    <w:rsid w:val="6F78F265"/>
    <w:rsid w:val="6F9F6CA7"/>
    <w:rsid w:val="6FF354DE"/>
    <w:rsid w:val="706B5CC1"/>
    <w:rsid w:val="79A46263"/>
    <w:rsid w:val="79BFFAA0"/>
    <w:rsid w:val="7DD02858"/>
    <w:rsid w:val="7E6FC4E3"/>
    <w:rsid w:val="7EFBB885"/>
    <w:rsid w:val="A7FED374"/>
    <w:rsid w:val="BDEF978A"/>
    <w:rsid w:val="D9FD83AD"/>
    <w:rsid w:val="EC33CC91"/>
    <w:rsid w:val="FBDA2250"/>
    <w:rsid w:val="FDBFF885"/>
    <w:rsid w:val="FF376C1C"/>
    <w:rsid w:val="FF5795E9"/>
    <w:rsid w:val="FFED26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Plain Text"/>
    <w:basedOn w:val="1"/>
    <w:next w:val="1"/>
    <w:qFormat/>
    <w:uiPriority w:val="0"/>
    <w:rPr>
      <w:rFonts w:ascii="宋体" w:hAnsi="Courier New"/>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character" w:styleId="12">
    <w:name w:val="page number"/>
    <w:qFormat/>
    <w:uiPriority w:val="0"/>
    <w:rPr>
      <w:rFonts w:cs="Times New Roman"/>
    </w:rPr>
  </w:style>
  <w:style w:type="character" w:styleId="13">
    <w:name w:val="annotation reference"/>
    <w:basedOn w:val="11"/>
    <w:semiHidden/>
    <w:unhideWhenUsed/>
    <w:qFormat/>
    <w:uiPriority w:val="99"/>
    <w:rPr>
      <w:sz w:val="21"/>
      <w:szCs w:val="21"/>
    </w:rPr>
  </w:style>
  <w:style w:type="paragraph" w:customStyle="1" w:styleId="14">
    <w:name w:val="表格文字"/>
    <w:basedOn w:val="1"/>
    <w:qFormat/>
    <w:uiPriority w:val="99"/>
    <w:pPr>
      <w:jc w:val="left"/>
    </w:pPr>
    <w:rPr>
      <w:bCs/>
      <w:spacing w:val="10"/>
      <w:kern w:val="0"/>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paragraph" w:customStyle="1" w:styleId="17">
    <w:name w:val="Body text|3"/>
    <w:basedOn w:val="1"/>
    <w:qFormat/>
    <w:uiPriority w:val="0"/>
    <w:pPr>
      <w:spacing w:after="460"/>
      <w:jc w:val="center"/>
    </w:pPr>
    <w:rPr>
      <w:rFonts w:ascii="宋体" w:hAnsi="宋体" w:eastAsia="Times New Roman"/>
      <w:kern w:val="0"/>
      <w:sz w:val="34"/>
      <w:szCs w:val="34"/>
    </w:rPr>
  </w:style>
  <w:style w:type="paragraph" w:customStyle="1" w:styleId="18">
    <w:name w:val="Body text|1"/>
    <w:basedOn w:val="1"/>
    <w:qFormat/>
    <w:uiPriority w:val="0"/>
    <w:pPr>
      <w:spacing w:line="352" w:lineRule="auto"/>
      <w:ind w:firstLine="400"/>
      <w:jc w:val="left"/>
    </w:pPr>
    <w:rPr>
      <w:rFonts w:ascii="宋体" w:hAnsi="宋体" w:eastAsia="Times New Roman"/>
      <w:kern w:val="0"/>
      <w:sz w:val="30"/>
      <w:szCs w:val="30"/>
    </w:rPr>
  </w:style>
  <w:style w:type="paragraph" w:customStyle="1" w:styleId="19">
    <w:name w:val="p16"/>
    <w:basedOn w:val="1"/>
    <w:qFormat/>
    <w:uiPriority w:val="0"/>
    <w:pPr>
      <w:widowControl/>
    </w:pPr>
    <w:rPr>
      <w:rFonts w:ascii="宋体" w:hAnsi="宋体" w:cs="宋体"/>
      <w:kern w:val="0"/>
    </w:rPr>
  </w:style>
  <w:style w:type="paragraph" w:customStyle="1" w:styleId="20">
    <w:name w:val="修订1"/>
    <w:hidden/>
    <w:semiHidden/>
    <w:qFormat/>
    <w:uiPriority w:val="99"/>
    <w:rPr>
      <w:rFonts w:ascii="仿宋_GB2312" w:eastAsia="仿宋_GB2312" w:hAnsiTheme="minorHAnsi" w:cstheme="minorBidi"/>
      <w:kern w:val="2"/>
      <w:sz w:val="32"/>
      <w:szCs w:val="32"/>
      <w:lang w:val="en-US" w:eastAsia="zh-CN" w:bidi="ar-SA"/>
    </w:rPr>
  </w:style>
  <w:style w:type="paragraph" w:customStyle="1" w:styleId="21">
    <w:name w:val="Revision"/>
    <w:hidden/>
    <w:semiHidden/>
    <w:qFormat/>
    <w:uiPriority w:val="99"/>
    <w:rPr>
      <w:rFonts w:ascii="仿宋_GB2312" w:eastAsia="仿宋_GB2312" w:hAnsiTheme="minorHAnsi"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2028</Words>
  <Characters>2132</Characters>
  <Lines>62</Lines>
  <Paragraphs>17</Paragraphs>
  <TotalTime>5</TotalTime>
  <ScaleCrop>false</ScaleCrop>
  <LinksUpToDate>false</LinksUpToDate>
  <CharactersWithSpaces>2140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2021-05-09T02:31:00Z</dcterms:created>
  <dc:creator>DELL</dc:creator>
  <cp:lastModifiedBy>Anglica</cp:lastModifiedBy>
  <cp:lastPrinted>2022-03-17T11:50:00Z</cp:lastPrinted>
  <dcterms:modified xsi:type="dcterms:W3CDTF">2023-05-18T00:41:32Z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EB83565715AE44399AE64DE68E054841_13</vt:lpwstr>
  </property>
</Properties>
</file>