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_GBK" w:eastAsia="方正小标宋_GBK"/>
          <w:color w:val="000000"/>
          <w:sz w:val="32"/>
          <w:szCs w:val="32"/>
        </w:rPr>
      </w:pPr>
      <w:r>
        <w:rPr>
          <w:rFonts w:hint="eastAsia" w:ascii="方正小标宋_GBK" w:eastAsia="方正小标宋_GBK"/>
          <w:color w:val="000000"/>
          <w:sz w:val="32"/>
          <w:szCs w:val="32"/>
        </w:rPr>
        <w:t>附件2</w:t>
      </w:r>
    </w:p>
    <w:p>
      <w:pPr>
        <w:pStyle w:val="2"/>
        <w:spacing w:line="560" w:lineRule="exact"/>
        <w:jc w:val="center"/>
        <w:rPr>
          <w:rFonts w:hint="eastAsia" w:ascii="方正小标宋_GBK" w:hAnsi="方正小标宋_GBK" w:eastAsia="方正小标宋_GBK" w:cs="方正小标宋_GBK"/>
          <w:b w:val="0"/>
          <w:color w:val="000000"/>
        </w:rPr>
      </w:pPr>
      <w:r>
        <w:rPr>
          <w:rFonts w:hint="eastAsia" w:ascii="方正小标宋_GBK" w:hAnsi="方正小标宋_GBK" w:eastAsia="方正小标宋_GBK" w:cs="方正小标宋_GBK"/>
          <w:b w:val="0"/>
          <w:color w:val="000000"/>
        </w:rPr>
        <w:t>自治区大数据发展局会计服务项目</w:t>
      </w:r>
    </w:p>
    <w:p>
      <w:pPr>
        <w:pStyle w:val="2"/>
        <w:spacing w:line="560" w:lineRule="exact"/>
        <w:jc w:val="center"/>
        <w:rPr>
          <w:rFonts w:hint="eastAsia" w:ascii="方正小标宋_GBK" w:hAnsi="方正小标宋_GBK" w:eastAsia="方正小标宋_GBK" w:cs="方正小标宋_GBK"/>
          <w:b w:val="0"/>
          <w:color w:val="000000"/>
        </w:rPr>
      </w:pPr>
      <w:r>
        <w:rPr>
          <w:rFonts w:hint="eastAsia" w:ascii="方正小标宋_GBK" w:hAnsi="方正小标宋_GBK" w:eastAsia="方正小标宋_GBK" w:cs="方正小标宋_GBK"/>
          <w:b w:val="0"/>
          <w:color w:val="000000"/>
        </w:rPr>
        <w:t>评分标准</w:t>
      </w:r>
    </w:p>
    <w:p>
      <w:pPr>
        <w:pStyle w:val="3"/>
        <w:spacing w:line="560" w:lineRule="exact"/>
        <w:ind w:firstLine="643" w:firstLineChars="200"/>
        <w:rPr>
          <w:rFonts w:hint="eastAsia" w:ascii="仿宋_GB2312" w:eastAsia="仿宋_GB2312"/>
          <w:b/>
          <w:color w:val="000000"/>
          <w:sz w:val="32"/>
          <w:szCs w:val="32"/>
        </w:rPr>
      </w:pPr>
    </w:p>
    <w:p>
      <w:pPr>
        <w:numPr>
          <w:ilvl w:val="0"/>
          <w:numId w:val="1"/>
        </w:numPr>
        <w:spacing w:line="560" w:lineRule="exact"/>
        <w:ind w:firstLine="643" w:firstLineChars="200"/>
        <w:rPr>
          <w:rFonts w:ascii="仿宋_GB2312" w:hAnsi="宋体" w:eastAsia="仿宋_GB2312"/>
          <w:b/>
          <w:color w:val="000000"/>
          <w:sz w:val="32"/>
          <w:szCs w:val="32"/>
        </w:rPr>
      </w:pPr>
      <w:r>
        <w:rPr>
          <w:rFonts w:hint="eastAsia" w:ascii="仿宋_GB2312" w:hAnsi="宋体" w:eastAsia="仿宋_GB2312"/>
          <w:b/>
          <w:color w:val="000000"/>
          <w:sz w:val="32"/>
          <w:szCs w:val="32"/>
        </w:rPr>
        <w:t>评标原则</w:t>
      </w:r>
    </w:p>
    <w:p>
      <w:pPr>
        <w:spacing w:line="560" w:lineRule="exact"/>
        <w:ind w:firstLine="640" w:firstLineChars="200"/>
        <w:rPr>
          <w:rFonts w:eastAsia="仿宋_GB2312"/>
          <w:color w:val="000000"/>
          <w:sz w:val="32"/>
          <w:szCs w:val="32"/>
        </w:rPr>
      </w:pPr>
      <w:r>
        <w:rPr>
          <w:rFonts w:eastAsia="仿宋_GB2312"/>
          <w:color w:val="000000"/>
          <w:sz w:val="32"/>
          <w:szCs w:val="32"/>
        </w:rPr>
        <w:t>评标依据：采取竞争性磋商方式，磋商小组组成人员为3人以上单数，磋商小组将以招投标文件为评标依据，对投标人的投标价格文件、技术文件、商务文件等内容按百分制打分。</w:t>
      </w:r>
    </w:p>
    <w:p>
      <w:pPr>
        <w:spacing w:line="560" w:lineRule="exact"/>
        <w:ind w:firstLine="643" w:firstLineChars="200"/>
        <w:rPr>
          <w:rFonts w:eastAsia="仿宋_GB2312"/>
          <w:b/>
          <w:color w:val="000000"/>
          <w:sz w:val="32"/>
          <w:szCs w:val="32"/>
        </w:rPr>
      </w:pPr>
      <w:r>
        <w:rPr>
          <w:rFonts w:eastAsia="仿宋_GB2312"/>
          <w:b/>
          <w:color w:val="000000"/>
          <w:sz w:val="32"/>
          <w:szCs w:val="32"/>
        </w:rPr>
        <w:t>二、评标方法</w:t>
      </w:r>
    </w:p>
    <w:p>
      <w:pPr>
        <w:spacing w:line="560" w:lineRule="exact"/>
        <w:ind w:firstLine="640" w:firstLineChars="200"/>
        <w:rPr>
          <w:rFonts w:eastAsia="仿宋_GB2312"/>
          <w:color w:val="000000"/>
          <w:sz w:val="32"/>
          <w:szCs w:val="32"/>
        </w:rPr>
      </w:pPr>
      <w:r>
        <w:rPr>
          <w:rFonts w:eastAsia="仿宋_GB2312"/>
          <w:color w:val="000000"/>
          <w:sz w:val="32"/>
          <w:szCs w:val="32"/>
        </w:rPr>
        <w:t>（一）对进入详评的，采用百分制综合评分法。</w:t>
      </w:r>
    </w:p>
    <w:p>
      <w:pPr>
        <w:spacing w:line="560" w:lineRule="exact"/>
        <w:ind w:firstLine="640" w:firstLineChars="200"/>
        <w:rPr>
          <w:rFonts w:eastAsia="仿宋_GB2312"/>
          <w:color w:val="000000"/>
          <w:sz w:val="32"/>
          <w:szCs w:val="32"/>
        </w:rPr>
      </w:pPr>
      <w:r>
        <w:rPr>
          <w:rFonts w:eastAsia="仿宋_GB2312"/>
          <w:color w:val="000000"/>
          <w:sz w:val="32"/>
          <w:szCs w:val="32"/>
        </w:rPr>
        <w:t>（二）计分办法（按四舍五入取至百分位）：</w:t>
      </w:r>
    </w:p>
    <w:p>
      <w:pPr>
        <w:spacing w:line="560" w:lineRule="exact"/>
        <w:ind w:firstLine="643" w:firstLineChars="200"/>
        <w:rPr>
          <w:rFonts w:eastAsia="仿宋_GB2312"/>
          <w:b/>
          <w:color w:val="000000"/>
          <w:sz w:val="32"/>
          <w:szCs w:val="32"/>
        </w:rPr>
      </w:pPr>
      <w:r>
        <w:rPr>
          <w:rFonts w:eastAsia="仿宋_GB2312"/>
          <w:b/>
          <w:color w:val="000000"/>
          <w:sz w:val="32"/>
          <w:szCs w:val="32"/>
        </w:rPr>
        <w:t>1、价格分……………………………………………20分</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1）按照《政府采购促进中小企业发展管理办法》（财库〔2020〕46号）的规定，投标人在其投标文件中提供《中小企业声明函》，且其所投标产品全部为小型或者微型企业产品的，对其最后报价给予20%的扣除，扣除后的价格为评标价，即评标价=投标价×（1-20%）；除上述情况外，评标价=投标价。</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投标产品生产企业或服务提供企业按《关于政府采购支持监狱企业发展有关问题的通知》(财库</w:t>
      </w:r>
      <w:r>
        <w:rPr>
          <w:rFonts w:hint="eastAsia" w:eastAsia="仿宋_GB2312"/>
          <w:color w:val="000000"/>
          <w:sz w:val="32"/>
          <w:szCs w:val="32"/>
        </w:rPr>
        <w:t>〔</w:t>
      </w:r>
      <w:r>
        <w:rPr>
          <w:rFonts w:eastAsia="仿宋_GB2312"/>
          <w:color w:val="000000"/>
          <w:sz w:val="32"/>
          <w:szCs w:val="32"/>
        </w:rPr>
        <w:t>2014</w:t>
      </w:r>
      <w:r>
        <w:rPr>
          <w:rFonts w:hint="eastAsia" w:eastAsia="仿宋_GB2312"/>
          <w:color w:val="000000"/>
          <w:sz w:val="32"/>
          <w:szCs w:val="32"/>
        </w:rPr>
        <w:t>〕</w:t>
      </w:r>
      <w:r>
        <w:rPr>
          <w:rFonts w:eastAsia="仿宋_GB2312"/>
          <w:color w:val="000000"/>
          <w:sz w:val="32"/>
          <w:szCs w:val="32"/>
        </w:rPr>
        <w:t>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投标产品生产单位或服务提供单位按《关于促进残疾人就业政府采购政策的通知》(财库〔2017〕141号)认定为残疾人福利性单位的，在政府采购活动中，残疾人福利性单位视同小型、微型企业。投标人应当提供该通知规定的投标产品生产单位或服务提供单位属于残疾人福利性单位的《残疾人福利性单位声明函》，不再提供《中小企业声明函》。</w:t>
      </w:r>
    </w:p>
    <w:p>
      <w:pPr>
        <w:widowControl/>
        <w:numPr>
          <w:ilvl w:val="0"/>
          <w:numId w:val="2"/>
        </w:numPr>
        <w:spacing w:line="560" w:lineRule="exact"/>
        <w:ind w:firstLine="640" w:firstLineChars="200"/>
        <w:jc w:val="left"/>
        <w:rPr>
          <w:rFonts w:eastAsia="仿宋_GB2312"/>
          <w:color w:val="000000"/>
          <w:sz w:val="32"/>
          <w:szCs w:val="32"/>
        </w:rPr>
      </w:pPr>
      <w:r>
        <w:rPr>
          <w:rFonts w:eastAsia="仿宋_GB2312"/>
          <w:color w:val="000000"/>
          <w:sz w:val="32"/>
          <w:szCs w:val="32"/>
        </w:rPr>
        <w:t>以进入评标的最低的评标报价为</w:t>
      </w:r>
      <w:r>
        <w:rPr>
          <w:rFonts w:hint="eastAsia" w:eastAsia="仿宋_GB2312"/>
          <w:color w:val="000000"/>
          <w:sz w:val="32"/>
          <w:szCs w:val="32"/>
        </w:rPr>
        <w:t>2</w:t>
      </w:r>
      <w:r>
        <w:rPr>
          <w:rFonts w:eastAsia="仿宋_GB2312"/>
          <w:color w:val="000000"/>
          <w:sz w:val="32"/>
          <w:szCs w:val="32"/>
        </w:rPr>
        <w:t>0分。</w:t>
      </w:r>
    </w:p>
    <w:p>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（3）某投标人价格得分 = 投标人最低评标价/某投标人评标价×</w:t>
      </w:r>
      <w:r>
        <w:rPr>
          <w:rFonts w:hint="eastAsia" w:eastAsia="仿宋_GB2312"/>
          <w:color w:val="000000"/>
          <w:sz w:val="32"/>
          <w:szCs w:val="32"/>
          <w:lang w:val="en-US" w:eastAsia="zh-CN"/>
        </w:rPr>
        <w:t>2</w:t>
      </w:r>
      <w:bookmarkStart w:id="0" w:name="_GoBack"/>
      <w:bookmarkEnd w:id="0"/>
      <w:r>
        <w:rPr>
          <w:rFonts w:eastAsia="仿宋_GB2312"/>
          <w:color w:val="000000"/>
          <w:sz w:val="32"/>
          <w:szCs w:val="32"/>
        </w:rPr>
        <w:t>0。</w:t>
      </w:r>
    </w:p>
    <w:p>
      <w:pPr>
        <w:widowControl/>
        <w:spacing w:line="560" w:lineRule="exact"/>
        <w:ind w:firstLine="422"/>
        <w:jc w:val="left"/>
        <w:rPr>
          <w:rFonts w:eastAsia="仿宋_GB2312"/>
          <w:color w:val="000000"/>
          <w:sz w:val="32"/>
          <w:szCs w:val="32"/>
        </w:rPr>
      </w:pPr>
      <w:r>
        <w:rPr>
          <w:rFonts w:eastAsia="仿宋_GB2312"/>
          <w:b/>
          <w:bCs/>
          <w:color w:val="000000"/>
          <w:sz w:val="32"/>
          <w:szCs w:val="32"/>
        </w:rPr>
        <w:t>2、技术分………………………………………………55分</w:t>
      </w:r>
    </w:p>
    <w:p>
      <w:pPr>
        <w:spacing w:line="560" w:lineRule="exact"/>
        <w:ind w:firstLine="643" w:firstLineChars="200"/>
        <w:rPr>
          <w:rFonts w:eastAsia="仿宋_GB2312"/>
          <w:b/>
          <w:color w:val="000000"/>
          <w:sz w:val="32"/>
          <w:szCs w:val="32"/>
        </w:rPr>
      </w:pPr>
      <w:r>
        <w:rPr>
          <w:rFonts w:eastAsia="仿宋_GB2312"/>
          <w:b/>
          <w:color w:val="000000"/>
          <w:sz w:val="32"/>
          <w:szCs w:val="32"/>
        </w:rPr>
        <w:t>（1）项目管理方案（满分18分）</w:t>
      </w:r>
    </w:p>
    <w:p>
      <w:pPr>
        <w:spacing w:line="560" w:lineRule="exact"/>
        <w:ind w:firstLine="640" w:firstLineChars="200"/>
        <w:rPr>
          <w:rFonts w:eastAsia="仿宋_GB2312"/>
          <w:color w:val="000000"/>
          <w:sz w:val="32"/>
          <w:szCs w:val="32"/>
        </w:rPr>
      </w:pPr>
      <w:r>
        <w:rPr>
          <w:rFonts w:eastAsia="仿宋_GB2312"/>
          <w:color w:val="000000"/>
          <w:sz w:val="32"/>
          <w:szCs w:val="32"/>
        </w:rPr>
        <w:t xml:space="preserve">一档（6分）：对本项的目标和工作内容理解不到位，拟定的项目管理方案基本符合项目要求，实施程序简单，管理机制不完善，缺少内部防范和风险控制机制；                          </w:t>
      </w:r>
    </w:p>
    <w:p>
      <w:pPr>
        <w:spacing w:line="560" w:lineRule="exact"/>
        <w:ind w:firstLine="640" w:firstLineChars="200"/>
        <w:rPr>
          <w:rFonts w:eastAsia="仿宋_GB2312"/>
          <w:color w:val="000000"/>
          <w:sz w:val="32"/>
          <w:szCs w:val="32"/>
        </w:rPr>
      </w:pPr>
      <w:r>
        <w:rPr>
          <w:rFonts w:eastAsia="仿宋_GB2312"/>
          <w:color w:val="000000"/>
          <w:sz w:val="32"/>
          <w:szCs w:val="32"/>
        </w:rPr>
        <w:t>二档（12分）：对本项的目标和工作内容有一定理解，拟定的项目管理方案符合项目要求，实施程序较详细具体，管理机制较完善，内部防范和风险控制机制较好，可行性较高；</w:t>
      </w:r>
    </w:p>
    <w:p>
      <w:pPr>
        <w:spacing w:line="560" w:lineRule="exact"/>
        <w:ind w:firstLine="640" w:firstLineChars="200"/>
        <w:rPr>
          <w:rFonts w:eastAsia="仿宋_GB2312"/>
          <w:color w:val="000000"/>
          <w:sz w:val="32"/>
          <w:szCs w:val="32"/>
        </w:rPr>
      </w:pPr>
      <w:r>
        <w:rPr>
          <w:rFonts w:eastAsia="仿宋_GB2312"/>
          <w:color w:val="000000"/>
          <w:sz w:val="32"/>
          <w:szCs w:val="32"/>
        </w:rPr>
        <w:t>三档（18分）：对本项的目标和工作内容理解清晰准确，拟定的项目管理方案完全符合项目要求，实施程序详细具体、管理机制完善，整体统一协调，内部防范和风险控制机制完善，且可行性高。</w:t>
      </w:r>
    </w:p>
    <w:p>
      <w:pPr>
        <w:spacing w:line="560" w:lineRule="exact"/>
        <w:ind w:firstLine="643" w:firstLineChars="200"/>
        <w:rPr>
          <w:rFonts w:eastAsia="仿宋_GB2312"/>
          <w:b/>
          <w:color w:val="000000"/>
          <w:sz w:val="32"/>
          <w:szCs w:val="32"/>
        </w:rPr>
      </w:pPr>
      <w:r>
        <w:rPr>
          <w:rFonts w:eastAsia="仿宋_GB2312"/>
          <w:b/>
          <w:color w:val="000000"/>
          <w:sz w:val="32"/>
          <w:szCs w:val="32"/>
        </w:rPr>
        <w:t>（2）进度计划及服务质量保障（满分15分）</w:t>
      </w:r>
    </w:p>
    <w:p>
      <w:pPr>
        <w:spacing w:line="560" w:lineRule="exact"/>
        <w:ind w:firstLine="640" w:firstLineChars="200"/>
        <w:rPr>
          <w:rFonts w:eastAsia="仿宋_GB2312"/>
          <w:color w:val="000000"/>
          <w:sz w:val="32"/>
          <w:szCs w:val="32"/>
        </w:rPr>
      </w:pPr>
      <w:r>
        <w:rPr>
          <w:rFonts w:eastAsia="仿宋_GB2312"/>
          <w:color w:val="000000"/>
          <w:sz w:val="32"/>
          <w:szCs w:val="32"/>
        </w:rPr>
        <w:t>一档（5分）：进度计划、服务承诺及服务措施基本符合项目要求，基本可行，对技术审查质量制定有保障措施；</w:t>
      </w:r>
    </w:p>
    <w:p>
      <w:pPr>
        <w:spacing w:line="560" w:lineRule="exact"/>
        <w:ind w:firstLine="640" w:firstLineChars="200"/>
        <w:rPr>
          <w:rFonts w:eastAsia="仿宋_GB2312"/>
          <w:color w:val="000000"/>
          <w:sz w:val="32"/>
          <w:szCs w:val="32"/>
        </w:rPr>
      </w:pPr>
      <w:r>
        <w:rPr>
          <w:rFonts w:eastAsia="仿宋_GB2312"/>
          <w:color w:val="000000"/>
          <w:sz w:val="32"/>
          <w:szCs w:val="32"/>
        </w:rPr>
        <w:t>二档（10分）：进度计划、服务承诺及服务措施完全符合项目要求，可行性较高，对技术审查质量有合理、可行的服务保障措施；</w:t>
      </w:r>
    </w:p>
    <w:p>
      <w:pPr>
        <w:spacing w:line="560" w:lineRule="exact"/>
        <w:ind w:firstLine="640" w:firstLineChars="200"/>
        <w:rPr>
          <w:rFonts w:eastAsia="仿宋_GB2312"/>
          <w:color w:val="000000"/>
          <w:sz w:val="32"/>
          <w:szCs w:val="32"/>
        </w:rPr>
      </w:pPr>
      <w:r>
        <w:rPr>
          <w:rFonts w:eastAsia="仿宋_GB2312"/>
          <w:color w:val="000000"/>
          <w:sz w:val="32"/>
          <w:szCs w:val="32"/>
        </w:rPr>
        <w:t>三档（15分）：进度计划、服务承诺及服务措施完全符合项目要求，可行性高，具有完善的技术审查质量保障措施和服务保障措施，并且在南宁市设有固定常驻的办公服务地点（以投标文件中提供的营业执照或房产证明或租赁合同等材料为准）。</w:t>
      </w:r>
    </w:p>
    <w:p>
      <w:pPr>
        <w:widowControl/>
        <w:spacing w:line="560" w:lineRule="exact"/>
        <w:ind w:firstLine="422"/>
        <w:jc w:val="left"/>
        <w:rPr>
          <w:rFonts w:eastAsia="仿宋_GB2312"/>
          <w:color w:val="000000"/>
          <w:sz w:val="32"/>
          <w:szCs w:val="32"/>
        </w:rPr>
      </w:pPr>
      <w:r>
        <w:rPr>
          <w:rFonts w:eastAsia="仿宋_GB2312"/>
          <w:b/>
          <w:bCs/>
          <w:color w:val="000000"/>
          <w:sz w:val="32"/>
          <w:szCs w:val="32"/>
        </w:rPr>
        <w:t>（3）人员配置分（满分22分）</w:t>
      </w:r>
    </w:p>
    <w:p>
      <w:pPr>
        <w:widowControl/>
        <w:spacing w:line="560" w:lineRule="exact"/>
        <w:ind w:firstLine="422"/>
        <w:jc w:val="left"/>
        <w:rPr>
          <w:rFonts w:eastAsia="仿宋_GB2312"/>
          <w:color w:val="000000"/>
          <w:sz w:val="32"/>
          <w:szCs w:val="32"/>
        </w:rPr>
      </w:pPr>
      <w:r>
        <w:rPr>
          <w:rFonts w:eastAsia="仿宋_GB2312"/>
          <w:color w:val="000000"/>
          <w:sz w:val="32"/>
          <w:szCs w:val="32"/>
        </w:rPr>
        <w:t>满足投入服务人员基本要求（含学历、职称和人数），得基础分8分；不满足基本要求，该项人员配置不得分。</w:t>
      </w:r>
    </w:p>
    <w:p>
      <w:pPr>
        <w:widowControl/>
        <w:spacing w:line="560" w:lineRule="exact"/>
        <w:ind w:firstLine="422"/>
        <w:jc w:val="left"/>
        <w:rPr>
          <w:rFonts w:eastAsia="仿宋_GB2312"/>
          <w:color w:val="000000"/>
          <w:sz w:val="32"/>
          <w:szCs w:val="32"/>
        </w:rPr>
      </w:pPr>
      <w:r>
        <w:rPr>
          <w:rFonts w:eastAsia="仿宋_GB2312"/>
          <w:color w:val="000000"/>
          <w:sz w:val="32"/>
          <w:szCs w:val="32"/>
        </w:rPr>
        <w:t>满足投入服务人员基本要求，且人员岗位分工明确，职责分明，除项目负责人外，其余人员具有会计师中级及以上职称的，</w:t>
      </w:r>
      <w:r>
        <w:rPr>
          <w:rFonts w:eastAsia="仿宋"/>
          <w:kern w:val="0"/>
          <w:sz w:val="32"/>
          <w:szCs w:val="32"/>
        </w:rPr>
        <w:t>每1个加</w:t>
      </w:r>
      <w:r>
        <w:rPr>
          <w:rFonts w:hint="eastAsia" w:eastAsia="仿宋"/>
          <w:kern w:val="0"/>
          <w:sz w:val="32"/>
          <w:szCs w:val="32"/>
        </w:rPr>
        <w:t>2</w:t>
      </w:r>
      <w:r>
        <w:rPr>
          <w:rFonts w:eastAsia="仿宋"/>
          <w:kern w:val="0"/>
          <w:sz w:val="32"/>
          <w:szCs w:val="32"/>
        </w:rPr>
        <w:t>分，满分6分</w:t>
      </w:r>
      <w:r>
        <w:rPr>
          <w:rFonts w:eastAsia="仿宋_GB2312"/>
          <w:color w:val="000000"/>
          <w:sz w:val="32"/>
          <w:szCs w:val="32"/>
        </w:rPr>
        <w:t>。</w:t>
      </w:r>
    </w:p>
    <w:p>
      <w:pPr>
        <w:widowControl/>
        <w:spacing w:line="560" w:lineRule="exact"/>
        <w:ind w:firstLine="422"/>
        <w:jc w:val="left"/>
        <w:rPr>
          <w:rFonts w:eastAsia="仿宋_GB2312"/>
          <w:color w:val="000000"/>
          <w:sz w:val="32"/>
          <w:szCs w:val="32"/>
        </w:rPr>
      </w:pPr>
      <w:r>
        <w:rPr>
          <w:rFonts w:eastAsia="仿宋_GB2312"/>
          <w:color w:val="000000"/>
          <w:sz w:val="32"/>
          <w:szCs w:val="32"/>
        </w:rPr>
        <w:t>满足投入服务人员基本要求，长期驻点人员每增加一名，得4分；每增加一名</w:t>
      </w:r>
      <w:r>
        <w:rPr>
          <w:rFonts w:eastAsia="仿宋"/>
          <w:kern w:val="0"/>
          <w:sz w:val="32"/>
          <w:szCs w:val="32"/>
        </w:rPr>
        <w:t>临时调配人员，得2分。</w:t>
      </w:r>
      <w:r>
        <w:rPr>
          <w:rFonts w:eastAsia="仿宋_GB2312"/>
          <w:color w:val="000000"/>
          <w:sz w:val="32"/>
          <w:szCs w:val="32"/>
        </w:rPr>
        <w:t>（满分</w:t>
      </w:r>
      <w:r>
        <w:rPr>
          <w:rFonts w:eastAsia="仿宋"/>
          <w:kern w:val="0"/>
          <w:sz w:val="32"/>
          <w:szCs w:val="32"/>
        </w:rPr>
        <w:t>8</w:t>
      </w:r>
      <w:r>
        <w:rPr>
          <w:rFonts w:eastAsia="仿宋_GB2312"/>
          <w:color w:val="000000"/>
          <w:sz w:val="32"/>
          <w:szCs w:val="32"/>
        </w:rPr>
        <w:t>分）</w:t>
      </w:r>
    </w:p>
    <w:p>
      <w:pPr>
        <w:widowControl/>
        <w:spacing w:line="560" w:lineRule="exact"/>
        <w:ind w:firstLine="422"/>
        <w:jc w:val="left"/>
        <w:rPr>
          <w:rFonts w:eastAsia="仿宋_GB2312"/>
          <w:color w:val="000000"/>
          <w:sz w:val="32"/>
          <w:szCs w:val="32"/>
        </w:rPr>
      </w:pPr>
      <w:r>
        <w:rPr>
          <w:rFonts w:eastAsia="仿宋_GB2312"/>
          <w:color w:val="000000"/>
          <w:sz w:val="32"/>
          <w:szCs w:val="32"/>
        </w:rPr>
        <w:t>注：提供相关人员的执业资格证书或专业技术证书复印件、身份证复印件、自从业以来不间断的会计继续教育证明材料，并提供相关人员近半年内连续三个月的社保缴纳证明复印件；长期驻场人员和临时调配人员必须附上简历。未提供上述材料的，人员配置不得分。</w:t>
      </w:r>
    </w:p>
    <w:p>
      <w:pPr>
        <w:widowControl/>
        <w:spacing w:line="560" w:lineRule="exact"/>
        <w:ind w:firstLine="422"/>
        <w:jc w:val="left"/>
        <w:rPr>
          <w:rFonts w:eastAsia="仿宋_GB2312"/>
          <w:color w:val="000000"/>
          <w:sz w:val="32"/>
          <w:szCs w:val="32"/>
        </w:rPr>
      </w:pPr>
      <w:r>
        <w:rPr>
          <w:rFonts w:eastAsia="仿宋_GB2312"/>
          <w:b/>
          <w:bCs/>
          <w:color w:val="000000"/>
          <w:sz w:val="32"/>
          <w:szCs w:val="32"/>
        </w:rPr>
        <w:t>3、商务分………………………………………………25分</w:t>
      </w:r>
    </w:p>
    <w:p>
      <w:pPr>
        <w:spacing w:line="560" w:lineRule="exact"/>
        <w:ind w:firstLine="480" w:firstLineChars="150"/>
        <w:rPr>
          <w:rFonts w:eastAsia="仿宋_GB2312"/>
          <w:color w:val="000000"/>
          <w:sz w:val="32"/>
          <w:szCs w:val="32"/>
        </w:rPr>
      </w:pPr>
      <w:r>
        <w:rPr>
          <w:rFonts w:eastAsia="仿宋_GB2312"/>
          <w:color w:val="000000"/>
          <w:sz w:val="32"/>
          <w:szCs w:val="32"/>
        </w:rPr>
        <w:t>（1）投标人通过ISO9001质量体系认证的，得2分。（提供有效的认证证书复印件）</w:t>
      </w:r>
    </w:p>
    <w:p>
      <w:pPr>
        <w:spacing w:line="560" w:lineRule="exact"/>
        <w:ind w:firstLine="480" w:firstLineChars="150"/>
        <w:rPr>
          <w:rFonts w:eastAsia="仿宋_GB2312"/>
          <w:color w:val="000000"/>
          <w:sz w:val="32"/>
          <w:szCs w:val="32"/>
        </w:rPr>
      </w:pPr>
      <w:r>
        <w:rPr>
          <w:rFonts w:eastAsia="仿宋_GB2312"/>
          <w:color w:val="000000"/>
          <w:sz w:val="32"/>
          <w:szCs w:val="32"/>
        </w:rPr>
        <w:t>（2）投标人近三年以来（2020年1月1日起算）获得过重合同守信用先进企业荣誉或获得过省级以上奖项的，每一项加2分，最多8分。（提供有效的证书复印件）</w:t>
      </w:r>
    </w:p>
    <w:p>
      <w:pPr>
        <w:spacing w:line="560" w:lineRule="exact"/>
        <w:ind w:firstLine="480" w:firstLineChars="150"/>
        <w:rPr>
          <w:rFonts w:eastAsia="仿宋_GB2312"/>
          <w:color w:val="000000"/>
          <w:sz w:val="32"/>
          <w:szCs w:val="32"/>
        </w:rPr>
      </w:pPr>
      <w:r>
        <w:rPr>
          <w:rFonts w:eastAsia="仿宋_GB2312"/>
          <w:color w:val="000000"/>
          <w:sz w:val="32"/>
          <w:szCs w:val="32"/>
        </w:rPr>
        <w:t>（3）投标人近三年以来（2020年1月1日起算）承担过类似会计服务项目的（不含提供给我局的会计服务项目），每个项目加3分，最多15分。（提合同供复印件）</w:t>
      </w:r>
    </w:p>
    <w:p>
      <w:pPr>
        <w:spacing w:line="560" w:lineRule="exact"/>
        <w:ind w:firstLine="640" w:firstLineChars="200"/>
        <w:rPr>
          <w:rFonts w:eastAsia="仿宋_GB2312"/>
          <w:color w:val="000000"/>
          <w:sz w:val="32"/>
          <w:szCs w:val="32"/>
        </w:rPr>
      </w:pPr>
      <w:r>
        <w:rPr>
          <w:rFonts w:eastAsia="仿宋_GB2312"/>
          <w:color w:val="000000"/>
          <w:sz w:val="32"/>
          <w:szCs w:val="32"/>
        </w:rPr>
        <w:t>(三)、总得分＝1＋2＋3</w:t>
      </w:r>
    </w:p>
    <w:p>
      <w:pPr>
        <w:spacing w:line="560" w:lineRule="exact"/>
        <w:ind w:firstLine="643" w:firstLineChars="200"/>
        <w:rPr>
          <w:rFonts w:eastAsia="仿宋_GB2312"/>
          <w:color w:val="000000"/>
          <w:sz w:val="32"/>
          <w:szCs w:val="32"/>
        </w:rPr>
      </w:pPr>
      <w:r>
        <w:rPr>
          <w:rFonts w:eastAsia="仿宋_GB2312"/>
          <w:b/>
          <w:color w:val="000000"/>
          <w:sz w:val="32"/>
          <w:szCs w:val="32"/>
        </w:rPr>
        <w:t>三、成交候选人推荐原则</w:t>
      </w:r>
    </w:p>
    <w:p>
      <w:pPr>
        <w:spacing w:line="560" w:lineRule="exact"/>
        <w:ind w:firstLine="480" w:firstLineChars="150"/>
        <w:rPr>
          <w:rFonts w:eastAsia="仿宋_GB2312"/>
          <w:sz w:val="32"/>
          <w:szCs w:val="32"/>
        </w:rPr>
      </w:pPr>
      <w:r>
        <w:rPr>
          <w:rFonts w:eastAsia="仿宋_GB2312"/>
          <w:bCs/>
          <w:color w:val="000000"/>
          <w:sz w:val="32"/>
          <w:szCs w:val="30"/>
        </w:rPr>
        <w:t>以招标文件为依据，对投标文件进行评审，对投标人的报价文件、技术文件、商务文件等三大部分内容按百分制打分，评标小组按总得分由高到低排列中标候选供应商顺序（总得分相同时，依次按投标报价低优先、价格分高优先、技术分高优先、商务分高优先的顺序排列）</w:t>
      </w:r>
      <w:r>
        <w:rPr>
          <w:rFonts w:eastAsia="仿宋_GB2312"/>
          <w:color w:val="000000"/>
          <w:sz w:val="32"/>
          <w:szCs w:val="32"/>
        </w:rPr>
        <w:t>。采购人应当确定评标小组推荐排名第一的成交候选供应商为成交供应商。排名第一的成交候选供应商放弃成交、因不可抗力提出不能履行协议的，采购人可以确定排名第二的成交候选供应商为成交供应商，以此类推。采购人也可以重新组织采购。</w:t>
      </w:r>
    </w:p>
    <w:p>
      <w:pPr>
        <w:spacing w:line="560" w:lineRule="exact"/>
        <w:rPr>
          <w:rFonts w:eastAsia="仿宋_GB2312"/>
          <w:bCs/>
          <w:sz w:val="32"/>
          <w:szCs w:val="32"/>
        </w:rPr>
      </w:pPr>
    </w:p>
    <w:p/>
    <w:p/>
    <w:p>
      <w:pPr>
        <w:spacing w:line="560" w:lineRule="exact"/>
        <w:rPr>
          <w:rFonts w:hint="eastAsia" w:ascii="仿宋_GB2312" w:eastAsia="仿宋_GB2312"/>
          <w:bCs/>
          <w:sz w:val="32"/>
          <w:szCs w:val="32"/>
        </w:rPr>
      </w:pPr>
    </w:p>
    <w:p/>
    <w:sectPr>
      <w:headerReference r:id="rId3" w:type="default"/>
      <w:footerReference r:id="rId4" w:type="default"/>
      <w:pgSz w:w="11906" w:h="16838"/>
      <w:pgMar w:top="1134" w:right="1797" w:bottom="567" w:left="1797" w:header="851" w:footer="118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820"/>
        <w:tab w:val="clear" w:pos="8306"/>
      </w:tabs>
      <w:wordWrap w:val="0"/>
      <w:ind w:right="-153" w:rightChars="-73"/>
      <w:jc w:val="right"/>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C26A4"/>
    <w:multiLevelType w:val="singleLevel"/>
    <w:tmpl w:val="9FAC26A4"/>
    <w:lvl w:ilvl="0" w:tentative="0">
      <w:start w:val="1"/>
      <w:numFmt w:val="chineseCounting"/>
      <w:suff w:val="nothing"/>
      <w:lvlText w:val="%1、"/>
      <w:lvlJc w:val="left"/>
      <w:rPr>
        <w:rFonts w:hint="eastAsia"/>
      </w:rPr>
    </w:lvl>
  </w:abstractNum>
  <w:abstractNum w:abstractNumId="1">
    <w:nsid w:val="3847C87E"/>
    <w:multiLevelType w:val="singleLevel"/>
    <w:tmpl w:val="3847C87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YTE4MWM4M2E0N2RmYWI3YTI0MjFhZjBkYmRlOTkifQ=="/>
  </w:docVars>
  <w:rsids>
    <w:rsidRoot w:val="69EB79E1"/>
    <w:rsid w:val="49FD25ED"/>
    <w:rsid w:val="69EB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next w:val="4"/>
    <w:qFormat/>
    <w:uiPriority w:val="0"/>
    <w:rPr>
      <w:rFonts w:ascii="宋体" w:hAnsi="Courier New"/>
    </w:rPr>
  </w:style>
  <w:style w:type="paragraph" w:customStyle="1" w:styleId="4">
    <w:name w:val="toc 12"/>
    <w:next w:val="1"/>
    <w:qFormat/>
    <w:uiPriority w:val="0"/>
    <w:pPr>
      <w:wordWrap w:val="0"/>
      <w:jc w:val="both"/>
    </w:pPr>
    <w:rPr>
      <w:rFonts w:ascii="宋体" w:hAnsi="宋体" w:eastAsia="宋体" w:cs="Times New Roman"/>
      <w:sz w:val="21"/>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1876</Words>
  <Characters>1974</Characters>
  <Lines>0</Lines>
  <Paragraphs>0</Paragraphs>
  <TotalTime>0</TotalTime>
  <ScaleCrop>false</ScaleCrop>
  <LinksUpToDate>false</LinksUpToDate>
  <CharactersWithSpaces>2002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2023-08-16T00:17:00Z</dcterms:created>
  <dc:creator>lenovo</dc:creator>
  <cp:lastModifiedBy>lenovo</cp:lastModifiedBy>
  <dcterms:modified xsi:type="dcterms:W3CDTF">2023-08-17T01:55:39Z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15C9AFE56C4D46C79C1103314E5F1037_11</vt:lpwstr>
  </property>
</Properties>
</file>