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540" w:lineRule="exact"/>
        <w:ind w:firstLine="0" w:firstLineChars="0"/>
        <w:jc w:val="center"/>
        <w:rPr>
          <w:rFonts w:hint="eastAsia" w:ascii="方正小标宋简体" w:hAnsi="方正小标宋简体" w:eastAsia="方正小标宋简体" w:cs="方正小标宋简体"/>
          <w:color w:val="auto"/>
          <w:kern w:val="2"/>
          <w:sz w:val="44"/>
          <w:szCs w:val="44"/>
          <w:highlight w:val="none"/>
          <w:lang w:val="en-US" w:eastAsia="zh-CN"/>
        </w:rPr>
      </w:pPr>
    </w:p>
    <w:p>
      <w:pPr>
        <w:widowControl w:val="0"/>
        <w:adjustRightInd/>
        <w:snapToGrid/>
        <w:spacing w:line="540" w:lineRule="exact"/>
        <w:ind w:firstLine="0" w:firstLineChars="0"/>
        <w:jc w:val="center"/>
        <w:rPr>
          <w:rFonts w:hint="eastAsia"/>
          <w:highlight w:val="none"/>
          <w:lang w:eastAsia="zh-CN"/>
        </w:rPr>
      </w:pPr>
      <w:r>
        <w:rPr>
          <w:rFonts w:hint="eastAsia" w:ascii="方正小标宋简体" w:hAnsi="方正小标宋简体" w:eastAsia="方正小标宋简体" w:cs="方正小标宋简体"/>
          <w:color w:val="auto"/>
          <w:kern w:val="2"/>
          <w:sz w:val="44"/>
          <w:szCs w:val="44"/>
          <w:highlight w:val="none"/>
          <w:lang w:val="en-US" w:eastAsia="zh-CN"/>
        </w:rPr>
        <w:t>第七届数字中国建设成果展览会数字广西建设成果内容制作及系统接入服务项目方案</w:t>
      </w:r>
    </w:p>
    <w:p>
      <w:pPr>
        <w:pStyle w:val="3"/>
        <w:numPr>
          <w:ilvl w:val="0"/>
          <w:numId w:val="0"/>
        </w:numPr>
        <w:bidi w:val="0"/>
        <w:ind w:leftChars="200"/>
        <w:jc w:val="center"/>
        <w:rPr>
          <w:rFonts w:hint="eastAsia" w:ascii="方正小标宋简体" w:hAnsi="方正小标宋简体" w:cs="方正小标宋简体"/>
          <w:b/>
          <w:bCs/>
          <w:sz w:val="48"/>
          <w:szCs w:val="48"/>
          <w:highlight w:val="none"/>
          <w:lang w:val="en-US" w:eastAsia="zh-CN"/>
        </w:rPr>
      </w:pPr>
    </w:p>
    <w:p>
      <w:pPr>
        <w:pStyle w:val="3"/>
        <w:numPr>
          <w:ilvl w:val="0"/>
          <w:numId w:val="0"/>
        </w:numPr>
        <w:bidi w:val="0"/>
        <w:ind w:leftChars="200"/>
        <w:jc w:val="center"/>
        <w:rPr>
          <w:rFonts w:hint="eastAsia" w:ascii="方正小标宋简体" w:hAnsi="方正小标宋简体" w:eastAsia="方正小标宋简体" w:cs="方正小标宋简体"/>
          <w:b w:val="0"/>
          <w:bCs w:val="0"/>
          <w:sz w:val="36"/>
          <w:szCs w:val="36"/>
          <w:highlight w:val="none"/>
          <w:lang w:val="en-US" w:eastAsia="zh-CN"/>
        </w:rPr>
      </w:pPr>
      <w:r>
        <w:rPr>
          <w:rFonts w:hint="eastAsia" w:ascii="方正小标宋简体" w:hAnsi="方正小标宋简体" w:cs="方正小标宋简体"/>
          <w:b w:val="0"/>
          <w:bCs w:val="0"/>
          <w:sz w:val="36"/>
          <w:szCs w:val="36"/>
          <w:highlight w:val="none"/>
          <w:lang w:val="en-US" w:eastAsia="zh-CN"/>
        </w:rPr>
        <w:t xml:space="preserve">第一部分  </w:t>
      </w:r>
      <w:r>
        <w:rPr>
          <w:rFonts w:hint="eastAsia" w:ascii="方正小标宋简体" w:hAnsi="方正小标宋简体" w:eastAsia="方正小标宋简体" w:cs="方正小标宋简体"/>
          <w:b w:val="0"/>
          <w:bCs w:val="0"/>
          <w:sz w:val="36"/>
          <w:szCs w:val="36"/>
          <w:highlight w:val="none"/>
          <w:lang w:val="en-US" w:eastAsia="zh-CN"/>
        </w:rPr>
        <w:t>采购需求</w:t>
      </w:r>
    </w:p>
    <w:p>
      <w:pPr>
        <w:widowControl w:val="0"/>
        <w:numPr>
          <w:ilvl w:val="0"/>
          <w:numId w:val="0"/>
        </w:numPr>
        <w:adjustRightInd/>
        <w:snapToGrid/>
        <w:spacing w:line="540" w:lineRule="exact"/>
        <w:ind w:firstLine="640" w:firstLineChars="200"/>
        <w:jc w:val="left"/>
        <w:rPr>
          <w:rFonts w:hint="eastAsia" w:ascii="黑体" w:hAnsi="黑体" w:eastAsia="黑体" w:cs="黑体"/>
          <w:color w:val="auto"/>
          <w:highlight w:val="none"/>
          <w:lang w:val="en-US" w:eastAsia="zh-CN"/>
        </w:rPr>
      </w:pP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ind w:firstLine="640" w:firstLineChars="200"/>
        <w:textAlignment w:val="auto"/>
        <w:rPr>
          <w:b w:val="0"/>
          <w:bCs/>
          <w:highlight w:val="none"/>
        </w:rPr>
      </w:pPr>
      <w:r>
        <w:rPr>
          <w:rFonts w:hint="eastAsia"/>
          <w:b w:val="0"/>
          <w:bCs/>
          <w:highlight w:val="none"/>
          <w:lang w:eastAsia="zh-CN"/>
        </w:rPr>
        <w:t>一、</w:t>
      </w:r>
      <w:r>
        <w:rPr>
          <w:rFonts w:hint="eastAsia"/>
          <w:b w:val="0"/>
          <w:bCs/>
          <w:highlight w:val="none"/>
        </w:rPr>
        <w:t>项目介绍</w:t>
      </w:r>
    </w:p>
    <w:p>
      <w:pPr>
        <w:widowControl w:val="0"/>
        <w:adjustRightInd/>
        <w:snapToGrid/>
        <w:spacing w:line="540" w:lineRule="exact"/>
        <w:ind w:firstLine="640"/>
        <w:jc w:val="left"/>
        <w:rPr>
          <w:rFonts w:hint="eastAsia" w:cs="Times New Roman"/>
          <w:color w:val="auto"/>
          <w:highlight w:val="none"/>
        </w:rPr>
      </w:pPr>
      <w:r>
        <w:rPr>
          <w:rFonts w:hint="eastAsia" w:ascii="方正楷体_GBK" w:hAnsi="方正楷体_GBK" w:eastAsia="方正楷体_GBK" w:cs="方正楷体_GBK"/>
          <w:color w:val="auto"/>
          <w:highlight w:val="none"/>
        </w:rPr>
        <w:t>（一）项目名称：</w:t>
      </w:r>
      <w:r>
        <w:rPr>
          <w:rFonts w:hint="eastAsia" w:cs="Times New Roman"/>
          <w:color w:val="auto"/>
          <w:highlight w:val="none"/>
          <w:lang w:val="en-US" w:eastAsia="zh-CN"/>
        </w:rPr>
        <w:t>第七届数字中国建设成果展览会数字广西建设成果内容制作及系统接入服务</w:t>
      </w:r>
      <w:r>
        <w:rPr>
          <w:rFonts w:hint="eastAsia" w:cs="Times New Roman"/>
          <w:color w:val="auto"/>
          <w:highlight w:val="none"/>
        </w:rPr>
        <w:t>项目</w:t>
      </w:r>
    </w:p>
    <w:p>
      <w:pPr>
        <w:widowControl w:val="0"/>
        <w:adjustRightInd/>
        <w:snapToGrid/>
        <w:spacing w:line="540" w:lineRule="exact"/>
        <w:ind w:firstLine="640"/>
        <w:jc w:val="left"/>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（二）立项背景</w:t>
      </w:r>
    </w:p>
    <w:p>
      <w:pPr>
        <w:widowControl w:val="0"/>
        <w:adjustRightInd/>
        <w:snapToGrid/>
        <w:spacing w:line="540" w:lineRule="exact"/>
        <w:ind w:firstLine="640"/>
        <w:jc w:val="left"/>
        <w:rPr>
          <w:rFonts w:cs="Times New Roman"/>
          <w:color w:val="auto"/>
          <w:highlight w:val="none"/>
        </w:rPr>
      </w:pPr>
      <w:r>
        <w:rPr>
          <w:rFonts w:hint="eastAsia" w:cs="Times New Roman"/>
          <w:color w:val="auto"/>
          <w:highlight w:val="none"/>
        </w:rPr>
        <w:t>数字中国建设峰会（简称“峰会”）于2018年落户福州，已连续成功举办六届。自举办以来，峰会紧紧围绕“四个平台”功能定位，举办系列论坛、展览、大赛和特色活动等一系列活动。其中，论坛包括开幕式、主论坛、分论坛等，展览包括数字中国建设成果展览会、中国国际数字产品博览会。数字中国建设成果展览会（以下简称：成果展）是数字中国建设峰会的重要组成部分，始终坚持战略引领、全面系统，紧跟国家战略，紧扣峰会主题，旨在全面丰富、清晰立体地呈现数字中国建设宏伟蓝图。展示内容全面覆盖数字基础设施、数据要素、数字经济、数字政务、数字社会、数字文化、数字生态环境、数字治理、数字领域国际合作等数字中国建设各领域。成果展已成为展示我国数字化技术新趋势、数字化发展新成果、数字化应用新特色和数字化实践新案例的重要窗口。</w:t>
      </w:r>
      <w:r>
        <w:rPr>
          <w:rFonts w:hint="eastAsia" w:cs="Times New Roman"/>
          <w:color w:val="auto"/>
          <w:highlight w:val="none"/>
          <w:lang w:eastAsia="zh-CN"/>
        </w:rPr>
        <w:t>应福建省人民政府邀请，</w:t>
      </w:r>
      <w:r>
        <w:rPr>
          <w:rFonts w:hint="eastAsia" w:cs="Times New Roman"/>
          <w:color w:val="auto"/>
          <w:highlight w:val="none"/>
        </w:rPr>
        <w:t>广西壮族自治区</w:t>
      </w:r>
      <w:r>
        <w:rPr>
          <w:rFonts w:hint="eastAsia" w:cs="Times New Roman"/>
          <w:color w:val="auto"/>
          <w:highlight w:val="none"/>
          <w:lang w:eastAsia="zh-CN"/>
        </w:rPr>
        <w:t>人民政府组织</w:t>
      </w:r>
      <w:r>
        <w:rPr>
          <w:rFonts w:hint="eastAsia" w:cs="Times New Roman"/>
          <w:color w:val="auto"/>
          <w:highlight w:val="none"/>
        </w:rPr>
        <w:t>参展。</w:t>
      </w:r>
    </w:p>
    <w:p>
      <w:pPr>
        <w:widowControl w:val="0"/>
        <w:adjustRightInd/>
        <w:snapToGrid/>
        <w:spacing w:line="540" w:lineRule="exact"/>
        <w:ind w:left="0" w:leftChars="0" w:firstLine="640" w:firstLineChars="200"/>
        <w:jc w:val="left"/>
        <w:rPr>
          <w:rFonts w:cs="Times New Roman"/>
          <w:color w:val="auto"/>
          <w:highlight w:val="none"/>
          <w:lang w:bidi="ar"/>
        </w:rPr>
      </w:pPr>
      <w:r>
        <w:rPr>
          <w:rFonts w:hint="eastAsia" w:cs="Times New Roman"/>
          <w:color w:val="auto"/>
          <w:highlight w:val="none"/>
          <w:lang w:bidi="ar"/>
        </w:rPr>
        <w:t>（三）预算金额</w:t>
      </w:r>
      <w:r>
        <w:rPr>
          <w:rFonts w:hint="eastAsia" w:cs="Times New Roman"/>
          <w:color w:val="auto"/>
          <w:highlight w:val="none"/>
        </w:rPr>
        <w:t>：</w:t>
      </w:r>
      <w:r>
        <w:rPr>
          <w:rFonts w:hint="eastAsia" w:cs="Times New Roman"/>
          <w:color w:val="auto"/>
          <w:highlight w:val="none"/>
          <w:lang w:val="en-US" w:eastAsia="zh-CN"/>
        </w:rPr>
        <w:t>91.70</w:t>
      </w:r>
      <w:r>
        <w:rPr>
          <w:rFonts w:hint="eastAsia" w:cs="Times New Roman"/>
          <w:color w:val="auto"/>
          <w:highlight w:val="none"/>
        </w:rPr>
        <w:t>万元。</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default" w:ascii="Times New Roman" w:hAnsi="Times New Roman"/>
          <w:b w:val="0"/>
          <w:bCs/>
          <w:highlight w:val="none"/>
          <w:lang w:val="en-US" w:eastAsia="zh-CN"/>
        </w:rPr>
      </w:pPr>
      <w:r>
        <w:rPr>
          <w:rFonts w:hint="eastAsia"/>
          <w:b w:val="0"/>
          <w:bCs/>
          <w:highlight w:val="none"/>
          <w:lang w:val="en-US" w:eastAsia="zh-CN"/>
        </w:rPr>
        <w:t>二、</w:t>
      </w:r>
      <w:r>
        <w:rPr>
          <w:rFonts w:hint="eastAsia" w:ascii="Times New Roman" w:hAnsi="Times New Roman"/>
          <w:b w:val="0"/>
          <w:bCs/>
          <w:highlight w:val="none"/>
          <w:lang w:val="en-US" w:eastAsia="zh-CN"/>
        </w:rPr>
        <w:t>项目</w:t>
      </w:r>
      <w:r>
        <w:rPr>
          <w:rFonts w:hint="eastAsia"/>
          <w:b w:val="0"/>
          <w:bCs/>
          <w:highlight w:val="none"/>
          <w:lang w:val="en-US" w:eastAsia="zh-CN"/>
        </w:rPr>
        <w:t>实施</w:t>
      </w:r>
      <w:r>
        <w:rPr>
          <w:rFonts w:hint="eastAsia" w:ascii="Times New Roman" w:hAnsi="Times New Roman"/>
          <w:b w:val="0"/>
          <w:bCs/>
          <w:highlight w:val="none"/>
          <w:lang w:val="en-US" w:eastAsia="zh-CN"/>
        </w:rPr>
        <w:t>时间、地点</w:t>
      </w:r>
    </w:p>
    <w:p>
      <w:pPr>
        <w:widowControl w:val="0"/>
        <w:adjustRightInd/>
        <w:snapToGrid/>
        <w:spacing w:line="540" w:lineRule="exact"/>
        <w:ind w:firstLine="640"/>
        <w:rPr>
          <w:rFonts w:hint="default" w:cs="Times New Roman"/>
          <w:color w:val="auto"/>
          <w:highlight w:val="none"/>
          <w:lang w:val="en-US" w:eastAsia="zh-CN"/>
        </w:rPr>
      </w:pPr>
      <w:r>
        <w:rPr>
          <w:rFonts w:hint="eastAsia" w:cs="Times New Roman"/>
          <w:color w:val="auto"/>
          <w:highlight w:val="none"/>
          <w:lang w:val="en-US" w:eastAsia="zh-CN"/>
        </w:rPr>
        <w:t>2024年4月展览，展期约1周时间；地点在福建省福州海峡国际会展中心，展位面积200平方米。——具体以第七届数字中国建设峰会安排为准。</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eastAsia" w:ascii="Times New Roman" w:hAnsi="Times New Roman"/>
          <w:b w:val="0"/>
          <w:bCs/>
          <w:highlight w:val="none"/>
        </w:rPr>
      </w:pPr>
      <w:r>
        <w:rPr>
          <w:rFonts w:hint="eastAsia"/>
          <w:b w:val="0"/>
          <w:bCs/>
          <w:highlight w:val="none"/>
          <w:lang w:eastAsia="zh-CN"/>
        </w:rPr>
        <w:t>三、</w:t>
      </w:r>
      <w:r>
        <w:rPr>
          <w:rFonts w:hint="eastAsia" w:ascii="Times New Roman" w:hAnsi="Times New Roman"/>
          <w:b w:val="0"/>
          <w:bCs/>
          <w:highlight w:val="none"/>
        </w:rPr>
        <w:t>服务内容</w:t>
      </w:r>
    </w:p>
    <w:tbl>
      <w:tblPr>
        <w:tblStyle w:val="2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904"/>
        <w:gridCol w:w="6811"/>
        <w:gridCol w:w="424"/>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167" w:type="dxa"/>
            <w:gridSpan w:val="5"/>
            <w:vAlign w:val="center"/>
          </w:tcPr>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color w:val="auto"/>
                <w:sz w:val="24"/>
                <w:szCs w:val="24"/>
                <w:highlight w:val="none"/>
              </w:rPr>
              <w:t>（一）</w:t>
            </w:r>
            <w:r>
              <w:rPr>
                <w:rFonts w:hint="eastAsia" w:ascii="仿宋_GB2312" w:hAnsi="仿宋_GB2312" w:eastAsia="仿宋_GB2312" w:cs="仿宋_GB2312"/>
                <w:b/>
                <w:color w:val="auto"/>
                <w:sz w:val="24"/>
                <w:szCs w:val="24"/>
                <w:highlight w:val="none"/>
                <w:lang w:val="en-US" w:eastAsia="zh-CN"/>
              </w:rPr>
              <w:t>项目要求及</w:t>
            </w:r>
            <w:r>
              <w:rPr>
                <w:rFonts w:hint="eastAsia" w:ascii="仿宋_GB2312" w:hAnsi="仿宋_GB2312" w:eastAsia="仿宋_GB2312" w:cs="仿宋_GB2312"/>
                <w:b/>
                <w:color w:val="auto"/>
                <w:sz w:val="24"/>
                <w:szCs w:val="24"/>
                <w:highlight w:val="none"/>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项号</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sz w:val="24"/>
                <w:szCs w:val="24"/>
                <w:highlight w:val="none"/>
                <w:lang w:val="en-US" w:eastAsia="zh-CN"/>
              </w:rPr>
              <w:t>采购内容</w:t>
            </w:r>
            <w:r>
              <w:rPr>
                <w:rFonts w:hint="eastAsia" w:ascii="仿宋_GB2312" w:hAnsi="仿宋_GB2312" w:eastAsia="仿宋_GB2312" w:cs="仿宋_GB2312"/>
                <w:b/>
                <w:bCs/>
                <w:sz w:val="24"/>
                <w:szCs w:val="24"/>
                <w:highlight w:val="none"/>
              </w:rPr>
              <w:t>名称</w:t>
            </w:r>
          </w:p>
        </w:tc>
        <w:tc>
          <w:tcPr>
            <w:tcW w:w="6811"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kern w:val="0"/>
                <w:sz w:val="24"/>
                <w:szCs w:val="24"/>
                <w:highlight w:val="none"/>
                <w:lang w:val="en-US" w:eastAsia="zh-CN"/>
              </w:rPr>
              <w:t>技术</w:t>
            </w:r>
            <w:r>
              <w:rPr>
                <w:rFonts w:hint="eastAsia" w:ascii="仿宋_GB2312" w:hAnsi="仿宋_GB2312" w:eastAsia="仿宋_GB2312" w:cs="仿宋_GB2312"/>
                <w:b/>
                <w:bCs/>
                <w:kern w:val="0"/>
                <w:sz w:val="24"/>
                <w:szCs w:val="24"/>
                <w:highlight w:val="none"/>
              </w:rPr>
              <w:t>要求</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sz w:val="24"/>
                <w:szCs w:val="24"/>
                <w:highlight w:val="none"/>
              </w:rPr>
              <w:t>单位</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1</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宣传视频</w:t>
            </w:r>
            <w:r>
              <w:rPr>
                <w:rFonts w:hint="eastAsia" w:ascii="仿宋_GB2312" w:hAnsi="仿宋_GB2312" w:cs="仿宋_GB2312"/>
                <w:sz w:val="24"/>
                <w:szCs w:val="24"/>
                <w:highlight w:val="none"/>
                <w:lang w:val="en-US" w:eastAsia="zh-CN"/>
              </w:rPr>
              <w:t>及多媒体内容制作</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lang w:val="en-US" w:eastAsia="zh-CN"/>
              </w:rPr>
              <w:t>一</w:t>
            </w:r>
            <w:r>
              <w:rPr>
                <w:rFonts w:hint="eastAsia" w:ascii="仿宋_GB2312" w:hAnsi="仿宋_GB2312" w:eastAsia="仿宋_GB2312" w:cs="仿宋_GB2312"/>
                <w:b/>
                <w:color w:val="auto"/>
                <w:sz w:val="24"/>
                <w:szCs w:val="24"/>
                <w:highlight w:val="none"/>
              </w:rPr>
              <w:t>、</w:t>
            </w:r>
            <w:r>
              <w:rPr>
                <w:rFonts w:hint="eastAsia" w:ascii="仿宋_GB2312" w:hAnsi="仿宋_GB2312" w:eastAsia="仿宋_GB2312" w:cs="仿宋_GB2312"/>
                <w:b/>
                <w:color w:val="auto"/>
                <w:sz w:val="24"/>
                <w:szCs w:val="24"/>
                <w:highlight w:val="none"/>
                <w:lang w:val="en-US" w:eastAsia="zh-CN"/>
              </w:rPr>
              <w:t>视频</w:t>
            </w:r>
            <w:r>
              <w:rPr>
                <w:rFonts w:hint="eastAsia" w:ascii="仿宋_GB2312" w:hAnsi="仿宋_GB2312" w:cs="仿宋_GB2312"/>
                <w:b/>
                <w:color w:val="auto"/>
                <w:sz w:val="24"/>
                <w:szCs w:val="24"/>
                <w:highlight w:val="none"/>
                <w:lang w:val="en-US" w:eastAsia="zh-CN"/>
              </w:rPr>
              <w:t>及多媒体制作</w:t>
            </w:r>
            <w:r>
              <w:rPr>
                <w:rFonts w:hint="eastAsia" w:ascii="仿宋_GB2312" w:hAnsi="仿宋_GB2312" w:eastAsia="仿宋_GB2312" w:cs="仿宋_GB2312"/>
                <w:b/>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本视频</w:t>
            </w:r>
            <w:r>
              <w:rPr>
                <w:rFonts w:hint="eastAsia" w:ascii="仿宋_GB2312" w:hAnsi="仿宋_GB2312" w:cs="仿宋_GB2312"/>
                <w:color w:val="auto"/>
                <w:sz w:val="24"/>
                <w:szCs w:val="24"/>
                <w:highlight w:val="none"/>
                <w:lang w:val="en-US" w:eastAsia="zh-CN"/>
              </w:rPr>
              <w:t>和多媒体内容</w:t>
            </w:r>
            <w:r>
              <w:rPr>
                <w:rFonts w:hint="eastAsia" w:ascii="仿宋_GB2312" w:hAnsi="仿宋_GB2312" w:eastAsia="仿宋_GB2312" w:cs="仿宋_GB2312"/>
                <w:color w:val="auto"/>
                <w:sz w:val="24"/>
                <w:szCs w:val="24"/>
                <w:highlight w:val="none"/>
                <w:lang w:val="en-US" w:eastAsia="zh-CN"/>
              </w:rPr>
              <w:t>以体现广西数字经济建设的特色成果介绍为主题，要求充分展示出广西通过加强信息化建设和应用，落实国家战略要求，为推进高水平对外开放、促进同东盟合作不断注入新动力发挥支点作用，加强我国与东盟国家互联互通进行主动作为。包括：数字政府、数字经济、数字社会、数字文化、数字生态，以及数字开放合作等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sz w:val="24"/>
                <w:szCs w:val="24"/>
                <w:highlight w:val="none"/>
                <w:lang w:val="en-US" w:eastAsia="zh-CN"/>
              </w:rPr>
              <w:t>二</w:t>
            </w:r>
            <w:r>
              <w:rPr>
                <w:rFonts w:hint="eastAsia" w:ascii="仿宋_GB2312" w:hAnsi="仿宋_GB2312" w:eastAsia="仿宋_GB2312" w:cs="仿宋_GB2312"/>
                <w:b/>
                <w:color w:val="auto"/>
                <w:sz w:val="24"/>
                <w:szCs w:val="24"/>
                <w:highlight w:val="none"/>
              </w:rPr>
              <w:t>、</w:t>
            </w:r>
            <w:r>
              <w:rPr>
                <w:rFonts w:hint="eastAsia" w:ascii="仿宋_GB2312" w:hAnsi="仿宋_GB2312" w:eastAsia="仿宋_GB2312" w:cs="仿宋_GB2312"/>
                <w:b/>
                <w:color w:val="auto"/>
                <w:sz w:val="24"/>
                <w:szCs w:val="24"/>
                <w:highlight w:val="none"/>
                <w:lang w:val="en-US" w:eastAsia="zh-CN"/>
              </w:rPr>
              <w:t>视频</w:t>
            </w:r>
            <w:r>
              <w:rPr>
                <w:rFonts w:hint="eastAsia" w:ascii="仿宋_GB2312" w:hAnsi="仿宋_GB2312" w:cs="仿宋_GB2312"/>
                <w:b/>
                <w:color w:val="auto"/>
                <w:sz w:val="24"/>
                <w:szCs w:val="24"/>
                <w:highlight w:val="none"/>
                <w:lang w:val="en-US" w:eastAsia="zh-CN"/>
              </w:rPr>
              <w:t>及多媒体制作</w:t>
            </w:r>
            <w:r>
              <w:rPr>
                <w:rFonts w:hint="eastAsia" w:ascii="仿宋_GB2312" w:hAnsi="仿宋_GB2312" w:eastAsia="仿宋_GB2312" w:cs="仿宋_GB2312"/>
                <w:b/>
                <w:color w:val="auto"/>
                <w:sz w:val="24"/>
                <w:szCs w:val="24"/>
                <w:highlight w:val="none"/>
                <w:lang w:val="en-US" w:eastAsia="zh-CN"/>
              </w:rPr>
              <w:t>时长</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高清视频，时长</w:t>
            </w:r>
            <w:r>
              <w:rPr>
                <w:rFonts w:hint="eastAsia" w:ascii="仿宋_GB2312" w:hAnsi="仿宋_GB2312" w:cs="仿宋_GB2312"/>
                <w:color w:val="auto"/>
                <w:sz w:val="24"/>
                <w:szCs w:val="24"/>
                <w:highlight w:val="none"/>
                <w:lang w:val="en-US" w:eastAsia="zh-CN"/>
              </w:rPr>
              <w:t>不低于</w:t>
            </w:r>
            <w:r>
              <w:rPr>
                <w:rFonts w:hint="eastAsia" w:ascii="仿宋_GB2312" w:hAnsi="仿宋_GB2312" w:eastAsia="仿宋_GB2312" w:cs="仿宋_GB2312"/>
                <w:color w:val="auto"/>
                <w:sz w:val="24"/>
                <w:szCs w:val="24"/>
                <w:highlight w:val="none"/>
                <w:lang w:val="en-US" w:eastAsia="zh-CN"/>
              </w:rPr>
              <w:t>270s，适配各种尺寸的LED屏幕及大屏电视</w:t>
            </w:r>
            <w:r>
              <w:rPr>
                <w:rFonts w:hint="eastAsia" w:ascii="仿宋_GB2312" w:hAnsi="仿宋_GB2312" w:cs="仿宋_GB2312"/>
                <w:color w:val="auto"/>
                <w:sz w:val="24"/>
                <w:szCs w:val="24"/>
                <w:highlight w:val="none"/>
                <w:lang w:val="en-US" w:eastAsia="zh-CN"/>
              </w:rPr>
              <w:t>机</w:t>
            </w:r>
            <w:r>
              <w:rPr>
                <w:rFonts w:hint="eastAsia" w:ascii="仿宋_GB2312" w:hAnsi="仿宋_GB2312" w:eastAsia="仿宋_GB2312" w:cs="仿宋_GB2312"/>
                <w:color w:val="auto"/>
                <w:sz w:val="24"/>
                <w:szCs w:val="24"/>
                <w:highlight w:val="none"/>
                <w:lang w:val="en-US" w:eastAsia="zh-CN"/>
              </w:rPr>
              <w:t>展示。</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2</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p>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数字社会</w:t>
            </w:r>
          </w:p>
        </w:tc>
        <w:tc>
          <w:tcPr>
            <w:tcW w:w="6811" w:type="dxa"/>
            <w:vAlign w:val="center"/>
          </w:tcPr>
          <w:p>
            <w:pPr>
              <w:keepNext w:val="0"/>
              <w:keepLines w:val="0"/>
              <w:pageBreakBefore w:val="0"/>
              <w:numPr>
                <w:ilvl w:val="0"/>
                <w:numId w:val="3"/>
              </w:numPr>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体现广西数字</w:t>
            </w:r>
            <w:r>
              <w:rPr>
                <w:rFonts w:hint="eastAsia" w:ascii="仿宋_GB2312" w:hAnsi="仿宋_GB2312" w:cs="仿宋_GB2312"/>
                <w:color w:val="auto"/>
                <w:sz w:val="24"/>
                <w:szCs w:val="24"/>
                <w:highlight w:val="none"/>
                <w:lang w:val="en-US" w:eastAsia="zh-CN"/>
              </w:rPr>
              <w:t>社会的建设</w:t>
            </w:r>
            <w:r>
              <w:rPr>
                <w:rFonts w:hint="eastAsia" w:ascii="仿宋_GB2312" w:hAnsi="仿宋_GB2312" w:eastAsia="仿宋_GB2312" w:cs="仿宋_GB2312"/>
                <w:color w:val="auto"/>
                <w:sz w:val="24"/>
                <w:szCs w:val="24"/>
                <w:highlight w:val="none"/>
                <w:lang w:val="en-US" w:eastAsia="zh-CN"/>
              </w:rPr>
              <w:t>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w:t>
            </w:r>
            <w:r>
              <w:rPr>
                <w:rFonts w:hint="eastAsia" w:ascii="仿宋_GB2312" w:hAnsi="仿宋_GB2312" w:cs="仿宋_GB2312"/>
                <w:color w:val="auto"/>
                <w:sz w:val="24"/>
                <w:szCs w:val="24"/>
                <w:highlight w:val="none"/>
                <w:lang w:val="en-US" w:eastAsia="zh-CN"/>
              </w:rPr>
              <w:t>广西地理空间协同感知平台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（二）GTC综合交通枢纽智能平台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（三）高速公路监控应急指挥平台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highlight w:val="none"/>
                <w:lang w:val="en-US" w:eastAsia="zh-CN"/>
              </w:rPr>
            </w:pPr>
            <w:r>
              <w:rPr>
                <w:rFonts w:hint="eastAsia" w:ascii="仿宋_GB2312" w:hAnsi="仿宋_GB2312" w:eastAsia="仿宋_GB2312" w:cs="仿宋_GB2312"/>
                <w:color w:val="auto"/>
                <w:sz w:val="24"/>
                <w:szCs w:val="24"/>
                <w:highlight w:val="none"/>
                <w:lang w:val="en-US" w:eastAsia="zh-CN"/>
              </w:rPr>
              <w:t>（四）广西不动产登记</w:t>
            </w:r>
            <w:r>
              <w:rPr>
                <w:rFonts w:hint="eastAsia" w:ascii="仿宋_GB2312" w:hAnsi="仿宋_GB2312" w:cs="仿宋_GB2312"/>
                <w:color w:val="auto"/>
                <w:sz w:val="24"/>
                <w:szCs w:val="24"/>
                <w:highlight w:val="none"/>
                <w:lang w:val="en-US" w:eastAsia="zh-CN"/>
              </w:rPr>
              <w:t>系统</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3</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数字产业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体现广西构建特色现代化产业体系和进行产业数字化实践的建设成果情况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（一）泛糖网</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内容覆盖广西特色的糖产业互联网平台建设运营</w:t>
            </w:r>
            <w:r>
              <w:rPr>
                <w:rFonts w:hint="eastAsia" w:ascii="仿宋_GB2312" w:hAnsi="仿宋_GB2312" w:cs="仿宋_GB2312"/>
                <w:color w:val="auto"/>
                <w:sz w:val="24"/>
                <w:szCs w:val="24"/>
                <w:highlight w:val="none"/>
                <w:lang w:val="en-US" w:eastAsia="zh-CN"/>
              </w:rPr>
              <w:t>、崇左智慧糖都项目</w:t>
            </w:r>
            <w:r>
              <w:rPr>
                <w:rFonts w:hint="eastAsia" w:ascii="仿宋_GB2312" w:hAnsi="仿宋_GB2312" w:eastAsia="仿宋_GB2312" w:cs="仿宋_GB2312"/>
                <w:color w:val="auto"/>
                <w:sz w:val="24"/>
                <w:szCs w:val="24"/>
                <w:highlight w:val="none"/>
                <w:lang w:val="en-US" w:eastAsia="zh-CN"/>
              </w:rPr>
              <w:t>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w:t>
            </w:r>
            <w:r>
              <w:rPr>
                <w:rFonts w:hint="eastAsia" w:ascii="仿宋_GB2312" w:hAnsi="仿宋_GB2312" w:cs="仿宋_GB2312"/>
                <w:color w:val="auto"/>
                <w:sz w:val="24"/>
                <w:szCs w:val="24"/>
                <w:highlight w:val="none"/>
                <w:lang w:val="en-US" w:eastAsia="zh-CN"/>
              </w:rPr>
              <w:t>陆海新通道数字化运营平台</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内容覆盖陆海新通道的数字化建设，包括铁路、公路、港口、口岸等数字化建设运营管理情况。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三</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数字海港</w:t>
            </w:r>
          </w:p>
          <w:p>
            <w:pPr>
              <w:pStyle w:val="2"/>
              <w:ind w:firstLine="0" w:firstLineChars="0"/>
              <w:rPr>
                <w:rFonts w:hint="eastAsia" w:ascii="Times New Roman" w:hAnsi="Times New Roman" w:eastAsia="仿宋_GB2312" w:cs="仿宋_GB2312"/>
                <w:sz w:val="21"/>
                <w:szCs w:val="32"/>
                <w:highlight w:val="none"/>
                <w:lang w:val="en-US" w:eastAsia="zh-CN" w:bidi="ar-SA"/>
              </w:rPr>
            </w:pPr>
            <w:r>
              <w:rPr>
                <w:rFonts w:hint="eastAsia" w:ascii="仿宋_GB2312" w:hAnsi="仿宋_GB2312" w:eastAsia="仿宋_GB2312" w:cs="仿宋_GB2312"/>
                <w:color w:val="auto"/>
                <w:sz w:val="24"/>
                <w:szCs w:val="24"/>
                <w:highlight w:val="none"/>
                <w:lang w:val="en-US" w:eastAsia="zh-CN"/>
              </w:rPr>
              <w:t>内容覆盖</w:t>
            </w:r>
            <w:r>
              <w:rPr>
                <w:rFonts w:hint="eastAsia" w:ascii="仿宋_GB2312" w:hAnsi="仿宋_GB2312" w:cs="仿宋_GB2312"/>
                <w:color w:val="auto"/>
                <w:sz w:val="24"/>
                <w:szCs w:val="24"/>
                <w:highlight w:val="none"/>
                <w:lang w:val="en-US" w:eastAsia="zh-CN"/>
              </w:rPr>
              <w:t>北部湾港物流数字化运营平台陆海新通道数字化运营情况。</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4</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数字生态</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体现广西数字产业化的建设成果情况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（一）数字经济产业园区</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内容覆盖广西面向东盟的数字经济产业园区布局，</w:t>
            </w:r>
            <w:r>
              <w:rPr>
                <w:rFonts w:hint="eastAsia" w:ascii="仿宋_GB2312" w:hAnsi="仿宋_GB2312" w:cs="仿宋_GB2312"/>
                <w:color w:val="auto"/>
                <w:sz w:val="24"/>
                <w:szCs w:val="24"/>
                <w:highlight w:val="none"/>
                <w:lang w:val="en-US" w:eastAsia="zh-CN"/>
              </w:rPr>
              <w:t>包括中国—东盟数字经济产业园、北海电子信息产业园等</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（二）广西信创产业落地情况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内容覆盖落地广西进行生产制造</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或是广西企业自主研发的品牌信创产品介绍。</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二</w:t>
            </w:r>
            <w:r>
              <w:rPr>
                <w:rFonts w:hint="eastAsia" w:ascii="仿宋_GB2312" w:hAnsi="仿宋_GB2312" w:eastAsia="仿宋_GB2312" w:cs="仿宋_GB2312"/>
                <w:b/>
                <w:bCs/>
                <w:color w:val="auto"/>
                <w:sz w:val="24"/>
                <w:szCs w:val="24"/>
                <w:highlight w:val="none"/>
              </w:rPr>
              <w:t>、</w:t>
            </w:r>
            <w:r>
              <w:rPr>
                <w:rFonts w:hint="eastAsia" w:ascii="仿宋_GB2312" w:hAnsi="仿宋_GB2312" w:eastAsia="仿宋_GB2312" w:cs="仿宋_GB2312"/>
                <w:b/>
                <w:bCs/>
                <w:color w:val="auto"/>
                <w:sz w:val="24"/>
                <w:szCs w:val="24"/>
                <w:highlight w:val="none"/>
                <w:lang w:val="en-US" w:eastAsia="zh-CN"/>
              </w:rPr>
              <w:t>实物展示</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陈列展示广西数字产业生态建设的实物成果情况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（一）信创产品</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落地广西进行生产制造、或是广西企业自主研发的品牌信创产品的实物陈列，包括PC机、显示器、服务器等。</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（二）北斗产品</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北斗系列产品的实物陈列，包括北斗应急智能盒子、北斗5G手持机、船联网手持终端等。</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（三）面向东盟的数字生态合作协议</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陈列展示广西本土企业与东盟国家企业的数字基础设施建设、系统建设以及人才培训的合作协议。</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5</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数字文化</w:t>
            </w:r>
          </w:p>
        </w:tc>
        <w:tc>
          <w:tcPr>
            <w:tcW w:w="681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textAlignment w:val="auto"/>
              <w:rPr>
                <w:rFonts w:hint="eastAsia"/>
                <w:b/>
                <w:bCs/>
                <w:sz w:val="24"/>
                <w:szCs w:val="24"/>
                <w:highlight w:val="none"/>
                <w:lang w:val="en-US" w:eastAsia="zh-CN"/>
              </w:rPr>
            </w:pPr>
            <w:r>
              <w:rPr>
                <w:rFonts w:hint="eastAsia"/>
                <w:b/>
                <w:bCs/>
                <w:sz w:val="24"/>
                <w:szCs w:val="24"/>
                <w:highlight w:val="none"/>
                <w:lang w:val="en-US" w:eastAsia="zh-CN"/>
              </w:rPr>
              <w:t>一、系统接入内容</w:t>
            </w:r>
          </w:p>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textAlignment w:val="auto"/>
              <w:rPr>
                <w:rFonts w:hint="eastAsia"/>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sz w:val="24"/>
                <w:szCs w:val="24"/>
                <w:highlight w:val="none"/>
                <w:lang w:val="en-US" w:eastAsia="zh-CN"/>
              </w:rPr>
              <w:t>体现广西数字文旅建设成果情况。内容覆盖利用数字孪生、人工智能等技术开发的智慧文旅应用成果，包括但不限于</w:t>
            </w:r>
            <w:r>
              <w:rPr>
                <w:rFonts w:hint="eastAsia" w:ascii="仿宋_GB2312" w:hAnsi="仿宋_GB2312" w:cs="仿宋_GB2312"/>
                <w:color w:val="auto"/>
                <w:sz w:val="24"/>
                <w:szCs w:val="24"/>
                <w:highlight w:val="none"/>
                <w:lang w:val="en-US" w:eastAsia="zh-CN"/>
              </w:rPr>
              <w:t>（如有更加典型的数字成果应用案例，可替换以下案例）</w:t>
            </w:r>
            <w:r>
              <w:rPr>
                <w:rFonts w:hint="eastAsia"/>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textAlignment w:val="auto"/>
              <w:rPr>
                <w:rFonts w:hint="eastAsia"/>
                <w:sz w:val="24"/>
                <w:szCs w:val="24"/>
                <w:highlight w:val="none"/>
                <w:lang w:val="en-US" w:eastAsia="zh-CN"/>
              </w:rPr>
            </w:pPr>
            <w:r>
              <w:rPr>
                <w:rFonts w:hint="eastAsia"/>
                <w:sz w:val="24"/>
                <w:szCs w:val="24"/>
                <w:highlight w:val="none"/>
                <w:lang w:val="en-US" w:eastAsia="zh-CN"/>
              </w:rPr>
              <w:t>（一）一键游广西平台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sz w:val="24"/>
                <w:szCs w:val="24"/>
                <w:highlight w:val="none"/>
                <w:lang w:val="en-US" w:eastAsia="zh-CN"/>
              </w:rPr>
              <w:t>（二）</w:t>
            </w:r>
            <w:r>
              <w:rPr>
                <w:rFonts w:hint="eastAsia" w:ascii="仿宋_GB2312" w:hAnsi="仿宋_GB2312" w:cs="仿宋_GB2312"/>
                <w:color w:val="auto"/>
                <w:sz w:val="24"/>
                <w:szCs w:val="24"/>
                <w:highlight w:val="none"/>
                <w:lang w:val="en-US" w:eastAsia="zh-CN"/>
              </w:rPr>
              <w:t>智桂通</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内容覆盖智桂通平台运营情况，包括政务、企业、市民、游客应用访问数量情况，用户规模和分布情况等</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（三）慧康养</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highlight w:val="none"/>
                <w:lang w:val="en-US" w:eastAsia="zh-CN"/>
              </w:rPr>
            </w:pPr>
            <w:r>
              <w:rPr>
                <w:rFonts w:hint="eastAsia" w:ascii="仿宋_GB2312" w:hAnsi="仿宋_GB2312" w:eastAsia="仿宋_GB2312" w:cs="仿宋_GB2312"/>
                <w:color w:val="auto"/>
                <w:sz w:val="24"/>
                <w:szCs w:val="24"/>
                <w:highlight w:val="none"/>
                <w:lang w:val="en-US" w:eastAsia="zh-CN"/>
              </w:rPr>
              <w:t>内容覆盖围绕 “健康长寿”主题，整合广西长寿之乡产业优势，快速推动产业、产品、营销、客户实现四个聚合，统一产品服务标准,建立产业生态联盟的一站式康养产业互联网平台的情况。</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6</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数字政府</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体现广西数字政府建设成果情况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（一）广西12345政务服务便民热线</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内容</w:t>
            </w:r>
            <w:r>
              <w:rPr>
                <w:rFonts w:hint="eastAsia" w:ascii="仿宋_GB2312" w:hAnsi="仿宋_GB2312" w:eastAsia="仿宋_GB2312" w:cs="仿宋_GB2312"/>
                <w:color w:val="auto"/>
                <w:sz w:val="24"/>
                <w:szCs w:val="24"/>
                <w:highlight w:val="none"/>
                <w:lang w:val="en-US" w:eastAsia="zh-CN"/>
              </w:rPr>
              <w:t>覆盖广西12345政务服务便民热线</w:t>
            </w:r>
            <w:r>
              <w:rPr>
                <w:rFonts w:hint="eastAsia" w:ascii="仿宋_GB2312" w:hAnsi="仿宋_GB2312" w:cs="仿宋_GB2312"/>
                <w:color w:val="auto"/>
                <w:sz w:val="24"/>
                <w:szCs w:val="24"/>
                <w:highlight w:val="none"/>
                <w:lang w:val="en-US" w:eastAsia="zh-CN"/>
              </w:rPr>
              <w:t>相关情况</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（二）</w:t>
            </w:r>
            <w:r>
              <w:rPr>
                <w:rFonts w:hint="eastAsia" w:ascii="仿宋_GB2312" w:hAnsi="仿宋_GB2312" w:eastAsia="仿宋_GB2312" w:cs="仿宋_GB2312"/>
                <w:color w:val="auto"/>
                <w:sz w:val="24"/>
                <w:szCs w:val="24"/>
                <w:highlight w:val="none"/>
                <w:lang w:val="en-US" w:eastAsia="zh-CN"/>
              </w:rPr>
              <w:t>广西政府网站集约化平台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内容覆盖广西政府网站集约化平台</w:t>
            </w:r>
            <w:r>
              <w:rPr>
                <w:rFonts w:hint="eastAsia" w:ascii="仿宋_GB2312" w:hAnsi="仿宋_GB2312" w:cs="仿宋_GB2312"/>
                <w:color w:val="auto"/>
                <w:sz w:val="24"/>
                <w:szCs w:val="24"/>
                <w:highlight w:val="none"/>
                <w:lang w:val="en-US" w:eastAsia="zh-CN"/>
              </w:rPr>
              <w:t>相关情况</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三</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数字医保</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w:t>
            </w:r>
            <w:r>
              <w:rPr>
                <w:rFonts w:hint="eastAsia" w:ascii="仿宋_GB2312" w:hAnsi="仿宋_GB2312" w:cs="仿宋_GB2312"/>
                <w:color w:val="auto"/>
                <w:sz w:val="24"/>
                <w:szCs w:val="24"/>
                <w:highlight w:val="none"/>
                <w:lang w:val="en-US" w:eastAsia="zh-CN"/>
              </w:rPr>
              <w:t>广西医保信息平台支撑</w:t>
            </w:r>
            <w:r>
              <w:rPr>
                <w:rFonts w:hint="eastAsia" w:ascii="仿宋_GB2312" w:hAnsi="仿宋_GB2312" w:eastAsia="仿宋_GB2312" w:cs="仿宋_GB2312"/>
                <w:color w:val="auto"/>
                <w:sz w:val="24"/>
                <w:szCs w:val="24"/>
                <w:highlight w:val="none"/>
                <w:lang w:val="en-US" w:eastAsia="zh-CN"/>
              </w:rPr>
              <w:t>全区各项医保业务开展运行情况（静态展示）</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四</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数字住建</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w:t>
            </w:r>
            <w:r>
              <w:rPr>
                <w:rFonts w:hint="eastAsia" w:ascii="仿宋_GB2312" w:hAnsi="仿宋_GB2312" w:eastAsia="仿宋_GB2312" w:cs="仿宋_GB2312"/>
                <w:color w:val="auto"/>
                <w:sz w:val="24"/>
                <w:szCs w:val="24"/>
                <w:highlight w:val="none"/>
                <w:lang w:val="en-US" w:eastAsia="zh-CN"/>
              </w:rPr>
              <w:t>广西工程建设项目审批监管平台</w:t>
            </w:r>
            <w:r>
              <w:rPr>
                <w:rFonts w:hint="eastAsia" w:ascii="仿宋_GB2312" w:hAnsi="仿宋_GB2312" w:cs="仿宋_GB2312"/>
                <w:color w:val="auto"/>
                <w:sz w:val="24"/>
                <w:szCs w:val="24"/>
                <w:highlight w:val="none"/>
                <w:lang w:val="en-US" w:eastAsia="zh-CN"/>
              </w:rPr>
              <w:t>相关情况。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五</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桂融会统一视频平台</w:t>
            </w:r>
          </w:p>
          <w:p>
            <w:pPr>
              <w:pStyle w:val="2"/>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内容覆盖桂融会统一视频平台相关情况。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六</w:t>
            </w:r>
            <w:r>
              <w:rPr>
                <w:rFonts w:hint="eastAsia" w:ascii="仿宋_GB2312" w:hAnsi="仿宋_GB2312" w:eastAsia="仿宋_GB2312" w:cs="仿宋_GB2312"/>
                <w:color w:val="auto"/>
                <w:sz w:val="24"/>
                <w:szCs w:val="24"/>
                <w:highlight w:val="none"/>
                <w:lang w:val="en-US" w:eastAsia="zh-CN"/>
              </w:rPr>
              <w:t>）面向东盟的数字政府合作</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内容覆盖广西企业为东盟国家建设的数字政府系统进展情况、用户数情况、活跃度情况、系统界面等。构建特色现代化产业体系和进行产业数字化实践的建设成果情况。</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cs="仿宋_GB2312"/>
                <w:kern w:val="2"/>
                <w:sz w:val="24"/>
                <w:szCs w:val="24"/>
                <w:highlight w:val="none"/>
                <w:lang w:val="en-US" w:eastAsia="zh-CN" w:bidi="ar-SA"/>
              </w:rPr>
              <w:t>7</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p>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数字开放合作展示</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设施联通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w:t>
            </w:r>
            <w:r>
              <w:rPr>
                <w:rFonts w:hint="eastAsia" w:ascii="仿宋_GB2312" w:hAnsi="仿宋_GB2312" w:cs="仿宋_GB2312"/>
                <w:color w:val="auto"/>
                <w:sz w:val="24"/>
                <w:szCs w:val="24"/>
                <w:highlight w:val="none"/>
                <w:lang w:val="en-US" w:eastAsia="zh-CN"/>
              </w:rPr>
              <w:t>本地及</w:t>
            </w:r>
            <w:r>
              <w:rPr>
                <w:rFonts w:hint="eastAsia" w:ascii="仿宋_GB2312" w:hAnsi="仿宋_GB2312" w:eastAsia="仿宋_GB2312" w:cs="仿宋_GB2312"/>
                <w:color w:val="auto"/>
                <w:sz w:val="24"/>
                <w:szCs w:val="24"/>
                <w:highlight w:val="none"/>
                <w:lang w:val="en-US" w:eastAsia="zh-CN"/>
              </w:rPr>
              <w:t>面向东盟方向的通信、遥感、算力、导航等数字基础设施建设情况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（一）通信基础设施</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内容覆盖通信方面的跨境陆地光缆、海缆、国际通信出入口局的建设情况。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（二）算力基础设施</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Cs w:val="0"/>
                <w:color w:val="auto"/>
                <w:sz w:val="24"/>
                <w:szCs w:val="24"/>
                <w:highlight w:val="none"/>
                <w:lang w:bidi="ar"/>
              </w:rPr>
            </w:pPr>
            <w:r>
              <w:rPr>
                <w:rFonts w:hint="eastAsia" w:ascii="仿宋_GB2312" w:hAnsi="仿宋_GB2312" w:eastAsia="仿宋_GB2312" w:cs="仿宋_GB2312"/>
                <w:color w:val="auto"/>
                <w:sz w:val="24"/>
                <w:szCs w:val="24"/>
                <w:highlight w:val="none"/>
                <w:lang w:val="en-US" w:eastAsia="zh-CN"/>
              </w:rPr>
              <w:t>内容覆盖由广西企业建设运营的面向东盟或在东盟国家运行的云数据中心布局情况，并接入数据中心算力数据信息。</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8</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p>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数字开放合作展示</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数据流通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体现广西进行大数据流通应用以及面向东盟的跨境数据流通试点成果情况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（一）大数据交易服务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内容覆盖北部湾大数据交易中心的建设和运营情况，包括交易规模、持牌机构排名、特色业务规程等内容。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（二）企业征信数据服务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内容覆盖中国-东盟跨境征信服务平台的建设和运营情况，包括服务境内企业数量、支撑融资规模等内容，以及提供东盟国家企业征信数据服务的跨境征信特色业务运营情况。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（三）跨境金融业务服务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Cs w:val="0"/>
                <w:color w:val="auto"/>
                <w:sz w:val="24"/>
                <w:szCs w:val="24"/>
                <w:highlight w:val="none"/>
                <w:lang w:bidi="ar"/>
              </w:rPr>
            </w:pPr>
            <w:r>
              <w:rPr>
                <w:rFonts w:hint="eastAsia" w:ascii="仿宋_GB2312" w:hAnsi="仿宋_GB2312" w:eastAsia="仿宋_GB2312" w:cs="仿宋_GB2312"/>
                <w:color w:val="auto"/>
                <w:sz w:val="24"/>
                <w:szCs w:val="24"/>
                <w:highlight w:val="none"/>
                <w:lang w:val="en-US" w:eastAsia="zh-CN"/>
              </w:rPr>
              <w:t>内容覆盖中银香港（南宁）东南亚业务营运中心业务概览。</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9</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数字开放合作展示</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经贸融通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体现广西落实打造国内国际双循环市场经营便利地和中国—东盟跨境产业合作示范区所进行的数字化应用成果</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（一）中国—东盟商贸通平台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内容覆盖：1）中国（广西）电子口岸单一窗口业务内容、关联国家情况、提升报关效率情况、支撑申报贸易额数据等；2）广西智慧口岸平台建设运营情况；3）边民互市互贸通平台建设运营情况。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（二）中国—东盟跨境电商服务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Cs w:val="0"/>
                <w:color w:val="auto"/>
                <w:sz w:val="24"/>
                <w:szCs w:val="24"/>
                <w:highlight w:val="none"/>
                <w:lang w:bidi="ar"/>
              </w:rPr>
            </w:pPr>
            <w:r>
              <w:rPr>
                <w:rFonts w:hint="eastAsia" w:ascii="仿宋_GB2312" w:hAnsi="仿宋_GB2312" w:eastAsia="仿宋_GB2312" w:cs="仿宋_GB2312"/>
                <w:color w:val="auto"/>
                <w:sz w:val="24"/>
                <w:szCs w:val="24"/>
                <w:highlight w:val="none"/>
                <w:lang w:val="en-US" w:eastAsia="zh-CN"/>
              </w:rPr>
              <w:t>内容覆盖中国-东盟跨境电商服务数据、特色商品等。</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10</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系统对接要求</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sz w:val="24"/>
                <w:szCs w:val="24"/>
                <w:highlight w:val="none"/>
                <w:lang w:val="en-US" w:eastAsia="zh-CN" w:bidi="ar"/>
              </w:rPr>
              <w:t>★</w:t>
            </w:r>
            <w:r>
              <w:rPr>
                <w:rFonts w:hint="eastAsia" w:ascii="仿宋_GB2312" w:hAnsi="仿宋_GB2312" w:eastAsia="仿宋_GB2312" w:cs="仿宋_GB2312"/>
                <w:color w:val="auto"/>
                <w:sz w:val="24"/>
                <w:szCs w:val="24"/>
                <w:highlight w:val="none"/>
                <w:lang w:val="en-US" w:eastAsia="zh-CN"/>
              </w:rPr>
              <w:t>led</w:t>
            </w:r>
            <w:r>
              <w:rPr>
                <w:rFonts w:hint="eastAsia" w:ascii="仿宋_GB2312" w:hAnsi="仿宋_GB2312" w:cs="仿宋_GB2312"/>
                <w:color w:val="auto"/>
                <w:sz w:val="24"/>
                <w:szCs w:val="24"/>
                <w:highlight w:val="none"/>
                <w:lang w:val="en-US" w:eastAsia="zh-CN"/>
              </w:rPr>
              <w:t>等</w:t>
            </w:r>
            <w:r>
              <w:rPr>
                <w:rFonts w:hint="eastAsia" w:ascii="仿宋_GB2312" w:hAnsi="仿宋_GB2312" w:eastAsia="仿宋_GB2312" w:cs="仿宋_GB2312"/>
                <w:color w:val="auto"/>
                <w:sz w:val="24"/>
                <w:szCs w:val="24"/>
                <w:highlight w:val="none"/>
                <w:lang w:val="en-US" w:eastAsia="zh-CN"/>
              </w:rPr>
              <w:t>可视化大屏展示的内容应满足系统数据对接要求，接口协议支持http、https、tcp等传输协议。</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167" w:type="dxa"/>
            <w:gridSpan w:val="5"/>
            <w:vAlign w:val="center"/>
          </w:tcPr>
          <w:p>
            <w:pPr>
              <w:keepNext w:val="0"/>
              <w:keepLines w:val="0"/>
              <w:pageBreakBefore w:val="0"/>
              <w:kinsoku/>
              <w:wordWrap/>
              <w:overflowPunct/>
              <w:topLinePunct w:val="0"/>
              <w:bidi w:val="0"/>
              <w:adjustRightInd w:val="0"/>
              <w:spacing w:line="360" w:lineRule="atLeast"/>
              <w:ind w:firstLine="0" w:firstLineChars="0"/>
              <w:jc w:val="left"/>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b/>
                <w:color w:val="auto"/>
                <w:sz w:val="24"/>
                <w:szCs w:val="24"/>
                <w:highlight w:val="none"/>
                <w:lang w:val="en-US" w:eastAsia="zh-CN"/>
              </w:rPr>
              <w:t>（二）</w:t>
            </w:r>
            <w:r>
              <w:rPr>
                <w:rFonts w:hint="eastAsia" w:ascii="仿宋_GB2312" w:hAnsi="仿宋_GB2312" w:eastAsia="仿宋_GB2312" w:cs="仿宋_GB2312"/>
                <w:b/>
                <w:color w:val="auto"/>
                <w:sz w:val="24"/>
                <w:szCs w:val="24"/>
                <w:highlight w:val="none"/>
                <w:lang w:val="en-US"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1</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报价要求</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本项目报价为完成采购人指定内容的整体包干价，包含但不限于实施和完成本项目全部工作所需的劳务费、技术服务费、评审费、交通、通讯、保险、税费和利润等项目有关一切费用。</w:t>
            </w:r>
          </w:p>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注：</w:t>
            </w:r>
          </w:p>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1.本项目为整体服务包干项目，报价中应包含所有服务内容，成交后采购人服务期内不再另行支付额外费用。</w:t>
            </w:r>
          </w:p>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2.供应商的报价≤采购预算（人民币</w:t>
            </w:r>
            <w:r>
              <w:rPr>
                <w:rFonts w:hint="eastAsia" w:ascii="仿宋_GB2312" w:hAnsi="仿宋_GB2312" w:cs="仿宋_GB2312"/>
                <w:color w:val="auto"/>
                <w:sz w:val="24"/>
                <w:szCs w:val="24"/>
                <w:highlight w:val="none"/>
                <w:lang w:val="en-US" w:eastAsia="zh-CN"/>
              </w:rPr>
              <w:t>91.70</w:t>
            </w:r>
            <w:r>
              <w:rPr>
                <w:rFonts w:hint="eastAsia" w:ascii="仿宋_GB2312" w:hAnsi="仿宋_GB2312" w:eastAsia="仿宋_GB2312" w:cs="仿宋_GB2312"/>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2</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服务期限及服务地点</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1.服务期限：自签订合同之日起至202</w:t>
            </w:r>
            <w:r>
              <w:rPr>
                <w:rFonts w:hint="eastAsia" w:ascii="仿宋_GB2312"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en-US" w:eastAsia="zh-CN"/>
              </w:rPr>
              <w:t>年</w:t>
            </w:r>
            <w:r>
              <w:rPr>
                <w:rFonts w:hint="eastAsia" w:ascii="仿宋_GB2312"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en-US" w:eastAsia="zh-CN"/>
              </w:rPr>
              <w:t>月3</w:t>
            </w:r>
            <w:r>
              <w:rPr>
                <w:rFonts w:hint="eastAsia" w:ascii="仿宋_GB2312" w:hAnsi="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lang w:val="en-US" w:eastAsia="zh-CN"/>
              </w:rPr>
              <w:t>日。</w:t>
            </w:r>
          </w:p>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2.服务地点：</w:t>
            </w:r>
            <w:r>
              <w:rPr>
                <w:rFonts w:hint="eastAsia" w:ascii="仿宋_GB2312" w:hAnsi="仿宋_GB2312" w:cs="仿宋_GB2312"/>
                <w:color w:val="auto"/>
                <w:sz w:val="24"/>
                <w:szCs w:val="24"/>
                <w:highlight w:val="none"/>
                <w:lang w:val="en-US" w:eastAsia="zh-CN"/>
              </w:rPr>
              <w:t>福建省福州海峡国际会展中心</w:t>
            </w:r>
            <w:r>
              <w:rPr>
                <w:rFonts w:hint="eastAsia" w:ascii="仿宋_GB2312" w:hAnsi="仿宋_GB2312" w:eastAsia="仿宋_GB2312" w:cs="仿宋_GB2312"/>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3</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服务运营保障</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展会期间配备2人以上运维人员，保障展示系统内容的现场运维工作。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4</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付款方式</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1.签订合同后10个工作日内支付首款（合同金额</w:t>
            </w:r>
            <w:r>
              <w:rPr>
                <w:rFonts w:hint="eastAsia" w:ascii="仿宋_GB2312" w:hAnsi="仿宋_GB2312" w:cs="仿宋_GB2312"/>
                <w:color w:val="auto"/>
                <w:sz w:val="24"/>
                <w:szCs w:val="24"/>
                <w:highlight w:val="none"/>
                <w:lang w:val="en-US" w:eastAsia="zh-CN"/>
              </w:rPr>
              <w:t>40</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通过验收后的10个工作日内支付尾款（合同金额</w:t>
            </w:r>
            <w:r>
              <w:rPr>
                <w:rFonts w:hint="eastAsia" w:ascii="仿宋_GB2312" w:hAnsi="仿宋_GB2312" w:cs="仿宋_GB2312"/>
                <w:color w:val="auto"/>
                <w:sz w:val="24"/>
                <w:szCs w:val="24"/>
                <w:highlight w:val="none"/>
                <w:lang w:val="en-US" w:eastAsia="zh-CN"/>
              </w:rPr>
              <w:t>60%</w:t>
            </w:r>
            <w:r>
              <w:rPr>
                <w:rFonts w:hint="eastAsia" w:ascii="仿宋_GB2312" w:hAnsi="仿宋_GB2312" w:eastAsia="仿宋_GB2312" w:cs="仿宋_GB2312"/>
                <w:color w:val="auto"/>
                <w:sz w:val="24"/>
                <w:szCs w:val="24"/>
                <w:highlight w:val="none"/>
                <w:lang w:val="en-US" w:eastAsia="zh-CN"/>
              </w:rPr>
              <w:t>）。每次付款前，中标供应商必须提供请款函和等额正规合法发票。</w:t>
            </w:r>
          </w:p>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2.合同总金额包含项目开展过程中产生的一切费用（包括项目实施过程中增加的设备、辅料、评审等所有费用）。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5</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cs="仿宋_GB2312"/>
                <w:sz w:val="24"/>
                <w:szCs w:val="24"/>
                <w:highlight w:val="none"/>
                <w:lang w:val="en-US" w:eastAsia="zh-CN"/>
              </w:rPr>
              <w:t>其他要求</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1.供应商对采购文件的项目要求应完全响应，如果存在虚假响应或者是虚假承诺，由此造成的一切后果由供应商承担。</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2.未经采购人允许，不得使用或以其它方式给任何第三方提供本项目的相关信息或数据。</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zh-CN" w:eastAsia="zh-CN"/>
              </w:rPr>
              <w:t>成交供应商在服务期内应当为采购人提供以下技术支持和咨询服务：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（1）电话咨询</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成交供应商应当为采购人提供技术援助电话，解答采购人在使用中遇到的问题，及时为采购人提出解决问题的建议。</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（2）现场响应</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采购人遇到使用或技术问题，电话咨询不能解决的，成交供应商应在</w:t>
            </w:r>
            <w:r>
              <w:rPr>
                <w:rFonts w:hint="eastAsia" w:ascii="仿宋_GB2312" w:hAnsi="仿宋_GB2312" w:eastAsia="仿宋_GB2312" w:cs="仿宋_GB2312"/>
                <w:color w:val="auto"/>
                <w:sz w:val="24"/>
                <w:szCs w:val="24"/>
                <w:highlight w:val="none"/>
                <w:lang w:val="en-US" w:eastAsia="zh-CN"/>
              </w:rPr>
              <w:t>加派相关技术人员到达现场进行</w:t>
            </w:r>
            <w:r>
              <w:rPr>
                <w:rFonts w:hint="eastAsia" w:ascii="仿宋_GB2312" w:hAnsi="仿宋_GB2312" w:eastAsia="仿宋_GB2312" w:cs="仿宋_GB2312"/>
                <w:color w:val="auto"/>
                <w:sz w:val="24"/>
                <w:szCs w:val="24"/>
                <w:highlight w:val="none"/>
                <w:lang w:val="zh-CN" w:eastAsia="zh-CN"/>
              </w:rPr>
              <w:t>处理，</w:t>
            </w:r>
            <w:r>
              <w:rPr>
                <w:rFonts w:hint="eastAsia" w:ascii="仿宋_GB2312" w:hAnsi="仿宋_GB2312" w:eastAsia="仿宋_GB2312" w:cs="仿宋_GB2312"/>
                <w:color w:val="auto"/>
                <w:sz w:val="24"/>
                <w:szCs w:val="24"/>
                <w:highlight w:val="none"/>
                <w:lang w:val="en-US" w:eastAsia="zh-CN"/>
              </w:rPr>
              <w:t>保证设备</w:t>
            </w:r>
            <w:r>
              <w:rPr>
                <w:rFonts w:hint="eastAsia" w:ascii="仿宋_GB2312" w:hAnsi="仿宋_GB2312" w:eastAsia="仿宋_GB2312" w:cs="仿宋_GB2312"/>
                <w:color w:val="auto"/>
                <w:sz w:val="24"/>
                <w:szCs w:val="24"/>
                <w:highlight w:val="none"/>
                <w:lang w:val="zh-CN" w:eastAsia="zh-CN"/>
              </w:rPr>
              <w:t>正常使用。</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en-US" w:eastAsia="zh-CN"/>
              </w:rPr>
              <w:t>.供应商可按照采购需求在竞标文件中提供详细、科学、可行的</w:t>
            </w:r>
            <w:r>
              <w:rPr>
                <w:rFonts w:hint="eastAsia" w:ascii="仿宋_GB2312" w:hAnsi="仿宋_GB2312" w:cs="仿宋_GB2312"/>
                <w:color w:val="auto"/>
                <w:sz w:val="24"/>
                <w:szCs w:val="24"/>
                <w:highlight w:val="none"/>
                <w:lang w:val="en-US" w:eastAsia="zh-CN"/>
              </w:rPr>
              <w:t>项目实施方案</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现场保障服务方案、</w:t>
            </w:r>
            <w:r>
              <w:rPr>
                <w:rFonts w:hint="eastAsia" w:ascii="仿宋_GB2312" w:hAnsi="仿宋_GB2312" w:eastAsia="仿宋_GB2312" w:cs="仿宋_GB2312"/>
                <w:color w:val="auto"/>
                <w:sz w:val="24"/>
                <w:szCs w:val="24"/>
                <w:highlight w:val="none"/>
                <w:lang w:val="en-US" w:eastAsia="zh-CN"/>
              </w:rPr>
              <w:t>可投入人员安排等内容）。供应商如有可在竞标文件中提供服务承诺以及与本项目相关的信誉、业绩、奖项等证明材料。</w:t>
            </w:r>
          </w:p>
        </w:tc>
      </w:tr>
    </w:tbl>
    <w:p>
      <w:pPr>
        <w:bidi w:val="0"/>
        <w:rPr>
          <w:rFonts w:hint="eastAsia"/>
          <w:highlight w:val="none"/>
        </w:rPr>
      </w:pPr>
    </w:p>
    <w:p>
      <w:pPr>
        <w:rPr>
          <w:rFonts w:hint="eastAsia"/>
          <w:highlight w:val="none"/>
          <w:lang w:val="en-US" w:eastAsia="zh-CN"/>
        </w:rPr>
      </w:pPr>
      <w:r>
        <w:rPr>
          <w:rFonts w:hint="eastAsia"/>
          <w:highlight w:val="none"/>
          <w:lang w:val="en-US" w:eastAsia="zh-CN"/>
        </w:rPr>
        <w:br w:type="page"/>
      </w:r>
    </w:p>
    <w:p>
      <w:pPr>
        <w:bidi w:val="0"/>
        <w:ind w:left="0" w:leftChars="0" w:firstLine="0" w:firstLineChars="0"/>
        <w:rPr>
          <w:rFonts w:hint="default"/>
          <w:highlight w:val="none"/>
          <w:lang w:val="en-US" w:eastAsia="zh-CN"/>
        </w:rPr>
      </w:pPr>
    </w:p>
    <w:p>
      <w:pPr>
        <w:pStyle w:val="3"/>
        <w:numPr>
          <w:ilvl w:val="0"/>
          <w:numId w:val="0"/>
        </w:numPr>
        <w:bidi w:val="0"/>
        <w:ind w:leftChars="200"/>
        <w:jc w:val="center"/>
        <w:rPr>
          <w:rFonts w:ascii="方正小标宋简体" w:hAnsi="方正小标宋简体" w:eastAsia="方正小标宋简体" w:cs="方正小标宋简体"/>
          <w:b w:val="0"/>
          <w:bCs w:val="0"/>
          <w:color w:val="000000"/>
          <w:sz w:val="36"/>
          <w:szCs w:val="36"/>
          <w:highlight w:val="none"/>
        </w:rPr>
      </w:pPr>
      <w:r>
        <w:rPr>
          <w:rFonts w:hint="eastAsia" w:ascii="方正小标宋简体" w:hAnsi="方正小标宋简体" w:cs="方正小标宋简体"/>
          <w:b w:val="0"/>
          <w:bCs w:val="0"/>
          <w:sz w:val="36"/>
          <w:szCs w:val="36"/>
          <w:highlight w:val="none"/>
          <w:lang w:val="en-US" w:eastAsia="zh-CN"/>
        </w:rPr>
        <w:t xml:space="preserve">第二部分  </w:t>
      </w:r>
      <w:r>
        <w:rPr>
          <w:rFonts w:hint="default" w:ascii="方正小标宋简体" w:hAnsi="方正小标宋简体" w:eastAsia="方正小标宋简体" w:cs="方正小标宋简体"/>
          <w:b w:val="0"/>
          <w:bCs w:val="0"/>
          <w:sz w:val="36"/>
          <w:szCs w:val="36"/>
          <w:highlight w:val="none"/>
          <w:lang w:val="en-US" w:eastAsia="zh-CN"/>
        </w:rPr>
        <w:t>采购评分标准</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eastAsia"/>
          <w:b w:val="0"/>
          <w:bCs/>
          <w:highlight w:val="none"/>
          <w:lang w:val="en-US" w:eastAsia="zh-CN"/>
        </w:rPr>
      </w:pP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eastAsia" w:ascii="Times New Roman" w:hAnsi="Times New Roman"/>
          <w:b w:val="0"/>
          <w:bCs/>
          <w:highlight w:val="none"/>
          <w:lang w:val="en-US" w:eastAsia="zh-CN"/>
        </w:rPr>
      </w:pPr>
      <w:r>
        <w:rPr>
          <w:rFonts w:hint="eastAsia"/>
          <w:b w:val="0"/>
          <w:bCs/>
          <w:highlight w:val="none"/>
          <w:lang w:val="en-US" w:eastAsia="zh-CN"/>
        </w:rPr>
        <w:t>一、</w:t>
      </w:r>
      <w:r>
        <w:rPr>
          <w:rFonts w:hint="eastAsia" w:ascii="Times New Roman" w:hAnsi="Times New Roman"/>
          <w:b w:val="0"/>
          <w:bCs/>
          <w:highlight w:val="none"/>
          <w:lang w:val="en-US" w:eastAsia="zh-CN"/>
        </w:rPr>
        <w:t>评审原则</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eastAsia"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一</w:t>
      </w:r>
      <w:r>
        <w:rPr>
          <w:rFonts w:hint="eastAsia"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评审小组构成：本项目的评审小组由采购人单位采购小组成员组成，成员人数应当为三人以上（含三人）单数。</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eastAsia"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二</w:t>
      </w:r>
      <w:r>
        <w:rPr>
          <w:rFonts w:hint="eastAsia"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评审依据：评审小组将以采购文件和响应文件为评定依据进行评审。</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eastAsia"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三</w:t>
      </w:r>
      <w:r>
        <w:rPr>
          <w:rFonts w:hint="eastAsia"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评审办法：采用百分制综合评分法。</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eastAsia" w:ascii="Times New Roman" w:hAnsi="Times New Roman"/>
          <w:b w:val="0"/>
          <w:bCs/>
          <w:highlight w:val="none"/>
          <w:lang w:val="en-US" w:eastAsia="zh-CN"/>
        </w:rPr>
      </w:pPr>
      <w:r>
        <w:rPr>
          <w:rFonts w:hint="eastAsia"/>
          <w:b w:val="0"/>
          <w:bCs/>
          <w:highlight w:val="none"/>
          <w:lang w:val="en-US" w:eastAsia="zh-CN"/>
        </w:rPr>
        <w:t>二、</w:t>
      </w:r>
      <w:r>
        <w:rPr>
          <w:rFonts w:hint="eastAsia" w:ascii="Times New Roman" w:hAnsi="Times New Roman"/>
          <w:b w:val="0"/>
          <w:bCs/>
          <w:highlight w:val="none"/>
          <w:lang w:val="en-US" w:eastAsia="zh-CN"/>
        </w:rPr>
        <w:t>评审方法</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评审小组会对报价人的响应文件资格性和符合性进行检查，对合格的响应文件，采用百分制综合评分法进行评审。评审小组将以采购文件、响应文件为评审依据，提出最后总得分最高的报价人作为成交人。</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default" w:ascii="Times New Roman" w:hAnsi="Times New Roman"/>
          <w:b w:val="0"/>
          <w:bCs/>
          <w:highlight w:val="none"/>
          <w:lang w:val="en-US" w:eastAsia="zh-CN"/>
        </w:rPr>
      </w:pPr>
      <w:r>
        <w:rPr>
          <w:rFonts w:hint="eastAsia"/>
          <w:b w:val="0"/>
          <w:bCs/>
          <w:highlight w:val="none"/>
          <w:lang w:val="en-US" w:eastAsia="zh-CN"/>
        </w:rPr>
        <w:t>三、</w:t>
      </w:r>
      <w:r>
        <w:rPr>
          <w:rFonts w:hint="eastAsia" w:ascii="Times New Roman" w:hAnsi="Times New Roman"/>
          <w:b w:val="0"/>
          <w:bCs/>
          <w:highlight w:val="none"/>
          <w:lang w:val="en-US" w:eastAsia="zh-CN"/>
        </w:rPr>
        <w:t>评分标准</w:t>
      </w:r>
    </w:p>
    <w:tbl>
      <w:tblPr>
        <w:tblStyle w:val="25"/>
        <w:tblW w:w="4996" w:type="pct"/>
        <w:tblInd w:w="0" w:type="dxa"/>
        <w:tblLayout w:type="fixed"/>
        <w:tblCellMar>
          <w:top w:w="0" w:type="dxa"/>
          <w:left w:w="108" w:type="dxa"/>
          <w:bottom w:w="0" w:type="dxa"/>
          <w:right w:w="108" w:type="dxa"/>
        </w:tblCellMar>
      </w:tblPr>
      <w:tblGrid>
        <w:gridCol w:w="807"/>
        <w:gridCol w:w="1251"/>
        <w:gridCol w:w="6202"/>
        <w:gridCol w:w="907"/>
      </w:tblGrid>
      <w:tr>
        <w:tblPrEx>
          <w:tblCellMar>
            <w:top w:w="0" w:type="dxa"/>
            <w:left w:w="108" w:type="dxa"/>
            <w:bottom w:w="0" w:type="dxa"/>
            <w:right w:w="108" w:type="dxa"/>
          </w:tblCellMar>
        </w:tblPrEx>
        <w:trPr>
          <w:trHeight w:val="552" w:hRule="atLeast"/>
          <w:tblHead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rPr>
              <w:t>序号</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rPr>
              <w:t>类别</w:t>
            </w:r>
          </w:p>
        </w:tc>
        <w:tc>
          <w:tcPr>
            <w:tcW w:w="62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rPr>
              <w:t>评分标准</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firstLine="0" w:firstLineChars="0"/>
              <w:jc w:val="center"/>
              <w:textAlignment w:val="auto"/>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rPr>
              <w:t>分值</w:t>
            </w:r>
          </w:p>
        </w:tc>
      </w:tr>
      <w:tr>
        <w:tblPrEx>
          <w:tblCellMar>
            <w:top w:w="0" w:type="dxa"/>
            <w:left w:w="108" w:type="dxa"/>
            <w:bottom w:w="0" w:type="dxa"/>
            <w:right w:w="108" w:type="dxa"/>
          </w:tblCellMar>
        </w:tblPrEx>
        <w:trPr>
          <w:trHeight w:val="611" w:hRule="atLeast"/>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价格部分</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rPr>
              <w:t>（满分</w:t>
            </w:r>
            <w:r>
              <w:rPr>
                <w:rFonts w:hint="eastAsia" w:ascii="仿宋_GB2312" w:hAnsi="仿宋_GB2312" w:cs="仿宋_GB2312"/>
                <w:b/>
                <w:bCs/>
                <w:sz w:val="24"/>
                <w:szCs w:val="24"/>
                <w:highlight w:val="none"/>
                <w:lang w:val="en-US" w:eastAsia="zh-CN"/>
              </w:rPr>
              <w:t>3</w:t>
            </w:r>
            <w:r>
              <w:rPr>
                <w:rFonts w:hint="eastAsia" w:ascii="仿宋_GB2312" w:hAnsi="仿宋_GB2312" w:eastAsia="仿宋_GB2312" w:cs="仿宋_GB2312"/>
                <w:b/>
                <w:bCs/>
                <w:sz w:val="24"/>
                <w:szCs w:val="24"/>
                <w:highlight w:val="none"/>
              </w:rPr>
              <w:t>0分）</w:t>
            </w:r>
          </w:p>
        </w:tc>
        <w:tc>
          <w:tcPr>
            <w:tcW w:w="620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（1）评标价为投标人的投标报价进行政策性扣除后的价格，评标价只是作为评标时使用。最终中标供应商的中标金额＝投标报价。</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2）按照《政府采购促进中小企业发展管理办法》（财库〔2020〕46号）、《广西壮族自治区财政厅关于贯彻落实政府采购支持中小企业发展政策的通知》（桂财采〔2022〕31号）的规定，投标人在其投标文件中提供《中小企业声明函》，且其所投标产品全部为小型或者微型企业产品的，对其最后报价给予20%的扣除。</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（5）政策性扣除计算方法。</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在货物采购项目中，供应商所投标全部货物由小型或者微型企业制造；在工程采购项目中，工程由小微企业承建；在服务采购项目中，服务由小微企业承接。对符合上述要求的投标人的投标报价给予</w:t>
            </w:r>
            <w:r>
              <w:rPr>
                <w:rFonts w:hint="eastAsia" w:ascii="仿宋_GB2312" w:hAnsi="仿宋_GB2312" w:eastAsia="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0%的扣除，扣除后的价格为评标报价，即评标报价=投标报价×（1-</w:t>
            </w:r>
            <w:r>
              <w:rPr>
                <w:rFonts w:hint="eastAsia" w:ascii="仿宋_GB2312" w:hAnsi="仿宋_GB2312" w:eastAsia="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0%）。除上述情况外，评标报价=投标报价。</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（6）以进入综合评分环节的最低的评标报价为基准价，基准价报价得分为</w:t>
            </w:r>
            <w:r>
              <w:rPr>
                <w:rFonts w:hint="eastAsia" w:ascii="仿宋_GB2312" w:hAnsi="仿宋_GB2312" w:cs="仿宋_GB2312"/>
                <w:sz w:val="24"/>
                <w:szCs w:val="24"/>
                <w:highlight w:val="none"/>
                <w:lang w:val="en-US" w:eastAsia="zh-CN" w:bidi="ar"/>
              </w:rPr>
              <w:t>30</w:t>
            </w:r>
            <w:r>
              <w:rPr>
                <w:rFonts w:hint="eastAsia" w:ascii="仿宋_GB2312" w:hAnsi="仿宋_GB2312" w:eastAsia="仿宋_GB2312" w:cs="仿宋_GB2312"/>
                <w:sz w:val="24"/>
                <w:szCs w:val="24"/>
                <w:highlight w:val="none"/>
                <w:lang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bidi="ar"/>
              </w:rPr>
              <w:t>（7）价格分计算公式：某投标人价格分=基准价/某投标人评标报价金额×</w:t>
            </w:r>
            <w:r>
              <w:rPr>
                <w:rFonts w:hint="eastAsia" w:ascii="仿宋_GB2312" w:hAnsi="仿宋_GB2312" w:cs="仿宋_GB2312"/>
                <w:sz w:val="24"/>
                <w:szCs w:val="24"/>
                <w:highlight w:val="none"/>
                <w:lang w:val="en-US" w:eastAsia="zh-CN" w:bidi="ar"/>
              </w:rPr>
              <w:t>3</w:t>
            </w:r>
            <w:r>
              <w:rPr>
                <w:rFonts w:hint="eastAsia" w:ascii="仿宋_GB2312" w:hAnsi="仿宋_GB2312" w:eastAsia="仿宋_GB2312" w:cs="仿宋_GB2312"/>
                <w:sz w:val="24"/>
                <w:szCs w:val="24"/>
                <w:highlight w:val="none"/>
                <w:lang w:bidi="ar"/>
              </w:rPr>
              <w:t>0分</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top"/>
              <w:rPr>
                <w:rFonts w:hint="eastAsia" w:ascii="仿宋_GB2312" w:hAnsi="仿宋_GB2312" w:eastAsia="仿宋_GB2312" w:cs="仿宋_GB2312"/>
                <w:b/>
                <w:bCs/>
                <w:sz w:val="24"/>
                <w:szCs w:val="24"/>
                <w:highlight w:val="none"/>
                <w:lang w:bidi="ar"/>
              </w:rPr>
            </w:pPr>
            <w:r>
              <w:rPr>
                <w:rFonts w:hint="eastAsia" w:ascii="仿宋_GB2312" w:hAnsi="仿宋_GB2312" w:cs="仿宋_GB2312"/>
                <w:b/>
                <w:bCs/>
                <w:sz w:val="24"/>
                <w:szCs w:val="24"/>
                <w:highlight w:val="none"/>
                <w:lang w:val="en-US" w:eastAsia="zh-CN" w:bidi="ar"/>
              </w:rPr>
              <w:t>3</w:t>
            </w:r>
            <w:r>
              <w:rPr>
                <w:rFonts w:hint="eastAsia" w:ascii="仿宋_GB2312" w:hAnsi="仿宋_GB2312" w:eastAsia="仿宋_GB2312" w:cs="仿宋_GB2312"/>
                <w:b/>
                <w:bCs/>
                <w:sz w:val="24"/>
                <w:szCs w:val="24"/>
                <w:highlight w:val="none"/>
                <w:lang w:bidi="ar"/>
              </w:rPr>
              <w:t>0</w:t>
            </w:r>
            <w:r>
              <w:rPr>
                <w:rFonts w:hint="eastAsia" w:ascii="仿宋_GB2312" w:hAnsi="仿宋_GB2312" w:eastAsia="仿宋_GB2312" w:cs="仿宋_GB2312"/>
                <w:b/>
                <w:bCs/>
                <w:sz w:val="24"/>
                <w:szCs w:val="24"/>
                <w:highlight w:val="none"/>
              </w:rPr>
              <w:t>分</w:t>
            </w:r>
          </w:p>
        </w:tc>
      </w:tr>
      <w:tr>
        <w:tblPrEx>
          <w:tblCellMar>
            <w:top w:w="0" w:type="dxa"/>
            <w:left w:w="108" w:type="dxa"/>
            <w:bottom w:w="0" w:type="dxa"/>
            <w:right w:w="108" w:type="dxa"/>
          </w:tblCellMar>
        </w:tblPrEx>
        <w:trPr>
          <w:trHeight w:val="395" w:hRule="atLeast"/>
        </w:trPr>
        <w:tc>
          <w:tcPr>
            <w:tcW w:w="80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lang w:bidi="ar"/>
              </w:rPr>
              <w:t>2</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bidi="ar"/>
              </w:rPr>
              <w:t>技术部分</w:t>
            </w:r>
          </w:p>
        </w:tc>
        <w:tc>
          <w:tcPr>
            <w:tcW w:w="71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top"/>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评分标准</w:t>
            </w:r>
          </w:p>
        </w:tc>
      </w:tr>
      <w:tr>
        <w:tblPrEx>
          <w:tblCellMar>
            <w:top w:w="0" w:type="dxa"/>
            <w:left w:w="108" w:type="dxa"/>
            <w:bottom w:w="0" w:type="dxa"/>
            <w:right w:w="108" w:type="dxa"/>
          </w:tblCellMar>
        </w:tblPrEx>
        <w:trPr>
          <w:trHeight w:val="430" w:hRule="atLeast"/>
        </w:trPr>
        <w:tc>
          <w:tcPr>
            <w:tcW w:w="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lang w:bidi="ar"/>
              </w:rPr>
              <w:t>2.1</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技术参数分（满分</w:t>
            </w:r>
            <w:r>
              <w:rPr>
                <w:rFonts w:hint="eastAsia" w:ascii="仿宋_GB2312" w:hAnsi="仿宋_GB2312" w:cs="仿宋_GB2312"/>
                <w:b/>
                <w:bCs/>
                <w:sz w:val="24"/>
                <w:szCs w:val="24"/>
                <w:highlight w:val="none"/>
                <w:lang w:val="en-US" w:eastAsia="zh-CN"/>
              </w:rPr>
              <w:t>10</w:t>
            </w:r>
            <w:r>
              <w:rPr>
                <w:rFonts w:hint="eastAsia" w:ascii="仿宋_GB2312" w:hAnsi="仿宋_GB2312" w:eastAsia="仿宋_GB2312" w:cs="仿宋_GB2312"/>
                <w:b/>
                <w:bCs/>
                <w:sz w:val="24"/>
                <w:szCs w:val="24"/>
                <w:highlight w:val="none"/>
              </w:rPr>
              <w:t>分）</w:t>
            </w:r>
          </w:p>
        </w:tc>
        <w:tc>
          <w:tcPr>
            <w:tcW w:w="6202" w:type="dxa"/>
            <w:tcBorders>
              <w:top w:val="single" w:color="auto" w:sz="4" w:space="0"/>
              <w:left w:val="single" w:color="auto" w:sz="4" w:space="0"/>
              <w:bottom w:val="single" w:color="auto" w:sz="4" w:space="0"/>
              <w:right w:val="single" w:color="auto" w:sz="4" w:space="0"/>
            </w:tcBorders>
            <w:vAlign w:val="center"/>
          </w:tcPr>
          <w:p>
            <w:pPr>
              <w:pStyle w:val="5"/>
              <w:keepNext/>
              <w:keepLines/>
              <w:pageBreakBefore w:val="0"/>
              <w:widowControl/>
              <w:numPr>
                <w:ilvl w:val="2"/>
                <w:numId w:val="0"/>
              </w:numPr>
              <w:kinsoku/>
              <w:wordWrap/>
              <w:overflowPunct/>
              <w:topLinePunct w:val="0"/>
              <w:autoSpaceDE/>
              <w:autoSpaceDN/>
              <w:bidi w:val="0"/>
              <w:adjustRightInd w:val="0"/>
              <w:snapToGrid w:val="0"/>
              <w:spacing w:line="400" w:lineRule="exact"/>
              <w:textAlignment w:val="auto"/>
              <w:rPr>
                <w:rFonts w:hint="eastAsia"/>
                <w:sz w:val="24"/>
                <w:szCs w:val="24"/>
                <w:highlight w:val="none"/>
              </w:rPr>
            </w:pPr>
            <w:r>
              <w:rPr>
                <w:rFonts w:hint="eastAsia" w:ascii="仿宋_GB2312" w:hAnsi="仿宋_GB2312" w:eastAsia="仿宋_GB2312" w:cs="仿宋_GB2312"/>
                <w:b w:val="0"/>
                <w:sz w:val="24"/>
                <w:szCs w:val="24"/>
                <w:highlight w:val="none"/>
                <w:lang w:val="en-US" w:eastAsia="zh-CN" w:bidi="ar"/>
              </w:rPr>
              <w:t>全部满足《三、服务内容》全部内容的得满分10分；</w:t>
            </w:r>
            <w:r>
              <w:rPr>
                <w:rFonts w:hint="eastAsia" w:ascii="仿宋_GB2312" w:hAnsi="仿宋_GB2312" w:cs="仿宋_GB2312"/>
                <w:b w:val="0"/>
                <w:sz w:val="24"/>
                <w:szCs w:val="24"/>
                <w:highlight w:val="none"/>
                <w:lang w:val="en-US" w:eastAsia="zh-CN" w:bidi="ar"/>
              </w:rPr>
              <w:t>针对</w:t>
            </w:r>
            <w:r>
              <w:rPr>
                <w:rFonts w:hint="eastAsia" w:ascii="仿宋_GB2312" w:hAnsi="仿宋_GB2312" w:eastAsia="仿宋_GB2312" w:cs="仿宋_GB2312"/>
                <w:b w:val="0"/>
                <w:sz w:val="24"/>
                <w:szCs w:val="24"/>
                <w:highlight w:val="none"/>
                <w:lang w:val="en-US" w:eastAsia="zh-CN" w:bidi="ar"/>
              </w:rPr>
              <w:t>关键条款(标★条款)投标人应对需求背景、需求建设内容等进行详细描述。非标★条款若响应人响应结果为“不满足”或“部分满足”的均为负偏离,若非标★条款负偏离超过</w:t>
            </w:r>
            <w:r>
              <w:rPr>
                <w:rFonts w:hint="eastAsia" w:ascii="仿宋_GB2312" w:hAnsi="仿宋_GB2312" w:cs="仿宋_GB2312"/>
                <w:b w:val="0"/>
                <w:sz w:val="24"/>
                <w:szCs w:val="24"/>
                <w:highlight w:val="none"/>
                <w:lang w:val="en-US" w:eastAsia="zh-CN" w:bidi="ar"/>
              </w:rPr>
              <w:t>3</w:t>
            </w:r>
            <w:r>
              <w:rPr>
                <w:rFonts w:hint="eastAsia" w:ascii="仿宋_GB2312" w:hAnsi="仿宋_GB2312" w:eastAsia="仿宋_GB2312" w:cs="仿宋_GB2312"/>
                <w:b w:val="0"/>
                <w:sz w:val="24"/>
                <w:szCs w:val="24"/>
                <w:highlight w:val="none"/>
                <w:lang w:val="en-US" w:eastAsia="zh-CN" w:bidi="ar"/>
              </w:rPr>
              <w:t>条及以上，响应无效。</w:t>
            </w:r>
          </w:p>
        </w:tc>
        <w:tc>
          <w:tcPr>
            <w:tcW w:w="907" w:type="dxa"/>
            <w:tcBorders>
              <w:top w:val="single" w:color="000000"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cs="仿宋_GB2312"/>
                <w:b/>
                <w:bCs/>
                <w:sz w:val="24"/>
                <w:szCs w:val="24"/>
                <w:highlight w:val="none"/>
                <w:lang w:val="en-US" w:eastAsia="zh-CN" w:bidi="ar"/>
              </w:rPr>
              <w:t>10</w:t>
            </w:r>
            <w:r>
              <w:rPr>
                <w:rFonts w:hint="eastAsia" w:ascii="仿宋_GB2312" w:hAnsi="仿宋_GB2312" w:eastAsia="仿宋_GB2312" w:cs="仿宋_GB2312"/>
                <w:b/>
                <w:bCs/>
                <w:sz w:val="24"/>
                <w:szCs w:val="24"/>
                <w:highlight w:val="none"/>
                <w:lang w:bidi="ar"/>
              </w:rPr>
              <w:t>分</w:t>
            </w:r>
          </w:p>
        </w:tc>
      </w:tr>
      <w:tr>
        <w:tblPrEx>
          <w:tblCellMar>
            <w:top w:w="0" w:type="dxa"/>
            <w:left w:w="108" w:type="dxa"/>
            <w:bottom w:w="0" w:type="dxa"/>
            <w:right w:w="108" w:type="dxa"/>
          </w:tblCellMar>
        </w:tblPrEx>
        <w:trPr>
          <w:trHeight w:val="285" w:hRule="atLeast"/>
        </w:trPr>
        <w:tc>
          <w:tcPr>
            <w:tcW w:w="8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lang w:bidi="ar"/>
              </w:rPr>
              <w:t>2.2</w:t>
            </w:r>
          </w:p>
        </w:tc>
        <w:tc>
          <w:tcPr>
            <w:tcW w:w="12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项目实施方案</w:t>
            </w:r>
            <w:r>
              <w:rPr>
                <w:rFonts w:hint="eastAsia" w:ascii="仿宋_GB2312" w:hAnsi="仿宋_GB2312" w:eastAsia="仿宋_GB2312" w:cs="仿宋_GB2312"/>
                <w:b/>
                <w:bCs/>
                <w:sz w:val="24"/>
                <w:szCs w:val="24"/>
                <w:highlight w:val="none"/>
                <w:lang w:bidi="ar"/>
              </w:rPr>
              <w:t>（满分</w:t>
            </w:r>
            <w:r>
              <w:rPr>
                <w:rFonts w:hint="eastAsia" w:ascii="仿宋_GB2312" w:hAnsi="仿宋_GB2312" w:cs="仿宋_GB2312"/>
                <w:b/>
                <w:bCs/>
                <w:sz w:val="24"/>
                <w:szCs w:val="24"/>
                <w:highlight w:val="none"/>
                <w:lang w:val="en-US" w:eastAsia="zh-CN" w:bidi="ar"/>
              </w:rPr>
              <w:t>13</w:t>
            </w:r>
            <w:r>
              <w:rPr>
                <w:rFonts w:hint="eastAsia" w:ascii="仿宋_GB2312" w:hAnsi="仿宋_GB2312" w:eastAsia="仿宋_GB2312" w:cs="仿宋_GB2312"/>
                <w:b/>
                <w:bCs/>
                <w:sz w:val="24"/>
                <w:szCs w:val="24"/>
                <w:highlight w:val="none"/>
                <w:lang w:bidi="ar"/>
              </w:rPr>
              <w:t>分）</w:t>
            </w:r>
          </w:p>
        </w:tc>
        <w:tc>
          <w:tcPr>
            <w:tcW w:w="6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一档（</w:t>
            </w:r>
            <w:r>
              <w:rPr>
                <w:rFonts w:hint="eastAsia" w:ascii="仿宋_GB2312" w:hAnsi="仿宋_GB2312" w:cs="仿宋_GB2312"/>
                <w:sz w:val="24"/>
                <w:szCs w:val="24"/>
                <w:highlight w:val="none"/>
                <w:lang w:val="en-US" w:eastAsia="zh-CN" w:bidi="ar"/>
              </w:rPr>
              <w:t>3</w:t>
            </w:r>
            <w:r>
              <w:rPr>
                <w:rFonts w:hint="eastAsia" w:ascii="仿宋_GB2312" w:hAnsi="仿宋_GB2312" w:eastAsia="仿宋_GB2312" w:cs="仿宋_GB2312"/>
                <w:sz w:val="24"/>
                <w:szCs w:val="24"/>
                <w:highlight w:val="none"/>
                <w:lang w:bidi="ar"/>
              </w:rPr>
              <w:t>分）：</w:t>
            </w:r>
            <w:r>
              <w:rPr>
                <w:rFonts w:hint="eastAsia" w:ascii="仿宋_GB2312" w:hAnsi="仿宋_GB2312" w:eastAsia="仿宋_GB2312" w:cs="仿宋_GB2312"/>
                <w:sz w:val="24"/>
                <w:szCs w:val="24"/>
                <w:highlight w:val="none"/>
              </w:rPr>
              <w:t>投标人提供有</w:t>
            </w:r>
            <w:r>
              <w:rPr>
                <w:rFonts w:hint="eastAsia" w:ascii="仿宋_GB2312" w:hAnsi="仿宋_GB2312" w:cs="仿宋_GB2312"/>
                <w:sz w:val="24"/>
                <w:szCs w:val="24"/>
                <w:highlight w:val="none"/>
                <w:lang w:eastAsia="zh-CN"/>
              </w:rPr>
              <w:t>宣传内容制作和系统接入</w:t>
            </w:r>
            <w:r>
              <w:rPr>
                <w:rFonts w:hint="eastAsia" w:ascii="仿宋_GB2312" w:hAnsi="仿宋_GB2312" w:eastAsia="仿宋_GB2312" w:cs="仿宋_GB2312"/>
                <w:sz w:val="24"/>
                <w:szCs w:val="24"/>
                <w:highlight w:val="none"/>
              </w:rPr>
              <w:t>管理、实施</w:t>
            </w:r>
            <w:r>
              <w:rPr>
                <w:rFonts w:hint="eastAsia" w:ascii="仿宋_GB2312" w:hAnsi="仿宋_GB2312" w:cs="仿宋_GB2312"/>
                <w:sz w:val="24"/>
                <w:szCs w:val="24"/>
                <w:highlight w:val="none"/>
                <w:lang w:eastAsia="zh-CN"/>
              </w:rPr>
              <w:t>和</w:t>
            </w:r>
            <w:r>
              <w:rPr>
                <w:rFonts w:hint="eastAsia" w:ascii="仿宋_GB2312" w:hAnsi="仿宋_GB2312" w:eastAsia="仿宋_GB2312" w:cs="仿宋_GB2312"/>
                <w:sz w:val="24"/>
                <w:szCs w:val="24"/>
                <w:highlight w:val="none"/>
              </w:rPr>
              <w:t>组织方案</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质量保证措施</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系统测试</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试运行</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验收等内容；</w:t>
            </w:r>
          </w:p>
        </w:tc>
        <w:tc>
          <w:tcPr>
            <w:tcW w:w="907"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cs="仿宋_GB2312"/>
                <w:b/>
                <w:bCs/>
                <w:sz w:val="24"/>
                <w:szCs w:val="24"/>
                <w:highlight w:val="none"/>
                <w:lang w:val="en-US" w:eastAsia="zh-CN" w:bidi="ar"/>
              </w:rPr>
              <w:t>13</w:t>
            </w:r>
            <w:r>
              <w:rPr>
                <w:rFonts w:hint="eastAsia" w:ascii="仿宋_GB2312" w:hAnsi="仿宋_GB2312" w:eastAsia="仿宋_GB2312" w:cs="仿宋_GB2312"/>
                <w:b/>
                <w:bCs/>
                <w:sz w:val="24"/>
                <w:szCs w:val="24"/>
                <w:highlight w:val="none"/>
                <w:lang w:bidi="ar"/>
              </w:rPr>
              <w:t>分</w:t>
            </w:r>
          </w:p>
        </w:tc>
      </w:tr>
      <w:tr>
        <w:tblPrEx>
          <w:tblCellMar>
            <w:top w:w="0" w:type="dxa"/>
            <w:left w:w="108" w:type="dxa"/>
            <w:bottom w:w="0" w:type="dxa"/>
            <w:right w:w="108" w:type="dxa"/>
          </w:tblCellMar>
        </w:tblPrEx>
        <w:trPr>
          <w:trHeight w:val="285" w:hRule="atLeast"/>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sz w:val="24"/>
                <w:szCs w:val="24"/>
                <w:highlight w:val="none"/>
              </w:rPr>
            </w:pPr>
          </w:p>
        </w:tc>
        <w:tc>
          <w:tcPr>
            <w:tcW w:w="6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二档（</w:t>
            </w:r>
            <w:r>
              <w:rPr>
                <w:rFonts w:hint="eastAsia" w:ascii="仿宋_GB2312" w:hAnsi="仿宋_GB2312" w:cs="仿宋_GB2312"/>
                <w:sz w:val="24"/>
                <w:szCs w:val="24"/>
                <w:highlight w:val="none"/>
                <w:lang w:val="en-US" w:eastAsia="zh-CN" w:bidi="ar"/>
              </w:rPr>
              <w:t>8</w:t>
            </w:r>
            <w:r>
              <w:rPr>
                <w:rFonts w:hint="eastAsia" w:ascii="仿宋_GB2312" w:hAnsi="仿宋_GB2312" w:eastAsia="仿宋_GB2312" w:cs="仿宋_GB2312"/>
                <w:sz w:val="24"/>
                <w:szCs w:val="24"/>
                <w:highlight w:val="none"/>
                <w:lang w:bidi="ar"/>
              </w:rPr>
              <w:t>分）：</w:t>
            </w:r>
            <w:r>
              <w:rPr>
                <w:rFonts w:hint="eastAsia" w:ascii="仿宋_GB2312" w:hAnsi="仿宋_GB2312" w:eastAsia="仿宋_GB2312" w:cs="仿宋_GB2312"/>
                <w:sz w:val="24"/>
                <w:szCs w:val="24"/>
                <w:highlight w:val="none"/>
              </w:rPr>
              <w:t>投标人提供可行的</w:t>
            </w:r>
            <w:r>
              <w:rPr>
                <w:rFonts w:hint="eastAsia" w:ascii="仿宋_GB2312" w:hAnsi="仿宋_GB2312" w:cs="仿宋_GB2312"/>
                <w:sz w:val="24"/>
                <w:szCs w:val="24"/>
                <w:highlight w:val="none"/>
                <w:lang w:eastAsia="zh-CN"/>
              </w:rPr>
              <w:t>宣传内容制作和系统接入</w:t>
            </w:r>
            <w:r>
              <w:rPr>
                <w:rFonts w:hint="eastAsia" w:ascii="仿宋_GB2312" w:hAnsi="仿宋_GB2312" w:eastAsia="仿宋_GB2312" w:cs="仿宋_GB2312"/>
                <w:sz w:val="24"/>
                <w:szCs w:val="24"/>
                <w:highlight w:val="none"/>
              </w:rPr>
              <w:t>管理、实施</w:t>
            </w:r>
            <w:r>
              <w:rPr>
                <w:rFonts w:hint="eastAsia" w:ascii="仿宋_GB2312" w:hAnsi="仿宋_GB2312" w:cs="仿宋_GB2312"/>
                <w:sz w:val="24"/>
                <w:szCs w:val="24"/>
                <w:highlight w:val="none"/>
                <w:lang w:eastAsia="zh-CN"/>
              </w:rPr>
              <w:t>和</w:t>
            </w:r>
            <w:r>
              <w:rPr>
                <w:rFonts w:hint="eastAsia" w:ascii="仿宋_GB2312" w:hAnsi="仿宋_GB2312" w:eastAsia="仿宋_GB2312" w:cs="仿宋_GB2312"/>
                <w:sz w:val="24"/>
                <w:szCs w:val="24"/>
                <w:highlight w:val="none"/>
              </w:rPr>
              <w:t>组织方案</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质量保证措施</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系统测试</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试运行</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验收等内容；提供有实施思路，进度安排较为合理全面。</w:t>
            </w:r>
          </w:p>
        </w:tc>
        <w:tc>
          <w:tcPr>
            <w:tcW w:w="907" w:type="dxa"/>
            <w:vMerge w:val="continue"/>
            <w:tcBorders>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r>
      <w:tr>
        <w:tblPrEx>
          <w:tblCellMar>
            <w:top w:w="0" w:type="dxa"/>
            <w:left w:w="108" w:type="dxa"/>
            <w:bottom w:w="0" w:type="dxa"/>
            <w:right w:w="108" w:type="dxa"/>
          </w:tblCellMar>
        </w:tblPrEx>
        <w:trPr>
          <w:trHeight w:val="570" w:hRule="atLeast"/>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sz w:val="24"/>
                <w:szCs w:val="24"/>
                <w:highlight w:val="none"/>
              </w:rPr>
            </w:pPr>
          </w:p>
        </w:tc>
        <w:tc>
          <w:tcPr>
            <w:tcW w:w="6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三档（</w:t>
            </w:r>
            <w:r>
              <w:rPr>
                <w:rFonts w:hint="eastAsia" w:ascii="仿宋_GB2312" w:hAnsi="仿宋_GB2312" w:cs="仿宋_GB2312"/>
                <w:sz w:val="24"/>
                <w:szCs w:val="24"/>
                <w:highlight w:val="none"/>
                <w:lang w:val="en-US" w:eastAsia="zh-CN" w:bidi="ar"/>
              </w:rPr>
              <w:t>13</w:t>
            </w:r>
            <w:r>
              <w:rPr>
                <w:rFonts w:hint="eastAsia" w:ascii="仿宋_GB2312" w:hAnsi="仿宋_GB2312" w:eastAsia="仿宋_GB2312" w:cs="仿宋_GB2312"/>
                <w:sz w:val="24"/>
                <w:szCs w:val="24"/>
                <w:highlight w:val="none"/>
                <w:lang w:bidi="ar"/>
              </w:rPr>
              <w:t>分）：投标人提供科学合理的</w:t>
            </w:r>
            <w:r>
              <w:rPr>
                <w:rFonts w:hint="eastAsia" w:ascii="仿宋_GB2312" w:hAnsi="仿宋_GB2312" w:cs="仿宋_GB2312"/>
                <w:sz w:val="24"/>
                <w:szCs w:val="24"/>
                <w:highlight w:val="none"/>
                <w:lang w:eastAsia="zh-CN"/>
              </w:rPr>
              <w:t>宣传内容制作和系统接入</w:t>
            </w:r>
            <w:r>
              <w:rPr>
                <w:rFonts w:hint="eastAsia" w:ascii="仿宋_GB2312" w:hAnsi="仿宋_GB2312" w:eastAsia="仿宋_GB2312" w:cs="仿宋_GB2312"/>
                <w:sz w:val="24"/>
                <w:szCs w:val="24"/>
                <w:highlight w:val="none"/>
              </w:rPr>
              <w:t>管理、实施</w:t>
            </w:r>
            <w:r>
              <w:rPr>
                <w:rFonts w:hint="eastAsia" w:ascii="仿宋_GB2312" w:hAnsi="仿宋_GB2312" w:cs="仿宋_GB2312"/>
                <w:sz w:val="24"/>
                <w:szCs w:val="24"/>
                <w:highlight w:val="none"/>
                <w:lang w:eastAsia="zh-CN"/>
              </w:rPr>
              <w:t>和</w:t>
            </w:r>
            <w:r>
              <w:rPr>
                <w:rFonts w:hint="eastAsia" w:ascii="仿宋_GB2312" w:hAnsi="仿宋_GB2312" w:eastAsia="仿宋_GB2312" w:cs="仿宋_GB2312"/>
                <w:sz w:val="24"/>
                <w:szCs w:val="24"/>
                <w:highlight w:val="none"/>
              </w:rPr>
              <w:t>组织方案</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质量保证措施</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系统测试</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试运行</w:t>
            </w:r>
            <w:r>
              <w:rPr>
                <w:rFonts w:hint="eastAsia" w:ascii="仿宋_GB2312" w:hAnsi="仿宋_GB2312" w:cs="仿宋_GB2312"/>
                <w:sz w:val="24"/>
                <w:szCs w:val="24"/>
                <w:highlight w:val="none"/>
                <w:lang w:eastAsia="zh-CN"/>
              </w:rPr>
              <w:t>，</w:t>
            </w:r>
            <w:r>
              <w:rPr>
                <w:rFonts w:hint="eastAsia" w:ascii="仿宋_GB2312" w:hAnsi="仿宋_GB2312" w:eastAsia="仿宋_GB2312" w:cs="仿宋_GB2312"/>
                <w:sz w:val="24"/>
                <w:szCs w:val="24"/>
                <w:highlight w:val="none"/>
              </w:rPr>
              <w:t>验收等内容</w:t>
            </w:r>
            <w:r>
              <w:rPr>
                <w:rFonts w:hint="eastAsia" w:ascii="仿宋_GB2312" w:hAnsi="仿宋_GB2312" w:eastAsia="仿宋_GB2312" w:cs="仿宋_GB2312"/>
                <w:sz w:val="24"/>
                <w:szCs w:val="24"/>
                <w:highlight w:val="none"/>
                <w:lang w:bidi="ar"/>
              </w:rPr>
              <w:t>；实施思路清晰、进度安排合理全面。</w:t>
            </w:r>
          </w:p>
        </w:tc>
        <w:tc>
          <w:tcPr>
            <w:tcW w:w="907"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r>
      <w:tr>
        <w:tblPrEx>
          <w:tblCellMar>
            <w:top w:w="0" w:type="dxa"/>
            <w:left w:w="108" w:type="dxa"/>
            <w:bottom w:w="0" w:type="dxa"/>
            <w:right w:w="108" w:type="dxa"/>
          </w:tblCellMar>
        </w:tblPrEx>
        <w:trPr>
          <w:trHeight w:val="570" w:hRule="atLeast"/>
        </w:trPr>
        <w:tc>
          <w:tcPr>
            <w:tcW w:w="8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2.3</w:t>
            </w:r>
          </w:p>
        </w:tc>
        <w:tc>
          <w:tcPr>
            <w:tcW w:w="12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bidi="ar"/>
              </w:rPr>
              <w:t>现场保障服务方案（满分</w:t>
            </w:r>
            <w:r>
              <w:rPr>
                <w:rFonts w:hint="eastAsia" w:ascii="仿宋_GB2312" w:hAnsi="仿宋_GB2312" w:cs="仿宋_GB2312"/>
                <w:b/>
                <w:bCs/>
                <w:sz w:val="24"/>
                <w:szCs w:val="24"/>
                <w:highlight w:val="none"/>
                <w:lang w:val="en-US" w:eastAsia="zh-CN" w:bidi="ar"/>
              </w:rPr>
              <w:t>13</w:t>
            </w:r>
            <w:r>
              <w:rPr>
                <w:rFonts w:hint="eastAsia" w:ascii="仿宋_GB2312" w:hAnsi="仿宋_GB2312" w:eastAsia="仿宋_GB2312" w:cs="仿宋_GB2312"/>
                <w:b/>
                <w:bCs/>
                <w:sz w:val="24"/>
                <w:szCs w:val="24"/>
                <w:highlight w:val="none"/>
                <w:lang w:bidi="ar"/>
              </w:rPr>
              <w:t>分）</w:t>
            </w:r>
          </w:p>
        </w:tc>
        <w:tc>
          <w:tcPr>
            <w:tcW w:w="6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一档（</w:t>
            </w:r>
            <w:r>
              <w:rPr>
                <w:rFonts w:hint="eastAsia" w:ascii="仿宋_GB2312" w:hAnsi="仿宋_GB2312" w:cs="仿宋_GB2312"/>
                <w:sz w:val="24"/>
                <w:szCs w:val="24"/>
                <w:highlight w:val="none"/>
                <w:lang w:val="en-US" w:eastAsia="zh-CN" w:bidi="ar"/>
              </w:rPr>
              <w:t>3</w:t>
            </w:r>
            <w:r>
              <w:rPr>
                <w:rFonts w:hint="eastAsia" w:ascii="仿宋_GB2312" w:hAnsi="仿宋_GB2312" w:eastAsia="仿宋_GB2312" w:cs="仿宋_GB2312"/>
                <w:sz w:val="24"/>
                <w:szCs w:val="24"/>
                <w:highlight w:val="none"/>
                <w:lang w:bidi="ar"/>
              </w:rPr>
              <w:t>分）：保障服务方案简单，方案重点内容不全或不突出，对项目需求分析不全面，针对本项目提供服务技术支持、服务保障方案、故障处理流程及应急预案，但可行性不高，不能充分满足项目要求；</w:t>
            </w:r>
          </w:p>
        </w:tc>
        <w:tc>
          <w:tcPr>
            <w:tcW w:w="90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r>
              <w:rPr>
                <w:rFonts w:hint="eastAsia" w:ascii="仿宋_GB2312" w:hAnsi="仿宋_GB2312" w:cs="仿宋_GB2312"/>
                <w:b/>
                <w:bCs/>
                <w:sz w:val="24"/>
                <w:szCs w:val="24"/>
                <w:highlight w:val="none"/>
                <w:lang w:val="en-US" w:eastAsia="zh-CN" w:bidi="ar"/>
              </w:rPr>
              <w:t>13</w:t>
            </w:r>
            <w:r>
              <w:rPr>
                <w:rFonts w:hint="eastAsia" w:ascii="仿宋_GB2312" w:hAnsi="仿宋_GB2312" w:eastAsia="仿宋_GB2312" w:cs="仿宋_GB2312"/>
                <w:b/>
                <w:bCs/>
                <w:sz w:val="24"/>
                <w:szCs w:val="24"/>
                <w:highlight w:val="none"/>
                <w:lang w:bidi="ar"/>
              </w:rPr>
              <w:t>分</w:t>
            </w:r>
          </w:p>
        </w:tc>
      </w:tr>
      <w:tr>
        <w:tblPrEx>
          <w:tblCellMar>
            <w:top w:w="0" w:type="dxa"/>
            <w:left w:w="108" w:type="dxa"/>
            <w:bottom w:w="0" w:type="dxa"/>
            <w:right w:w="108" w:type="dxa"/>
          </w:tblCellMar>
        </w:tblPrEx>
        <w:trPr>
          <w:trHeight w:val="570" w:hRule="atLeast"/>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sz w:val="24"/>
                <w:szCs w:val="24"/>
                <w:highlight w:val="none"/>
              </w:rPr>
            </w:pPr>
          </w:p>
        </w:tc>
        <w:tc>
          <w:tcPr>
            <w:tcW w:w="6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center"/>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二档（</w:t>
            </w:r>
            <w:r>
              <w:rPr>
                <w:rFonts w:hint="eastAsia" w:ascii="仿宋_GB2312" w:hAnsi="仿宋_GB2312" w:cs="仿宋_GB2312"/>
                <w:sz w:val="24"/>
                <w:szCs w:val="24"/>
                <w:highlight w:val="none"/>
                <w:lang w:val="en-US" w:eastAsia="zh-CN" w:bidi="ar"/>
              </w:rPr>
              <w:t>8</w:t>
            </w:r>
            <w:r>
              <w:rPr>
                <w:rFonts w:hint="eastAsia" w:ascii="仿宋_GB2312" w:hAnsi="仿宋_GB2312" w:eastAsia="仿宋_GB2312" w:cs="仿宋_GB2312"/>
                <w:sz w:val="24"/>
                <w:szCs w:val="24"/>
                <w:highlight w:val="none"/>
                <w:lang w:bidi="ar"/>
              </w:rPr>
              <w:t>分）：保障服务方案较完整，方案重点内容、措施列举较清晰，对项目需求有一定分析，服务策划合理；针对本项目提供良好的服务技术支持、服务保障方案、故障处理流程及应急预案的，有一定可行性，能达到采购方的目的。</w:t>
            </w:r>
          </w:p>
        </w:tc>
        <w:tc>
          <w:tcPr>
            <w:tcW w:w="90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r>
      <w:tr>
        <w:tblPrEx>
          <w:tblCellMar>
            <w:top w:w="0" w:type="dxa"/>
            <w:left w:w="108" w:type="dxa"/>
            <w:bottom w:w="0" w:type="dxa"/>
            <w:right w:w="108" w:type="dxa"/>
          </w:tblCellMar>
        </w:tblPrEx>
        <w:trPr>
          <w:trHeight w:val="570" w:hRule="atLeast"/>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sz w:val="24"/>
                <w:szCs w:val="24"/>
                <w:highlight w:val="none"/>
              </w:rPr>
            </w:pPr>
          </w:p>
        </w:tc>
        <w:tc>
          <w:tcPr>
            <w:tcW w:w="6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三档（</w:t>
            </w:r>
            <w:r>
              <w:rPr>
                <w:rFonts w:hint="eastAsia" w:ascii="仿宋_GB2312" w:hAnsi="仿宋_GB2312" w:cs="仿宋_GB2312"/>
                <w:sz w:val="24"/>
                <w:szCs w:val="24"/>
                <w:highlight w:val="none"/>
                <w:lang w:val="en-US" w:eastAsia="zh-CN" w:bidi="ar"/>
              </w:rPr>
              <w:t>13</w:t>
            </w:r>
            <w:r>
              <w:rPr>
                <w:rFonts w:hint="eastAsia" w:ascii="仿宋_GB2312" w:hAnsi="仿宋_GB2312" w:eastAsia="仿宋_GB2312" w:cs="仿宋_GB2312"/>
                <w:sz w:val="24"/>
                <w:szCs w:val="24"/>
                <w:highlight w:val="none"/>
                <w:lang w:bidi="ar"/>
              </w:rPr>
              <w:t>分）：保障服务方案清晰完整，方案重点内容突出，措施具体，对项目需求分析理解深刻、有延展性，服务规划描述详细、规划合理。针对本项目提供优秀的服务技术支持、服务保障方案、故障处理流程及应急预案的。方案可行性强，充分满足采购方的采购目的，能很好的实现采购方的预期效果。</w:t>
            </w:r>
          </w:p>
        </w:tc>
        <w:tc>
          <w:tcPr>
            <w:tcW w:w="90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p>
        </w:tc>
      </w:tr>
      <w:tr>
        <w:tblPrEx>
          <w:tblCellMar>
            <w:top w:w="0" w:type="dxa"/>
            <w:left w:w="108" w:type="dxa"/>
            <w:bottom w:w="0" w:type="dxa"/>
            <w:right w:w="108" w:type="dxa"/>
          </w:tblCellMar>
        </w:tblPrEx>
        <w:trPr>
          <w:trHeight w:val="285" w:hRule="atLeast"/>
        </w:trPr>
        <w:tc>
          <w:tcPr>
            <w:tcW w:w="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lang w:bidi="ar"/>
              </w:rPr>
            </w:pPr>
            <w:r>
              <w:rPr>
                <w:rFonts w:hint="eastAsia" w:ascii="仿宋_GB2312" w:hAnsi="仿宋_GB2312" w:eastAsia="仿宋_GB2312" w:cs="仿宋_GB2312"/>
                <w:b/>
                <w:bCs/>
                <w:sz w:val="24"/>
                <w:szCs w:val="24"/>
                <w:highlight w:val="none"/>
                <w:lang w:bidi="ar"/>
              </w:rPr>
              <w:t>2.4</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bidi="ar"/>
              </w:rPr>
              <w:t>项目团队人员分（满分</w:t>
            </w:r>
            <w:r>
              <w:rPr>
                <w:rFonts w:hint="eastAsia" w:ascii="仿宋_GB2312" w:hAnsi="仿宋_GB2312" w:cs="仿宋_GB2312"/>
                <w:b/>
                <w:bCs/>
                <w:sz w:val="24"/>
                <w:szCs w:val="24"/>
                <w:highlight w:val="none"/>
                <w:lang w:val="en-US" w:eastAsia="zh-CN" w:bidi="ar"/>
              </w:rPr>
              <w:t>20</w:t>
            </w:r>
            <w:r>
              <w:rPr>
                <w:rFonts w:hint="eastAsia" w:ascii="仿宋_GB2312" w:hAnsi="仿宋_GB2312" w:eastAsia="仿宋_GB2312" w:cs="仿宋_GB2312"/>
                <w:b/>
                <w:bCs/>
                <w:sz w:val="24"/>
                <w:szCs w:val="24"/>
                <w:highlight w:val="none"/>
                <w:lang w:bidi="ar"/>
              </w:rPr>
              <w:t>分）</w:t>
            </w:r>
          </w:p>
        </w:tc>
        <w:tc>
          <w:tcPr>
            <w:tcW w:w="6202"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针对本项目拟投入的项目团队人员进行评分：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1.人员数量要求：</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拟投入项目团队人员少于 8 人，不得分；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 xml:space="preserve">拟投入项目团队人员 8 人得 </w:t>
            </w:r>
            <w:r>
              <w:rPr>
                <w:rFonts w:hint="eastAsia" w:ascii="仿宋_GB2312" w:hAnsi="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拟投入项目团队人员 8-10 人得</w:t>
            </w:r>
            <w:r>
              <w:rPr>
                <w:rFonts w:hint="eastAsia" w:ascii="仿宋_GB2312" w:hAnsi="仿宋_GB2312" w:cs="仿宋_GB2312"/>
                <w:sz w:val="24"/>
                <w:szCs w:val="24"/>
                <w:highlight w:val="none"/>
                <w:lang w:val="en-US" w:eastAsia="zh-CN" w:bidi="ar"/>
              </w:rPr>
              <w:t>4</w:t>
            </w:r>
            <w:r>
              <w:rPr>
                <w:rFonts w:hint="eastAsia" w:ascii="仿宋_GB2312" w:hAnsi="仿宋_GB2312" w:eastAsia="仿宋_GB2312" w:cs="仿宋_GB2312"/>
                <w:sz w:val="24"/>
                <w:szCs w:val="24"/>
                <w:highlight w:val="none"/>
                <w:lang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拟投入项目团队人员 1</w:t>
            </w:r>
            <w:r>
              <w:rPr>
                <w:rFonts w:hint="eastAsia" w:ascii="仿宋_GB2312" w:hAnsi="仿宋_GB2312" w:cs="仿宋_GB2312"/>
                <w:sz w:val="24"/>
                <w:szCs w:val="24"/>
                <w:highlight w:val="none"/>
                <w:lang w:val="en-US" w:eastAsia="zh-CN" w:bidi="ar"/>
              </w:rPr>
              <w:t>5</w:t>
            </w:r>
            <w:r>
              <w:rPr>
                <w:rFonts w:hint="eastAsia" w:ascii="仿宋_GB2312" w:hAnsi="仿宋_GB2312" w:eastAsia="仿宋_GB2312" w:cs="仿宋_GB2312"/>
                <w:sz w:val="24"/>
                <w:szCs w:val="24"/>
                <w:highlight w:val="none"/>
                <w:lang w:bidi="ar"/>
              </w:rPr>
              <w:t>人及以上得</w:t>
            </w:r>
            <w:r>
              <w:rPr>
                <w:rFonts w:hint="eastAsia" w:ascii="仿宋_GB2312" w:hAnsi="仿宋_GB2312" w:cs="仿宋_GB2312"/>
                <w:sz w:val="24"/>
                <w:szCs w:val="24"/>
                <w:highlight w:val="none"/>
                <w:lang w:val="en-US" w:eastAsia="zh-CN" w:bidi="ar"/>
              </w:rPr>
              <w:t>8</w:t>
            </w:r>
            <w:r>
              <w:rPr>
                <w:rFonts w:hint="eastAsia" w:ascii="仿宋_GB2312" w:hAnsi="仿宋_GB2312" w:eastAsia="仿宋_GB2312" w:cs="仿宋_GB2312"/>
                <w:sz w:val="24"/>
                <w:szCs w:val="24"/>
                <w:highlight w:val="none"/>
                <w:lang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2.人员资质要求：</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default" w:ascii="仿宋_GB2312" w:hAnsi="仿宋_GB2312" w:eastAsia="仿宋_GB2312" w:cs="仿宋_GB2312"/>
                <w:sz w:val="24"/>
                <w:szCs w:val="24"/>
                <w:highlight w:val="none"/>
                <w:lang w:val="en-US" w:eastAsia="zh-CN" w:bidi="ar"/>
              </w:rPr>
            </w:pP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val="en-US" w:eastAsia="zh-CN" w:bidi="ar"/>
              </w:rPr>
              <w:t>1</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项目</w:t>
            </w:r>
            <w:r>
              <w:rPr>
                <w:rFonts w:hint="eastAsia" w:ascii="仿宋_GB2312" w:hAnsi="仿宋_GB2312" w:eastAsia="仿宋_GB2312" w:cs="仿宋_GB2312"/>
                <w:sz w:val="24"/>
                <w:szCs w:val="24"/>
                <w:highlight w:val="none"/>
                <w:lang w:val="en-US" w:eastAsia="zh-CN" w:bidi="ar"/>
              </w:rPr>
              <w:t>负责人1人：项目负责人要求具有高级信息系统项目管理师资质、高级系统架构设计师资质及高级工程师职称证书，满分</w:t>
            </w:r>
            <w:r>
              <w:rPr>
                <w:rFonts w:hint="eastAsia" w:ascii="仿宋_GB2312" w:hAnsi="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val="en-US" w:eastAsia="zh-CN" w:bidi="ar"/>
              </w:rPr>
              <w:t>分</w:t>
            </w:r>
            <w:r>
              <w:rPr>
                <w:rFonts w:hint="eastAsia" w:ascii="仿宋_GB2312" w:hAnsi="仿宋_GB2312" w:cs="仿宋_GB2312"/>
                <w:sz w:val="24"/>
                <w:szCs w:val="24"/>
                <w:highlight w:val="none"/>
                <w:lang w:val="en-US" w:eastAsia="zh-CN" w:bidi="ar"/>
              </w:rPr>
              <w:t>，</w:t>
            </w:r>
            <w:r>
              <w:rPr>
                <w:rFonts w:hint="eastAsia" w:ascii="仿宋_GB2312" w:hAnsi="仿宋_GB2312" w:cs="仿宋_GB2312"/>
                <w:sz w:val="24"/>
                <w:szCs w:val="24"/>
                <w:highlight w:val="none"/>
                <w:lang w:eastAsia="zh-CN" w:bidi="ar"/>
              </w:rPr>
              <w:t>缺一项资质不得分</w:t>
            </w:r>
            <w:r>
              <w:rPr>
                <w:rFonts w:hint="eastAsia" w:ascii="仿宋_GB2312" w:hAnsi="仿宋_GB2312" w:eastAsia="仿宋_GB2312" w:cs="仿宋_GB2312"/>
                <w:sz w:val="24"/>
                <w:szCs w:val="24"/>
                <w:highlight w:val="none"/>
                <w:lang w:bidi="ar"/>
              </w:rPr>
              <w:t>。</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技术负责人</w:t>
            </w:r>
            <w:r>
              <w:rPr>
                <w:rFonts w:hint="eastAsia" w:ascii="仿宋_GB2312" w:hAnsi="仿宋_GB2312" w:eastAsia="仿宋_GB2312" w:cs="仿宋_GB2312"/>
                <w:sz w:val="24"/>
                <w:szCs w:val="24"/>
                <w:highlight w:val="none"/>
                <w:lang w:val="en-US" w:eastAsia="zh-CN" w:bidi="ar"/>
              </w:rPr>
              <w:t>1人：要求</w:t>
            </w:r>
            <w:r>
              <w:rPr>
                <w:rFonts w:hint="eastAsia" w:ascii="仿宋_GB2312" w:hAnsi="仿宋_GB2312" w:eastAsia="仿宋_GB2312" w:cs="仿宋_GB2312"/>
                <w:sz w:val="24"/>
                <w:szCs w:val="24"/>
                <w:highlight w:val="none"/>
                <w:lang w:bidi="ar"/>
              </w:rPr>
              <w:t>具有相关高级信息系统项目管理师资质</w:t>
            </w:r>
            <w:r>
              <w:rPr>
                <w:rFonts w:hint="eastAsia" w:ascii="仿宋_GB2312" w:hAnsi="仿宋_GB2312" w:eastAsia="仿宋_GB2312" w:cs="仿宋_GB2312"/>
                <w:sz w:val="24"/>
                <w:szCs w:val="24"/>
                <w:highlight w:val="none"/>
                <w:lang w:val="en-US" w:eastAsia="zh-CN" w:bidi="ar"/>
              </w:rPr>
              <w:t>及</w:t>
            </w:r>
            <w:r>
              <w:rPr>
                <w:rFonts w:hint="eastAsia" w:ascii="仿宋_GB2312" w:hAnsi="仿宋_GB2312" w:eastAsia="仿宋_GB2312" w:cs="仿宋_GB2312"/>
                <w:sz w:val="24"/>
                <w:szCs w:val="24"/>
                <w:highlight w:val="none"/>
                <w:lang w:bidi="ar"/>
              </w:rPr>
              <w:t>高级工程师职称证书</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满分2分</w:t>
            </w:r>
            <w:r>
              <w:rPr>
                <w:rFonts w:hint="eastAsia" w:ascii="仿宋_GB2312" w:hAnsi="仿宋_GB2312" w:cs="仿宋_GB2312"/>
                <w:sz w:val="24"/>
                <w:szCs w:val="24"/>
                <w:highlight w:val="none"/>
                <w:lang w:eastAsia="zh-CN" w:bidi="ar"/>
              </w:rPr>
              <w:t>，缺一项资质不得分</w:t>
            </w:r>
            <w:r>
              <w:rPr>
                <w:rFonts w:hint="eastAsia" w:ascii="仿宋_GB2312" w:hAnsi="仿宋_GB2312" w:eastAsia="仿宋_GB2312" w:cs="仿宋_GB2312"/>
                <w:sz w:val="24"/>
                <w:szCs w:val="24"/>
                <w:highlight w:val="none"/>
                <w:lang w:bidi="ar"/>
              </w:rPr>
              <w:t>。</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default" w:ascii="仿宋_GB2312" w:hAnsi="仿宋_GB2312" w:eastAsia="仿宋_GB2312" w:cs="仿宋_GB2312"/>
                <w:sz w:val="24"/>
                <w:szCs w:val="24"/>
                <w:highlight w:val="none"/>
                <w:lang w:val="en-US" w:eastAsia="zh-CN" w:bidi="ar"/>
              </w:rPr>
            </w:pP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val="en-US" w:eastAsia="zh-CN" w:bidi="ar"/>
              </w:rPr>
              <w:t>3</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项目团队成员中具有以下证书的，每有一个证书得</w:t>
            </w:r>
            <w:r>
              <w:rPr>
                <w:rFonts w:hint="eastAsia" w:ascii="仿宋_GB2312" w:hAnsi="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分</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val="en-US" w:eastAsia="zh-CN" w:bidi="ar"/>
              </w:rPr>
              <w:t>满分</w:t>
            </w:r>
            <w:r>
              <w:rPr>
                <w:rFonts w:hint="eastAsia" w:ascii="仿宋_GB2312" w:hAnsi="仿宋_GB2312" w:cs="仿宋_GB2312"/>
                <w:sz w:val="24"/>
                <w:szCs w:val="24"/>
                <w:highlight w:val="none"/>
                <w:lang w:val="en-US" w:eastAsia="zh-CN" w:bidi="ar"/>
              </w:rPr>
              <w:t>8</w:t>
            </w:r>
            <w:r>
              <w:rPr>
                <w:rFonts w:hint="eastAsia" w:ascii="仿宋_GB2312" w:hAnsi="仿宋_GB2312" w:eastAsia="仿宋_GB2312" w:cs="仿宋_GB2312"/>
                <w:sz w:val="24"/>
                <w:szCs w:val="24"/>
                <w:highlight w:val="none"/>
                <w:lang w:val="en-US" w:eastAsia="zh-CN"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数据库系统工程师（满分</w:t>
            </w:r>
            <w:r>
              <w:rPr>
                <w:rFonts w:hint="eastAsia" w:ascii="仿宋_GB2312" w:hAnsi="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cs="仿宋_GB2312"/>
                <w:sz w:val="24"/>
                <w:szCs w:val="24"/>
                <w:highlight w:val="none"/>
                <w:lang w:eastAsia="zh-CN" w:bidi="ar"/>
              </w:rPr>
            </w:pPr>
            <w:r>
              <w:rPr>
                <w:rFonts w:hint="eastAsia" w:ascii="仿宋_GB2312" w:hAnsi="仿宋_GB2312" w:eastAsia="仿宋_GB2312" w:cs="仿宋_GB2312"/>
                <w:sz w:val="24"/>
                <w:szCs w:val="24"/>
                <w:highlight w:val="none"/>
                <w:lang w:bidi="ar"/>
              </w:rPr>
              <w:t>高级信息系统项目管理师</w:t>
            </w:r>
            <w:r>
              <w:rPr>
                <w:rFonts w:hint="eastAsia" w:ascii="仿宋_GB2312" w:hAnsi="仿宋_GB2312" w:cs="仿宋_GB2312"/>
                <w:sz w:val="24"/>
                <w:szCs w:val="24"/>
                <w:highlight w:val="none"/>
                <w:lang w:eastAsia="zh-CN" w:bidi="ar"/>
              </w:rPr>
              <w:t>（</w:t>
            </w:r>
            <w:r>
              <w:rPr>
                <w:rFonts w:hint="eastAsia" w:ascii="仿宋_GB2312" w:hAnsi="仿宋_GB2312" w:cs="仿宋_GB2312"/>
                <w:sz w:val="24"/>
                <w:szCs w:val="24"/>
                <w:highlight w:val="none"/>
                <w:lang w:val="en-US" w:eastAsia="zh-CN" w:bidi="ar"/>
              </w:rPr>
              <w:t>满分2分</w:t>
            </w:r>
            <w:r>
              <w:rPr>
                <w:rFonts w:hint="eastAsia" w:ascii="仿宋_GB2312" w:hAnsi="仿宋_GB2312" w:cs="仿宋_GB2312"/>
                <w:sz w:val="24"/>
                <w:szCs w:val="24"/>
                <w:highlight w:val="none"/>
                <w:lang w:eastAsia="zh-CN" w:bidi="ar"/>
              </w:rPr>
              <w:t>）；</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cs="仿宋_GB2312"/>
                <w:sz w:val="24"/>
                <w:szCs w:val="24"/>
                <w:highlight w:val="none"/>
                <w:lang w:val="en-US" w:eastAsia="zh-CN" w:bidi="ar"/>
              </w:rPr>
            </w:pPr>
            <w:r>
              <w:rPr>
                <w:rFonts w:hint="eastAsia" w:ascii="仿宋_GB2312" w:hAnsi="仿宋_GB2312" w:eastAsia="仿宋_GB2312" w:cs="仿宋_GB2312"/>
                <w:sz w:val="24"/>
                <w:szCs w:val="24"/>
                <w:highlight w:val="none"/>
                <w:lang w:val="en-US" w:eastAsia="zh-CN" w:bidi="ar"/>
              </w:rPr>
              <w:t>系统集成项目管理工程师</w:t>
            </w:r>
            <w:r>
              <w:rPr>
                <w:rFonts w:hint="eastAsia" w:ascii="仿宋_GB2312" w:hAnsi="仿宋_GB2312" w:cs="仿宋_GB2312"/>
                <w:sz w:val="24"/>
                <w:szCs w:val="24"/>
                <w:highlight w:val="none"/>
                <w:lang w:val="en-US" w:eastAsia="zh-CN" w:bidi="ar"/>
              </w:rPr>
              <w:t>（满分2分）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val="en-US" w:eastAsia="zh-CN" w:bidi="ar"/>
              </w:rPr>
            </w:pPr>
            <w:r>
              <w:rPr>
                <w:rFonts w:hint="eastAsia" w:ascii="仿宋_GB2312" w:hAnsi="仿宋_GB2312" w:eastAsia="仿宋_GB2312" w:cs="仿宋_GB2312"/>
                <w:sz w:val="24"/>
                <w:szCs w:val="24"/>
                <w:highlight w:val="none"/>
                <w:lang w:val="en-US" w:eastAsia="zh-CN" w:bidi="ar"/>
              </w:rPr>
              <w:t>系统规划与管理师（满分</w:t>
            </w:r>
            <w:r>
              <w:rPr>
                <w:rFonts w:hint="eastAsia" w:ascii="仿宋_GB2312" w:hAnsi="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val="en-US" w:eastAsia="zh-CN" w:bidi="ar"/>
              </w:rPr>
              <w:t>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bidi="ar"/>
              </w:rPr>
              <w:t>注：投标时在响应文件中提供有效机构证明材料、技术队伍人员相关证书复印件以及投标截止时间前半年内任意连续3个月供应商为其依法缴纳的有效社保证明扫描件并加盖投标人公章。无缴费记录的，应提供由社保部门出具的《依法缴纳或依法免缴社保费证明》复印件。</w:t>
            </w:r>
          </w:p>
        </w:tc>
        <w:tc>
          <w:tcPr>
            <w:tcW w:w="90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b/>
                <w:bCs/>
                <w:sz w:val="24"/>
                <w:szCs w:val="24"/>
                <w:highlight w:val="none"/>
              </w:rPr>
            </w:pPr>
            <w:r>
              <w:rPr>
                <w:rFonts w:hint="eastAsia" w:ascii="仿宋_GB2312" w:hAnsi="仿宋_GB2312" w:cs="仿宋_GB2312"/>
                <w:b/>
                <w:bCs/>
                <w:sz w:val="24"/>
                <w:szCs w:val="24"/>
                <w:highlight w:val="none"/>
                <w:lang w:val="en-US" w:eastAsia="zh-CN"/>
              </w:rPr>
              <w:t>20</w:t>
            </w:r>
            <w:r>
              <w:rPr>
                <w:rFonts w:hint="eastAsia" w:ascii="仿宋_GB2312" w:hAnsi="仿宋_GB2312" w:eastAsia="仿宋_GB2312" w:cs="仿宋_GB2312"/>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7"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baseline"/>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3</w:t>
            </w:r>
          </w:p>
        </w:tc>
        <w:tc>
          <w:tcPr>
            <w:tcW w:w="125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baseline"/>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商务部分</w:t>
            </w:r>
          </w:p>
        </w:tc>
        <w:tc>
          <w:tcPr>
            <w:tcW w:w="7109"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3.1</w:t>
            </w:r>
          </w:p>
        </w:tc>
        <w:tc>
          <w:tcPr>
            <w:tcW w:w="1251"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商务分（满分14分）</w:t>
            </w:r>
          </w:p>
        </w:tc>
        <w:tc>
          <w:tcPr>
            <w:tcW w:w="6202" w:type="dxa"/>
            <w:vAlign w:val="top"/>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一、业绩要求：</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1.自2020年1月1日以来，投标人承办</w:t>
            </w:r>
            <w:r>
              <w:rPr>
                <w:rFonts w:hint="eastAsia" w:ascii="仿宋_GB2312" w:hAnsi="仿宋_GB2312" w:cs="仿宋_GB2312"/>
                <w:sz w:val="24"/>
                <w:szCs w:val="24"/>
                <w:highlight w:val="none"/>
                <w:lang w:eastAsia="zh-CN"/>
              </w:rPr>
              <w:t>展览</w:t>
            </w:r>
            <w:r>
              <w:rPr>
                <w:rFonts w:hint="eastAsia" w:ascii="仿宋_GB2312" w:hAnsi="仿宋_GB2312" w:cs="仿宋_GB2312"/>
                <w:sz w:val="24"/>
                <w:szCs w:val="24"/>
                <w:highlight w:val="none"/>
                <w:lang w:val="en-US" w:eastAsia="zh-CN"/>
              </w:rPr>
              <w:t>展会</w:t>
            </w:r>
            <w:r>
              <w:rPr>
                <w:rFonts w:hint="eastAsia" w:ascii="仿宋_GB2312" w:hAnsi="仿宋_GB2312" w:eastAsia="仿宋_GB2312" w:cs="仿宋_GB2312"/>
                <w:sz w:val="24"/>
                <w:szCs w:val="24"/>
                <w:highlight w:val="none"/>
              </w:rPr>
              <w:t>活动相关经验的,每提供一项得2分，满分6分（提供合同或委托书</w:t>
            </w:r>
            <w:r>
              <w:rPr>
                <w:rFonts w:hint="eastAsia" w:ascii="仿宋_GB2312" w:hAnsi="仿宋_GB2312" w:cs="仿宋_GB2312"/>
                <w:sz w:val="24"/>
                <w:szCs w:val="24"/>
                <w:highlight w:val="none"/>
                <w:lang w:eastAsia="zh-CN"/>
              </w:rPr>
              <w:t>复印件</w:t>
            </w:r>
            <w:r>
              <w:rPr>
                <w:rFonts w:hint="eastAsia" w:ascii="仿宋_GB2312" w:hAnsi="仿宋_GB2312" w:eastAsia="仿宋_GB2312" w:cs="仿宋_GB2312"/>
                <w:sz w:val="24"/>
                <w:szCs w:val="24"/>
                <w:highlight w:val="none"/>
              </w:rPr>
              <w:t>、相关图片照片证明材料，否则不得分)。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二、信誉要求：</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eastAsia="zh-CN" w:bidi="ar"/>
              </w:rPr>
            </w:pPr>
            <w:r>
              <w:rPr>
                <w:rFonts w:hint="eastAsia" w:ascii="仿宋_GB2312" w:hAnsi="仿宋_GB2312" w:eastAsia="仿宋_GB2312" w:cs="仿宋_GB2312"/>
                <w:sz w:val="24"/>
                <w:szCs w:val="24"/>
                <w:highlight w:val="none"/>
                <w:lang w:val="en-US" w:eastAsia="zh-CN" w:bidi="ar"/>
              </w:rPr>
              <w:t>1.</w:t>
            </w:r>
            <w:r>
              <w:rPr>
                <w:rFonts w:hint="eastAsia" w:ascii="仿宋_GB2312" w:hAnsi="仿宋_GB2312" w:eastAsia="仿宋_GB2312" w:cs="仿宋_GB2312"/>
                <w:sz w:val="24"/>
                <w:szCs w:val="24"/>
                <w:highlight w:val="none"/>
                <w:lang w:bidi="ar"/>
              </w:rPr>
              <w:t>投标人具备ISO27001（信息安全体系）、ISO20000（信息技术服务管理体系）</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且投标时在响应文件中提供有效证书原件扫描件并加盖投标人公章的，每有一个证书</w:t>
            </w:r>
            <w:r>
              <w:rPr>
                <w:rFonts w:hint="eastAsia" w:ascii="仿宋_GB2312" w:hAnsi="仿宋_GB2312" w:eastAsia="仿宋_GB2312" w:cs="仿宋_GB2312"/>
                <w:sz w:val="24"/>
                <w:szCs w:val="24"/>
                <w:highlight w:val="none"/>
                <w:lang w:val="en-US" w:eastAsia="zh-CN" w:bidi="ar"/>
              </w:rPr>
              <w:t>得</w:t>
            </w:r>
            <w:r>
              <w:rPr>
                <w:rFonts w:hint="eastAsia" w:ascii="仿宋_GB2312" w:hAnsi="仿宋_GB2312" w:cs="仿宋_GB2312"/>
                <w:sz w:val="24"/>
                <w:szCs w:val="24"/>
                <w:highlight w:val="none"/>
                <w:lang w:val="en-US" w:eastAsia="zh-CN" w:bidi="ar"/>
              </w:rPr>
              <w:t>1</w:t>
            </w:r>
            <w:r>
              <w:rPr>
                <w:rFonts w:hint="eastAsia" w:ascii="仿宋_GB2312" w:hAnsi="仿宋_GB2312" w:eastAsia="仿宋_GB2312" w:cs="仿宋_GB2312"/>
                <w:sz w:val="24"/>
                <w:szCs w:val="24"/>
                <w:highlight w:val="none"/>
                <w:lang w:bidi="ar"/>
              </w:rPr>
              <w:t>分，否则不得分</w:t>
            </w:r>
            <w:r>
              <w:rPr>
                <w:rFonts w:hint="eastAsia" w:ascii="仿宋_GB2312" w:hAnsi="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（满分2分）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投标人具备信息系统安全集成服务资质三级及以上等级的</w:t>
            </w:r>
            <w:r>
              <w:rPr>
                <w:rFonts w:hint="eastAsia" w:ascii="仿宋_GB2312" w:hAnsi="仿宋_GB2312" w:cs="仿宋_GB2312"/>
                <w:sz w:val="24"/>
                <w:szCs w:val="24"/>
                <w:highlight w:val="none"/>
                <w:lang w:eastAsia="zh-CN" w:bidi="ar"/>
              </w:rPr>
              <w:t>，或</w:t>
            </w:r>
            <w:r>
              <w:rPr>
                <w:rFonts w:hint="eastAsia" w:ascii="仿宋_GB2312" w:hAnsi="仿宋_GB2312" w:eastAsia="仿宋_GB2312" w:cs="仿宋_GB2312"/>
                <w:sz w:val="24"/>
                <w:szCs w:val="24"/>
                <w:highlight w:val="none"/>
                <w:lang w:bidi="ar"/>
              </w:rPr>
              <w:t>软件安全开发服务资质三级及以上等级的</w:t>
            </w:r>
            <w:r>
              <w:rPr>
                <w:rFonts w:hint="eastAsia" w:ascii="仿宋_GB2312" w:hAnsi="仿宋_GB2312" w:cs="仿宋_GB2312"/>
                <w:sz w:val="24"/>
                <w:szCs w:val="24"/>
                <w:highlight w:val="none"/>
                <w:lang w:eastAsia="zh-CN" w:bidi="ar"/>
              </w:rPr>
              <w:t>，</w:t>
            </w:r>
            <w:bookmarkStart w:id="0" w:name="_GoBack"/>
            <w:bookmarkEnd w:id="0"/>
            <w:r>
              <w:rPr>
                <w:rFonts w:hint="eastAsia" w:ascii="仿宋_GB2312" w:hAnsi="仿宋_GB2312" w:cs="仿宋_GB2312"/>
                <w:sz w:val="24"/>
                <w:szCs w:val="24"/>
                <w:highlight w:val="none"/>
                <w:lang w:eastAsia="zh-CN" w:bidi="ar"/>
              </w:rPr>
              <w:t>或</w:t>
            </w:r>
            <w:r>
              <w:rPr>
                <w:rFonts w:hint="eastAsia" w:ascii="仿宋_GB2312" w:hAnsi="仿宋_GB2312" w:eastAsia="仿宋_GB2312" w:cs="仿宋_GB2312"/>
                <w:sz w:val="24"/>
                <w:szCs w:val="24"/>
                <w:highlight w:val="none"/>
                <w:lang w:bidi="ar"/>
              </w:rPr>
              <w:t>信息安全风险评估服务资质三级及以上等级的，得2分，须提供有效的证书证明材料并加盖投标人公章，否则不得分。（满分2分）</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bidi="ar"/>
              </w:rPr>
              <w:t>3.</w:t>
            </w:r>
            <w:r>
              <w:rPr>
                <w:rFonts w:hint="eastAsia" w:ascii="仿宋_GB2312" w:hAnsi="仿宋_GB2312" w:eastAsia="仿宋_GB2312" w:cs="仿宋_GB2312"/>
                <w:sz w:val="24"/>
                <w:szCs w:val="24"/>
                <w:highlight w:val="none"/>
                <w:lang w:bidi="ar"/>
              </w:rPr>
              <w:t>为了考核投标人运维和管理能力，如投标人具有互联网+、大数据、人工智能等同类软件著作权登记证书，每提供1个证书得1分，</w:t>
            </w:r>
            <w:r>
              <w:rPr>
                <w:rFonts w:hint="eastAsia" w:ascii="仿宋_GB2312" w:hAnsi="仿宋_GB2312" w:cs="仿宋_GB2312"/>
                <w:sz w:val="24"/>
                <w:szCs w:val="24"/>
                <w:highlight w:val="none"/>
                <w:lang w:eastAsia="zh-CN" w:bidi="ar"/>
              </w:rPr>
              <w:t>需</w:t>
            </w:r>
            <w:r>
              <w:rPr>
                <w:rFonts w:hint="eastAsia" w:ascii="仿宋_GB2312" w:hAnsi="仿宋_GB2312" w:eastAsia="仿宋_GB2312" w:cs="仿宋_GB2312"/>
                <w:sz w:val="24"/>
                <w:szCs w:val="24"/>
                <w:highlight w:val="none"/>
                <w:lang w:bidi="ar"/>
              </w:rPr>
              <w:t>提供有效证书扫描件并加盖投标人公章</w:t>
            </w:r>
            <w:r>
              <w:rPr>
                <w:rFonts w:hint="eastAsia" w:ascii="仿宋_GB2312" w:hAnsi="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此项满分</w:t>
            </w:r>
            <w:r>
              <w:rPr>
                <w:rFonts w:hint="eastAsia" w:ascii="仿宋_GB2312" w:hAnsi="仿宋_GB2312" w:cs="仿宋_GB2312"/>
                <w:sz w:val="24"/>
                <w:szCs w:val="24"/>
                <w:highlight w:val="none"/>
                <w:lang w:val="en-US" w:eastAsia="zh-CN" w:bidi="ar"/>
              </w:rPr>
              <w:t>4</w:t>
            </w:r>
            <w:r>
              <w:rPr>
                <w:rFonts w:hint="eastAsia" w:ascii="仿宋_GB2312" w:hAnsi="仿宋_GB2312" w:eastAsia="仿宋_GB2312" w:cs="仿宋_GB2312"/>
                <w:sz w:val="24"/>
                <w:szCs w:val="24"/>
                <w:highlight w:val="none"/>
                <w:lang w:bidi="ar"/>
              </w:rPr>
              <w:t>分。</w:t>
            </w:r>
          </w:p>
        </w:tc>
        <w:tc>
          <w:tcPr>
            <w:tcW w:w="90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14分</w:t>
            </w:r>
          </w:p>
        </w:tc>
      </w:tr>
    </w:tbl>
    <w:p>
      <w:pPr>
        <w:numPr>
          <w:ilvl w:val="0"/>
          <w:numId w:val="0"/>
        </w:numPr>
        <w:ind w:left="-320" w:leftChars="-100" w:firstLine="0" w:firstLineChars="0"/>
        <w:rPr>
          <w:rFonts w:hint="eastAsia" w:ascii="宋体" w:hAnsi="宋体" w:eastAsia="宋体" w:cs="宋体"/>
          <w:b/>
          <w:bCs/>
          <w:kern w:val="2"/>
          <w:sz w:val="22"/>
          <w:szCs w:val="22"/>
          <w:highlight w:val="none"/>
        </w:rPr>
      </w:pPr>
      <w:r>
        <w:rPr>
          <w:rFonts w:hint="eastAsia" w:ascii="宋体" w:hAnsi="宋体" w:eastAsia="宋体" w:cs="宋体"/>
          <w:b/>
          <w:bCs/>
          <w:kern w:val="2"/>
          <w:sz w:val="22"/>
          <w:szCs w:val="22"/>
          <w:highlight w:val="none"/>
        </w:rPr>
        <w:t>说明：若所提供以上材料不实，将取消中标资格并追究相应责任。</w:t>
      </w:r>
    </w:p>
    <w:p>
      <w:pPr>
        <w:numPr>
          <w:ilvl w:val="0"/>
          <w:numId w:val="0"/>
        </w:numPr>
        <w:ind w:left="-320" w:leftChars="-100" w:firstLine="640" w:firstLineChars="200"/>
        <w:rPr>
          <w:rFonts w:hint="eastAsia" w:ascii="黑体" w:hAnsi="黑体" w:eastAsia="黑体" w:cs="黑体"/>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四、</w:t>
      </w:r>
      <w:r>
        <w:rPr>
          <w:rFonts w:hint="eastAsia" w:ascii="黑体" w:hAnsi="黑体" w:eastAsia="黑体" w:cs="黑体"/>
          <w:kern w:val="0"/>
          <w:sz w:val="32"/>
          <w:szCs w:val="32"/>
          <w:highlight w:val="none"/>
          <w:lang w:val="en-US" w:eastAsia="zh-CN"/>
        </w:rPr>
        <w:t>成交候选人推荐原则</w:t>
      </w:r>
    </w:p>
    <w:p>
      <w:pPr>
        <w:numPr>
          <w:ilvl w:val="0"/>
          <w:numId w:val="0"/>
        </w:numPr>
        <w:ind w:leftChars="-100" w:firstLine="640" w:firstLineChars="200"/>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bidi="ar-SA"/>
        </w:rPr>
        <w:t>（一）评审小组将根据得分由高到低排列次序（总得分相同时，依次按最终报价低优先、技术分高优先、商务分高优先的顺序排列）推荐综合排名第一名的供应商为成交候选供应商。排名第一的成交候选人放弃成交、因不可抗力提出不能履行合同，采购单位可以确定排名第二的成交候选人为成交人，以此类推。采购人也可以重新组织采购。</w:t>
      </w:r>
    </w:p>
    <w:p>
      <w:pPr>
        <w:numPr>
          <w:ilvl w:val="0"/>
          <w:numId w:val="0"/>
        </w:numPr>
        <w:ind w:leftChars="-100" w:firstLine="640" w:firstLineChars="200"/>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（二）</w:t>
      </w:r>
      <w:r>
        <w:rPr>
          <w:rFonts w:hint="eastAsia" w:ascii="Times New Roman" w:hAnsi="Times New Roman" w:eastAsia="仿宋_GB2312" w:cs="Times New Roman"/>
          <w:kern w:val="0"/>
          <w:sz w:val="32"/>
          <w:szCs w:val="32"/>
          <w:highlight w:val="none"/>
          <w:lang w:val="en-US" w:eastAsia="zh-CN" w:bidi="ar-SA"/>
        </w:rPr>
        <w:t>评审小组</w:t>
      </w:r>
      <w:r>
        <w:rPr>
          <w:rFonts w:hint="eastAsia" w:ascii="Times New Roman" w:hAnsi="Times New Roman" w:eastAsia="仿宋_GB2312" w:cs="Times New Roman"/>
          <w:kern w:val="0"/>
          <w:sz w:val="32"/>
          <w:szCs w:val="32"/>
          <w:highlight w:val="none"/>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bidi w:val="0"/>
        <w:rPr>
          <w:rFonts w:hint="eastAsia"/>
          <w:highlight w:val="none"/>
        </w:rPr>
      </w:pPr>
    </w:p>
    <w:p>
      <w:pPr>
        <w:bidi w:val="0"/>
        <w:rPr>
          <w:rFonts w:hint="eastAsia"/>
          <w:highlight w:val="none"/>
          <w:lang w:val="en-US" w:eastAsia="zh-CN"/>
        </w:rPr>
      </w:pPr>
    </w:p>
    <w:p>
      <w:pPr>
        <w:bidi w:val="0"/>
        <w:rPr>
          <w:rFonts w:hint="eastAsia"/>
          <w:highlight w:val="none"/>
        </w:rPr>
      </w:pPr>
    </w:p>
    <w:p>
      <w:pPr>
        <w:bidi w:val="0"/>
        <w:rPr>
          <w:rFonts w:hint="eastAsia"/>
          <w:highlight w:val="none"/>
          <w:lang w:val="en-US" w:eastAsia="zh-CN"/>
        </w:rPr>
      </w:pPr>
    </w:p>
    <w:p>
      <w:pPr>
        <w:bidi w:val="0"/>
        <w:rPr>
          <w:rFonts w:hint="eastAsia"/>
          <w:highlight w:val="none"/>
        </w:rPr>
      </w:pPr>
    </w:p>
    <w:p>
      <w:pPr>
        <w:bidi w:val="0"/>
        <w:rPr>
          <w:rFonts w:hint="eastAsia"/>
          <w:highlight w:val="none"/>
          <w:lang w:val="en-US" w:eastAsia="zh-CN"/>
        </w:rPr>
      </w:pPr>
    </w:p>
    <w:p>
      <w:pPr>
        <w:bidi w:val="0"/>
        <w:rPr>
          <w:rFonts w:hint="eastAsia"/>
          <w:highlight w:val="none"/>
        </w:rPr>
      </w:pPr>
    </w:p>
    <w:p>
      <w:pPr>
        <w:bidi w:val="0"/>
        <w:rPr>
          <w:rFonts w:hint="eastAsia"/>
          <w:highlight w:val="none"/>
          <w:lang w:val="en-US" w:eastAsia="zh-CN"/>
        </w:rPr>
      </w:pPr>
    </w:p>
    <w:p>
      <w:pPr>
        <w:rPr>
          <w:rFonts w:hint="eastAsia"/>
          <w:highlight w:val="none"/>
          <w:lang w:val="en-US" w:eastAsia="zh-CN"/>
        </w:rPr>
      </w:pPr>
    </w:p>
    <w:sectPr>
      <w:footerReference r:id="rId5" w:type="default"/>
      <w:pgSz w:w="11906" w:h="16838"/>
      <w:pgMar w:top="1928" w:right="1474" w:bottom="1814" w:left="1474" w:header="851" w:footer="992" w:gutter="0"/>
      <w:pgNumType w:start="1"/>
      <w:cols w:space="72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1008F6-AFE1-4080-A042-E33D8E3BDF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embedRegular r:id="rId2" w:fontKey="{211D91F0-0DA0-419A-B820-EB500DB2654D}"/>
  </w:font>
  <w:font w:name="方正小标宋简体">
    <w:panose1 w:val="03000509000000000000"/>
    <w:charset w:val="86"/>
    <w:family w:val="auto"/>
    <w:pitch w:val="default"/>
    <w:sig w:usb0="00000001" w:usb1="080E0000" w:usb2="00000000" w:usb3="00000000" w:csb0="00040000" w:csb1="00000000"/>
    <w:embedRegular r:id="rId3" w:fontKey="{96C576C6-3293-42E3-9F01-C254D6D2EC2E}"/>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embedRegular r:id="rId4" w:fontKey="{78A75D26-45BE-4F69-A037-94638BED50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74DCF"/>
    <w:multiLevelType w:val="singleLevel"/>
    <w:tmpl w:val="D9F74DCF"/>
    <w:lvl w:ilvl="0" w:tentative="0">
      <w:start w:val="1"/>
      <w:numFmt w:val="chineseCounting"/>
      <w:suff w:val="nothing"/>
      <w:lvlText w:val="%1、"/>
      <w:lvlJc w:val="left"/>
      <w:rPr>
        <w:rFonts w:hint="eastAsia"/>
      </w:rPr>
    </w:lvl>
  </w:abstractNum>
  <w:abstractNum w:abstractNumId="1">
    <w:nsid w:val="EB1052B7"/>
    <w:multiLevelType w:val="multilevel"/>
    <w:tmpl w:val="EB1052B7"/>
    <w:lvl w:ilvl="0" w:tentative="0">
      <w:start w:val="1"/>
      <w:numFmt w:val="chineseCounting"/>
      <w:pStyle w:val="4"/>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683AD567"/>
    <w:multiLevelType w:val="multilevel"/>
    <w:tmpl w:val="683AD567"/>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5"/>
      <w:suff w:val="nothing"/>
      <w:lvlText w:val="%3．"/>
      <w:lvlJc w:val="left"/>
      <w:pPr>
        <w:ind w:left="64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0"/>
  <w:bordersDoNotSurroundFooter w:val="0"/>
  <w:documentProtection w:enforcement="0"/>
  <w:defaultTabStop w:val="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0NGFhOGQ2ZjA0YjY0MGM1MTI2YTQ0ZDMyMmYxN2EifQ=="/>
  </w:docVars>
  <w:rsids>
    <w:rsidRoot w:val="00000000"/>
    <w:rsid w:val="00867FFD"/>
    <w:rsid w:val="021A0C65"/>
    <w:rsid w:val="021B63D7"/>
    <w:rsid w:val="04C54199"/>
    <w:rsid w:val="06182DBF"/>
    <w:rsid w:val="070E48A8"/>
    <w:rsid w:val="07AC50CA"/>
    <w:rsid w:val="08E00452"/>
    <w:rsid w:val="08F059AA"/>
    <w:rsid w:val="09595529"/>
    <w:rsid w:val="0D473781"/>
    <w:rsid w:val="0D8B6475"/>
    <w:rsid w:val="0E4F1267"/>
    <w:rsid w:val="0E75024E"/>
    <w:rsid w:val="0E890316"/>
    <w:rsid w:val="1057106E"/>
    <w:rsid w:val="11D54941"/>
    <w:rsid w:val="120314AE"/>
    <w:rsid w:val="13174AE5"/>
    <w:rsid w:val="14223741"/>
    <w:rsid w:val="149F4D92"/>
    <w:rsid w:val="16832BBD"/>
    <w:rsid w:val="19FE50BD"/>
    <w:rsid w:val="1BCA6B98"/>
    <w:rsid w:val="1C8E4002"/>
    <w:rsid w:val="1D6F6BEA"/>
    <w:rsid w:val="1F8D685B"/>
    <w:rsid w:val="1FD565CD"/>
    <w:rsid w:val="20054643"/>
    <w:rsid w:val="235B5672"/>
    <w:rsid w:val="235D295F"/>
    <w:rsid w:val="23A14683"/>
    <w:rsid w:val="25CC06A1"/>
    <w:rsid w:val="263F224F"/>
    <w:rsid w:val="2713284B"/>
    <w:rsid w:val="273B4DEE"/>
    <w:rsid w:val="2AD30717"/>
    <w:rsid w:val="2C485C71"/>
    <w:rsid w:val="2EBB79E0"/>
    <w:rsid w:val="30EE1123"/>
    <w:rsid w:val="32EC30C1"/>
    <w:rsid w:val="344F396E"/>
    <w:rsid w:val="3555351F"/>
    <w:rsid w:val="367D0F7F"/>
    <w:rsid w:val="39194863"/>
    <w:rsid w:val="3BF55114"/>
    <w:rsid w:val="3DD916A5"/>
    <w:rsid w:val="3DE23776"/>
    <w:rsid w:val="3F703557"/>
    <w:rsid w:val="3FF014E1"/>
    <w:rsid w:val="40284BE4"/>
    <w:rsid w:val="410A78B3"/>
    <w:rsid w:val="41B25855"/>
    <w:rsid w:val="44352E99"/>
    <w:rsid w:val="44DF68BF"/>
    <w:rsid w:val="45065FDC"/>
    <w:rsid w:val="47C36A0E"/>
    <w:rsid w:val="47DE3E58"/>
    <w:rsid w:val="47E726FC"/>
    <w:rsid w:val="49494CF1"/>
    <w:rsid w:val="4A7D3D03"/>
    <w:rsid w:val="4B447E66"/>
    <w:rsid w:val="4EAD77CC"/>
    <w:rsid w:val="4EEE25C2"/>
    <w:rsid w:val="4F460556"/>
    <w:rsid w:val="50AC1D83"/>
    <w:rsid w:val="52672FCA"/>
    <w:rsid w:val="54091C4C"/>
    <w:rsid w:val="566D6480"/>
    <w:rsid w:val="589E290C"/>
    <w:rsid w:val="597D4C6F"/>
    <w:rsid w:val="5C107820"/>
    <w:rsid w:val="613A51F3"/>
    <w:rsid w:val="61C176C2"/>
    <w:rsid w:val="6233011F"/>
    <w:rsid w:val="62605D77"/>
    <w:rsid w:val="6263306E"/>
    <w:rsid w:val="650D6C14"/>
    <w:rsid w:val="669E47D6"/>
    <w:rsid w:val="672C55DE"/>
    <w:rsid w:val="675D15A7"/>
    <w:rsid w:val="6C3134F5"/>
    <w:rsid w:val="6D5B4E6F"/>
    <w:rsid w:val="6E2F3C06"/>
    <w:rsid w:val="6F213E96"/>
    <w:rsid w:val="6F7957C1"/>
    <w:rsid w:val="6FED3D79"/>
    <w:rsid w:val="713F0604"/>
    <w:rsid w:val="719A459D"/>
    <w:rsid w:val="71FE4035"/>
    <w:rsid w:val="72B34E05"/>
    <w:rsid w:val="73B76B77"/>
    <w:rsid w:val="748F3650"/>
    <w:rsid w:val="750B4F95"/>
    <w:rsid w:val="761A0264"/>
    <w:rsid w:val="78680440"/>
    <w:rsid w:val="79D02741"/>
    <w:rsid w:val="7ABE6A3D"/>
    <w:rsid w:val="7B784E3E"/>
    <w:rsid w:val="7F6776A3"/>
    <w:rsid w:val="D5DFA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line="590" w:lineRule="exact"/>
      <w:ind w:firstLine="440" w:firstLineChars="200"/>
      <w:jc w:val="both"/>
    </w:pPr>
    <w:rPr>
      <w:rFonts w:ascii="Times New Roman" w:hAnsi="Times New Roman" w:eastAsia="仿宋_GB2312" w:cs="仿宋_GB2312"/>
      <w:sz w:val="32"/>
      <w:szCs w:val="32"/>
      <w:lang w:val="en-US" w:eastAsia="zh-CN" w:bidi="ar-SA"/>
    </w:rPr>
  </w:style>
  <w:style w:type="paragraph" w:styleId="3">
    <w:name w:val="heading 1"/>
    <w:basedOn w:val="1"/>
    <w:next w:val="1"/>
    <w:link w:val="31"/>
    <w:autoRedefine/>
    <w:qFormat/>
    <w:uiPriority w:val="0"/>
    <w:pPr>
      <w:keepNext/>
      <w:keepLines/>
      <w:numPr>
        <w:ilvl w:val="0"/>
        <w:numId w:val="1"/>
      </w:numPr>
      <w:tabs>
        <w:tab w:val="left" w:pos="0"/>
        <w:tab w:val="left" w:pos="283"/>
      </w:tabs>
      <w:ind w:firstLine="640"/>
      <w:outlineLvl w:val="0"/>
    </w:pPr>
    <w:rPr>
      <w:rFonts w:eastAsia="方正小标宋简体" w:cs="黑体"/>
      <w:kern w:val="44"/>
      <w:sz w:val="48"/>
    </w:rPr>
  </w:style>
  <w:style w:type="paragraph" w:styleId="4">
    <w:name w:val="heading 2"/>
    <w:basedOn w:val="1"/>
    <w:next w:val="1"/>
    <w:link w:val="30"/>
    <w:autoRedefine/>
    <w:qFormat/>
    <w:uiPriority w:val="0"/>
    <w:pPr>
      <w:keepNext/>
      <w:keepLines/>
      <w:numPr>
        <w:ilvl w:val="0"/>
        <w:numId w:val="2"/>
      </w:numPr>
      <w:tabs>
        <w:tab w:val="left" w:pos="210"/>
        <w:tab w:val="left" w:pos="283"/>
        <w:tab w:val="left" w:pos="425"/>
      </w:tabs>
      <w:spacing w:before="50" w:beforeLines="50" w:after="50" w:afterLines="50"/>
      <w:ind w:firstLine="0" w:firstLineChars="0"/>
      <w:outlineLvl w:val="1"/>
    </w:pPr>
    <w:rPr>
      <w:rFonts w:eastAsia="黑体" w:cs="楷体"/>
      <w:b/>
    </w:rPr>
  </w:style>
  <w:style w:type="paragraph" w:styleId="5">
    <w:name w:val="heading 3"/>
    <w:basedOn w:val="1"/>
    <w:next w:val="1"/>
    <w:link w:val="29"/>
    <w:autoRedefine/>
    <w:qFormat/>
    <w:uiPriority w:val="0"/>
    <w:pPr>
      <w:keepNext/>
      <w:keepLines/>
      <w:numPr>
        <w:ilvl w:val="2"/>
        <w:numId w:val="1"/>
      </w:numPr>
      <w:tabs>
        <w:tab w:val="left" w:pos="283"/>
      </w:tabs>
      <w:ind w:firstLine="640"/>
      <w:outlineLvl w:val="2"/>
    </w:pPr>
    <w:rPr>
      <w:b/>
    </w:rPr>
  </w:style>
  <w:style w:type="paragraph" w:styleId="6">
    <w:name w:val="heading 4"/>
    <w:basedOn w:val="1"/>
    <w:next w:val="1"/>
    <w:link w:val="32"/>
    <w:autoRedefine/>
    <w:qFormat/>
    <w:uiPriority w:val="0"/>
    <w:pPr>
      <w:keepNext/>
      <w:keepLines/>
      <w:numPr>
        <w:ilvl w:val="3"/>
        <w:numId w:val="1"/>
      </w:numPr>
      <w:tabs>
        <w:tab w:val="left" w:pos="283"/>
      </w:tabs>
      <w:ind w:firstLine="640"/>
      <w:outlineLvl w:val="3"/>
    </w:pPr>
    <w:rPr>
      <w:b/>
      <w:bCs/>
    </w:rPr>
  </w:style>
  <w:style w:type="paragraph" w:styleId="7">
    <w:name w:val="heading 5"/>
    <w:basedOn w:val="1"/>
    <w:next w:val="1"/>
    <w:autoRedefine/>
    <w:qFormat/>
    <w:uiPriority w:val="0"/>
    <w:pPr>
      <w:keepNext/>
      <w:keepLines/>
      <w:numPr>
        <w:ilvl w:val="4"/>
        <w:numId w:val="1"/>
      </w:numPr>
      <w:tabs>
        <w:tab w:val="left" w:pos="283"/>
      </w:tabs>
      <w:ind w:firstLine="640"/>
      <w:outlineLvl w:val="4"/>
    </w:pPr>
    <w:rPr>
      <w:b/>
      <w:bCs/>
    </w:rPr>
  </w:style>
  <w:style w:type="paragraph" w:styleId="8">
    <w:name w:val="heading 6"/>
    <w:basedOn w:val="1"/>
    <w:next w:val="1"/>
    <w:autoRedefine/>
    <w:qFormat/>
    <w:uiPriority w:val="0"/>
    <w:pPr>
      <w:keepNext/>
      <w:keepLines/>
      <w:numPr>
        <w:ilvl w:val="5"/>
        <w:numId w:val="1"/>
      </w:numPr>
      <w:tabs>
        <w:tab w:val="left" w:pos="709"/>
      </w:tabs>
      <w:spacing w:line="360" w:lineRule="auto"/>
      <w:ind w:firstLine="0" w:firstLineChars="0"/>
      <w:outlineLvl w:val="5"/>
    </w:pPr>
    <w:rPr>
      <w:b/>
      <w:bCs/>
    </w:rPr>
  </w:style>
  <w:style w:type="paragraph" w:styleId="9">
    <w:name w:val="heading 7"/>
    <w:basedOn w:val="1"/>
    <w:next w:val="1"/>
    <w:autoRedefine/>
    <w:qFormat/>
    <w:uiPriority w:val="0"/>
    <w:pPr>
      <w:keepNext/>
      <w:keepLines/>
      <w:numPr>
        <w:ilvl w:val="6"/>
        <w:numId w:val="1"/>
      </w:numPr>
      <w:tabs>
        <w:tab w:val="left" w:pos="850"/>
      </w:tabs>
      <w:spacing w:line="360" w:lineRule="auto"/>
      <w:ind w:firstLine="0" w:firstLineChars="0"/>
      <w:outlineLvl w:val="6"/>
    </w:pPr>
    <w:rPr>
      <w:b/>
      <w:bCs/>
    </w:rPr>
  </w:style>
  <w:style w:type="paragraph" w:styleId="10">
    <w:name w:val="heading 8"/>
    <w:basedOn w:val="1"/>
    <w:next w:val="1"/>
    <w:autoRedefine/>
    <w:qFormat/>
    <w:uiPriority w:val="0"/>
    <w:pPr>
      <w:keepNext/>
      <w:keepLines/>
      <w:numPr>
        <w:ilvl w:val="7"/>
        <w:numId w:val="1"/>
      </w:numPr>
      <w:tabs>
        <w:tab w:val="left" w:pos="283"/>
      </w:tabs>
      <w:spacing w:line="360" w:lineRule="auto"/>
      <w:ind w:firstLine="0" w:firstLineChars="0"/>
      <w:outlineLvl w:val="7"/>
    </w:pPr>
    <w:rPr>
      <w:b/>
      <w:bCs/>
    </w:rPr>
  </w:style>
  <w:style w:type="paragraph" w:styleId="11">
    <w:name w:val="heading 9"/>
    <w:basedOn w:val="1"/>
    <w:next w:val="1"/>
    <w:autoRedefine/>
    <w:qFormat/>
    <w:uiPriority w:val="0"/>
    <w:pPr>
      <w:keepNext/>
      <w:keepLines/>
      <w:numPr>
        <w:ilvl w:val="8"/>
        <w:numId w:val="1"/>
      </w:numPr>
      <w:tabs>
        <w:tab w:val="left" w:pos="283"/>
      </w:tabs>
      <w:spacing w:line="360" w:lineRule="auto"/>
      <w:ind w:firstLine="0" w:firstLineChars="0"/>
      <w:outlineLvl w:val="8"/>
    </w:pPr>
    <w:rPr>
      <w:b/>
      <w:bCs/>
    </w:rPr>
  </w:style>
  <w:style w:type="character" w:default="1" w:styleId="27">
    <w:name w:val="Default Paragraph Font"/>
    <w:autoRedefine/>
    <w:unhideWhenUsed/>
    <w:qFormat/>
    <w:uiPriority w:val="1"/>
  </w:style>
  <w:style w:type="table" w:default="1" w:styleId="25">
    <w:name w:val="Normal Table"/>
    <w:autoRedefine/>
    <w:unhideWhenUsed/>
    <w:qFormat/>
    <w:uiPriority w:val="99"/>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pacing w:line="240" w:lineRule="auto"/>
      <w:ind w:firstLine="0" w:firstLineChars="0"/>
      <w:jc w:val="left"/>
    </w:pPr>
    <w:rPr>
      <w:sz w:val="21"/>
    </w:rPr>
  </w:style>
  <w:style w:type="paragraph" w:styleId="12">
    <w:name w:val="annotation text"/>
    <w:basedOn w:val="1"/>
    <w:link w:val="37"/>
    <w:autoRedefine/>
    <w:qFormat/>
    <w:uiPriority w:val="0"/>
    <w:pPr>
      <w:widowControl w:val="0"/>
      <w:adjustRightInd/>
      <w:snapToGrid/>
      <w:spacing w:line="240" w:lineRule="auto"/>
      <w:ind w:firstLine="0" w:firstLineChars="0"/>
      <w:jc w:val="left"/>
    </w:pPr>
    <w:rPr>
      <w:rFonts w:eastAsia="宋体" w:cs="Times New Roman"/>
      <w:kern w:val="2"/>
      <w:sz w:val="21"/>
      <w:szCs w:val="24"/>
    </w:rPr>
  </w:style>
  <w:style w:type="paragraph" w:styleId="13">
    <w:name w:val="Body Text"/>
    <w:basedOn w:val="1"/>
    <w:next w:val="14"/>
    <w:autoRedefine/>
    <w:qFormat/>
    <w:uiPriority w:val="99"/>
    <w:rPr>
      <w:sz w:val="28"/>
      <w:szCs w:val="20"/>
    </w:rPr>
  </w:style>
  <w:style w:type="paragraph" w:styleId="14">
    <w:name w:val="Title"/>
    <w:basedOn w:val="1"/>
    <w:next w:val="1"/>
    <w:autoRedefine/>
    <w:qFormat/>
    <w:uiPriority w:val="0"/>
    <w:pPr>
      <w:spacing w:before="100" w:beforeLines="100" w:after="100" w:afterLines="100" w:line="240" w:lineRule="auto"/>
      <w:ind w:firstLine="0" w:firstLineChars="0"/>
      <w:jc w:val="center"/>
      <w:outlineLvl w:val="0"/>
    </w:pPr>
    <w:rPr>
      <w:rFonts w:eastAsia="方正小标宋简体"/>
      <w:sz w:val="48"/>
    </w:rPr>
  </w:style>
  <w:style w:type="paragraph" w:styleId="15">
    <w:name w:val="Body Text Indent"/>
    <w:basedOn w:val="1"/>
    <w:autoRedefine/>
    <w:unhideWhenUsed/>
    <w:qFormat/>
    <w:uiPriority w:val="99"/>
    <w:pPr>
      <w:spacing w:after="120"/>
      <w:ind w:left="420" w:leftChars="200"/>
    </w:pPr>
  </w:style>
  <w:style w:type="paragraph" w:styleId="16">
    <w:name w:val="toc 3"/>
    <w:basedOn w:val="1"/>
    <w:next w:val="1"/>
    <w:autoRedefine/>
    <w:qFormat/>
    <w:uiPriority w:val="0"/>
    <w:pPr>
      <w:ind w:left="640" w:leftChars="200" w:firstLine="0" w:firstLineChars="0"/>
    </w:pPr>
    <w:rPr>
      <w:sz w:val="28"/>
    </w:rPr>
  </w:style>
  <w:style w:type="paragraph" w:styleId="17">
    <w:name w:val="Plain Text"/>
    <w:basedOn w:val="1"/>
    <w:next w:val="6"/>
    <w:autoRedefine/>
    <w:qFormat/>
    <w:uiPriority w:val="0"/>
    <w:rPr>
      <w:rFonts w:ascii="宋体" w:hAnsi="Courier New"/>
      <w:sz w:val="24"/>
      <w:szCs w:val="20"/>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ind w:firstLine="0" w:firstLineChars="0"/>
    </w:pPr>
    <w:rPr>
      <w:sz w:val="21"/>
    </w:rPr>
  </w:style>
  <w:style w:type="paragraph" w:styleId="19">
    <w:name w:val="toc 1"/>
    <w:basedOn w:val="1"/>
    <w:next w:val="1"/>
    <w:autoRedefine/>
    <w:qFormat/>
    <w:uiPriority w:val="0"/>
    <w:pPr>
      <w:ind w:firstLine="0" w:firstLineChars="0"/>
    </w:pPr>
    <w:rPr>
      <w:sz w:val="28"/>
    </w:rPr>
  </w:style>
  <w:style w:type="paragraph" w:styleId="20">
    <w:name w:val="toc 4"/>
    <w:basedOn w:val="1"/>
    <w:next w:val="1"/>
    <w:autoRedefine/>
    <w:qFormat/>
    <w:uiPriority w:val="0"/>
    <w:pPr>
      <w:ind w:left="960" w:leftChars="300" w:firstLine="0" w:firstLineChars="0"/>
    </w:pPr>
    <w:rPr>
      <w:sz w:val="28"/>
    </w:rPr>
  </w:style>
  <w:style w:type="paragraph" w:styleId="21">
    <w:name w:val="table of figures"/>
    <w:basedOn w:val="1"/>
    <w:next w:val="1"/>
    <w:autoRedefine/>
    <w:qFormat/>
    <w:uiPriority w:val="0"/>
    <w:pPr>
      <w:framePr w:wrap="around" w:vAnchor="margin" w:hAnchor="text" w:y="1"/>
      <w:widowControl w:val="0"/>
      <w:ind w:left="200" w:hanging="200"/>
    </w:pPr>
    <w:rPr>
      <w:rFonts w:hint="eastAsia" w:ascii="Arial Unicode MS" w:hAnsi="Arial Unicode MS" w:eastAsia="Calibri" w:cs="Arial Unicode MS"/>
      <w:color w:val="000000"/>
      <w:kern w:val="2"/>
      <w:sz w:val="21"/>
      <w:szCs w:val="21"/>
    </w:rPr>
  </w:style>
  <w:style w:type="paragraph" w:styleId="22">
    <w:name w:val="toc 2"/>
    <w:basedOn w:val="1"/>
    <w:next w:val="1"/>
    <w:autoRedefine/>
    <w:qFormat/>
    <w:uiPriority w:val="0"/>
    <w:pPr>
      <w:ind w:left="320" w:leftChars="100" w:firstLine="0" w:firstLineChars="0"/>
    </w:pPr>
    <w:rPr>
      <w:sz w:val="28"/>
    </w:rPr>
  </w:style>
  <w:style w:type="paragraph" w:styleId="23">
    <w:name w:val="Normal (Web)"/>
    <w:autoRedefine/>
    <w:unhideWhenUsed/>
    <w:qFormat/>
    <w:uiPriority w:val="99"/>
    <w:pPr>
      <w:spacing w:before="100" w:beforeAutospacing="1" w:after="100" w:afterAutospacing="1"/>
    </w:pPr>
    <w:rPr>
      <w:rFonts w:ascii="宋体" w:hAnsi="宋体" w:eastAsia="宋体" w:cs="宋体"/>
      <w:sz w:val="24"/>
      <w:szCs w:val="24"/>
      <w:lang w:val="en-US" w:eastAsia="zh-CN" w:bidi="ar-SA"/>
    </w:rPr>
  </w:style>
  <w:style w:type="paragraph" w:styleId="24">
    <w:name w:val="Body Text First Indent 2"/>
    <w:basedOn w:val="15"/>
    <w:next w:val="1"/>
    <w:autoRedefine/>
    <w:unhideWhenUsed/>
    <w:qFormat/>
    <w:uiPriority w:val="0"/>
    <w:pPr>
      <w:ind w:firstLine="420"/>
    </w:pPr>
  </w:style>
  <w:style w:type="table" w:styleId="26">
    <w:name w:val="Table Grid"/>
    <w:basedOn w:val="25"/>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annotation reference"/>
    <w:autoRedefine/>
    <w:qFormat/>
    <w:uiPriority w:val="0"/>
    <w:rPr>
      <w:sz w:val="21"/>
      <w:szCs w:val="21"/>
    </w:rPr>
  </w:style>
  <w:style w:type="character" w:customStyle="1" w:styleId="29">
    <w:name w:val="标题 3 字符"/>
    <w:link w:val="5"/>
    <w:autoRedefine/>
    <w:qFormat/>
    <w:uiPriority w:val="9"/>
    <w:rPr>
      <w:rFonts w:ascii="Tahoma" w:hAnsi="Tahoma" w:eastAsia="仿宋_GB2312"/>
      <w:b/>
      <w:kern w:val="0"/>
      <w:sz w:val="32"/>
    </w:rPr>
  </w:style>
  <w:style w:type="character" w:customStyle="1" w:styleId="30">
    <w:name w:val="标题 2 字符"/>
    <w:link w:val="4"/>
    <w:autoRedefine/>
    <w:qFormat/>
    <w:uiPriority w:val="9"/>
    <w:rPr>
      <w:rFonts w:ascii="Times New Roman" w:hAnsi="Times New Roman" w:eastAsia="黑体" w:cs="楷体"/>
      <w:b/>
      <w:sz w:val="32"/>
      <w:szCs w:val="32"/>
      <w:lang w:val="en-US" w:eastAsia="zh-CN" w:bidi="ar-SA"/>
    </w:rPr>
  </w:style>
  <w:style w:type="character" w:customStyle="1" w:styleId="31">
    <w:name w:val="标题 1 字符"/>
    <w:link w:val="3"/>
    <w:autoRedefine/>
    <w:qFormat/>
    <w:uiPriority w:val="9"/>
    <w:rPr>
      <w:rFonts w:ascii="Times New Roman" w:hAnsi="Times New Roman" w:eastAsia="方正小标宋简体" w:cs="黑体"/>
      <w:kern w:val="44"/>
      <w:sz w:val="48"/>
    </w:rPr>
  </w:style>
  <w:style w:type="character" w:customStyle="1" w:styleId="32">
    <w:name w:val="标题 4 字符"/>
    <w:link w:val="6"/>
    <w:autoRedefine/>
    <w:qFormat/>
    <w:uiPriority w:val="9"/>
    <w:rPr>
      <w:rFonts w:ascii="Times New Roman" w:hAnsi="Times New Roman" w:eastAsia="仿宋_GB2312"/>
      <w:b/>
      <w:bCs/>
      <w:kern w:val="0"/>
      <w:sz w:val="32"/>
    </w:rPr>
  </w:style>
  <w:style w:type="paragraph" w:customStyle="1" w:styleId="33">
    <w:name w:val="图表标题"/>
    <w:basedOn w:val="1"/>
    <w:next w:val="1"/>
    <w:autoRedefine/>
    <w:qFormat/>
    <w:uiPriority w:val="0"/>
    <w:pPr>
      <w:spacing w:line="240" w:lineRule="auto"/>
      <w:ind w:firstLine="0" w:firstLineChars="0"/>
      <w:jc w:val="center"/>
    </w:pPr>
    <w:rPr>
      <w:rFonts w:hint="eastAsia"/>
      <w:sz w:val="28"/>
      <w:szCs w:val="28"/>
    </w:rPr>
  </w:style>
  <w:style w:type="paragraph" w:customStyle="1" w:styleId="34">
    <w:name w:val="表内容"/>
    <w:basedOn w:val="1"/>
    <w:autoRedefine/>
    <w:qFormat/>
    <w:uiPriority w:val="0"/>
    <w:pPr>
      <w:widowControl w:val="0"/>
      <w:spacing w:line="240" w:lineRule="auto"/>
      <w:ind w:firstLine="0" w:firstLineChars="0"/>
    </w:pPr>
    <w:rPr>
      <w:rFonts w:hint="eastAsia"/>
      <w:sz w:val="28"/>
      <w:szCs w:val="28"/>
    </w:rPr>
  </w:style>
  <w:style w:type="paragraph" w:customStyle="1" w:styleId="35">
    <w:name w:val="图片"/>
    <w:basedOn w:val="1"/>
    <w:next w:val="33"/>
    <w:autoRedefine/>
    <w:qFormat/>
    <w:uiPriority w:val="0"/>
    <w:pPr>
      <w:spacing w:line="360" w:lineRule="auto"/>
      <w:ind w:firstLine="0" w:firstLineChars="0"/>
      <w:jc w:val="center"/>
    </w:pPr>
    <w:rPr>
      <w:sz w:val="28"/>
    </w:rPr>
  </w:style>
  <w:style w:type="paragraph" w:customStyle="1" w:styleId="36">
    <w:name w:val="文本标题"/>
    <w:basedOn w:val="1"/>
    <w:autoRedefine/>
    <w:qFormat/>
    <w:uiPriority w:val="0"/>
    <w:pPr>
      <w:ind w:firstLine="0" w:firstLineChars="0"/>
      <w:jc w:val="center"/>
    </w:pPr>
    <w:rPr>
      <w:rFonts w:eastAsia="方正小标宋简体"/>
      <w:sz w:val="44"/>
    </w:rPr>
  </w:style>
  <w:style w:type="character" w:customStyle="1" w:styleId="37">
    <w:name w:val="批注文字 字符"/>
    <w:link w:val="12"/>
    <w:autoRedefine/>
    <w:qFormat/>
    <w:uiPriority w:val="0"/>
    <w:rPr>
      <w:rFonts w:ascii="Times New Roman" w:hAnsi="Times New Roman" w:eastAsia="仿宋_GB2312" w:cs="仿宋_GB2312"/>
      <w:kern w:val="2"/>
      <w:sz w:val="21"/>
      <w:szCs w:val="24"/>
    </w:rPr>
  </w:style>
  <w:style w:type="character" w:customStyle="1" w:styleId="38">
    <w:name w:val="font21"/>
    <w:autoRedefine/>
    <w:qFormat/>
    <w:uiPriority w:val="0"/>
    <w:rPr>
      <w:rFonts w:hint="default" w:ascii="Arial" w:hAnsi="Arial" w:cs="Arial"/>
      <w:color w:val="000000"/>
      <w:sz w:val="22"/>
      <w:szCs w:val="22"/>
      <w:u w:val="none"/>
    </w:rPr>
  </w:style>
  <w:style w:type="paragraph" w:customStyle="1" w:styleId="39">
    <w:name w:val="List Paragraph"/>
    <w:autoRedefine/>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40">
    <w:name w:val="Default"/>
    <w:autoRedefine/>
    <w:qFormat/>
    <w:uiPriority w:val="0"/>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41">
    <w:name w:val="_Style 1"/>
    <w:basedOn w:val="1"/>
    <w:autoRedefine/>
    <w:qFormat/>
    <w:uiPriority w:val="34"/>
    <w:pPr>
      <w:spacing w:line="560" w:lineRule="exact"/>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1133</Words>
  <Characters>6462</Characters>
  <Lines>53</Lines>
  <Paragraphs>15</Paragraphs>
  <TotalTime>0</TotalTime>
  <ScaleCrop>false</ScaleCrop>
  <LinksUpToDate>false</LinksUpToDate>
  <CharactersWithSpaces>7580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2024-02-23T05:26:00Z</dcterms:created>
  <dc:creator>忱夕</dc:creator>
  <cp:lastModifiedBy>春田花花</cp:lastModifiedBy>
  <cp:lastPrinted>2024-02-23T17:27:00Z</cp:lastPrinted>
  <dcterms:modified xsi:type="dcterms:W3CDTF">2024-03-19T08:36:04Z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92FA65163782067A16A1E26544C95701_33</vt:lpwstr>
  </property>
</Properties>
</file>