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广西电子政务外网互联网出口线路</w:t>
      </w:r>
    </w:p>
    <w:p>
      <w:pPr>
        <w:spacing w:line="600" w:lineRule="exact"/>
        <w:ind w:firstLine="0" w:firstLineChars="0"/>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服务项目方案（询价公示稿）</w:t>
      </w:r>
    </w:p>
    <w:p>
      <w:pPr>
        <w:spacing w:line="600" w:lineRule="exact"/>
        <w:ind w:firstLine="640" w:firstLineChars="200"/>
        <w:outlineLvl w:val="9"/>
        <w:rPr>
          <w:rFonts w:hint="eastAsia" w:eastAsia="黑体" w:cs="Times New Roman"/>
          <w:sz w:val="32"/>
          <w:szCs w:val="32"/>
          <w:lang w:val="en-US" w:eastAsia="zh-CN"/>
        </w:rPr>
      </w:pPr>
    </w:p>
    <w:p>
      <w:pPr>
        <w:spacing w:line="600" w:lineRule="exact"/>
        <w:ind w:firstLine="640" w:firstLineChars="200"/>
        <w:outlineLvl w:val="0"/>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一、项目背景</w:t>
      </w:r>
    </w:p>
    <w:p>
      <w:pPr>
        <w:spacing w:line="560" w:lineRule="exact"/>
        <w:ind w:firstLine="640" w:firstLineChars="200"/>
        <w:outlineLvl w:val="9"/>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广西电子政务外网互联网出口线路</w:t>
      </w:r>
      <w:r>
        <w:rPr>
          <w:rFonts w:hint="eastAsia" w:eastAsia="仿宋_GB2312" w:cs="Times New Roman"/>
          <w:color w:val="auto"/>
          <w:sz w:val="32"/>
          <w:szCs w:val="32"/>
          <w:highlight w:val="none"/>
          <w:lang w:val="en-US" w:eastAsia="zh-CN"/>
        </w:rPr>
        <w:t>应用于</w:t>
      </w:r>
      <w:r>
        <w:rPr>
          <w:rFonts w:hint="default" w:ascii="Times New Roman" w:hAnsi="Times New Roman" w:eastAsia="仿宋_GB2312" w:cs="Times New Roman"/>
          <w:color w:val="auto"/>
          <w:sz w:val="32"/>
          <w:szCs w:val="32"/>
          <w:highlight w:val="none"/>
          <w:lang w:val="en-US" w:eastAsia="zh-CN"/>
        </w:rPr>
        <w:t>广西电子政务外网、广西电子政务外网</w:t>
      </w:r>
      <w:r>
        <w:rPr>
          <w:rFonts w:hint="eastAsia" w:ascii="Times New Roman" w:hAnsi="Times New Roman" w:eastAsia="仿宋_GB2312" w:cs="Times New Roman"/>
          <w:color w:val="auto"/>
          <w:sz w:val="32"/>
          <w:szCs w:val="32"/>
          <w:highlight w:val="none"/>
          <w:lang w:val="en-US" w:eastAsia="zh-CN"/>
        </w:rPr>
        <w:t>非信创云以及</w:t>
      </w:r>
      <w:r>
        <w:rPr>
          <w:rFonts w:hint="default" w:ascii="Times New Roman" w:hAnsi="Times New Roman" w:eastAsia="仿宋_GB2312" w:cs="Times New Roman"/>
          <w:color w:val="auto"/>
          <w:sz w:val="32"/>
          <w:szCs w:val="32"/>
          <w:highlight w:val="none"/>
          <w:lang w:val="en-US" w:eastAsia="zh-CN"/>
        </w:rPr>
        <w:t>广西电子政务外网自治区信创云</w:t>
      </w:r>
      <w:r>
        <w:rPr>
          <w:rFonts w:hint="eastAsia" w:eastAsia="仿宋_GB2312" w:cs="Times New Roman"/>
          <w:color w:val="auto"/>
          <w:sz w:val="32"/>
          <w:szCs w:val="32"/>
          <w:highlight w:val="none"/>
          <w:lang w:val="en-US" w:eastAsia="zh-CN"/>
        </w:rPr>
        <w:t>，主要用途为</w:t>
      </w:r>
      <w:r>
        <w:rPr>
          <w:rFonts w:hint="eastAsia" w:ascii="Times New Roman" w:hAnsi="Times New Roman" w:eastAsia="仿宋_GB2312" w:cs="Times New Roman"/>
          <w:color w:val="auto"/>
          <w:sz w:val="32"/>
          <w:szCs w:val="32"/>
          <w:highlight w:val="none"/>
          <w:lang w:val="en-US" w:eastAsia="zh-CN"/>
        </w:rPr>
        <w:t>用于政务外网用户上网、政务云应用对外发布等。</w:t>
      </w:r>
      <w:r>
        <w:rPr>
          <w:rFonts w:hint="eastAsia" w:eastAsia="仿宋_GB2312" w:cs="Times New Roman"/>
          <w:color w:val="auto"/>
          <w:sz w:val="32"/>
          <w:szCs w:val="32"/>
          <w:highlight w:val="none"/>
          <w:lang w:val="en-US" w:eastAsia="zh-CN"/>
        </w:rPr>
        <w:t>为满足政务网络需求，现拟采购</w:t>
      </w:r>
      <w:r>
        <w:rPr>
          <w:rFonts w:hint="default" w:ascii="Times New Roman" w:hAnsi="Times New Roman" w:eastAsia="仿宋_GB2312" w:cs="Times New Roman"/>
          <w:color w:val="auto"/>
          <w:sz w:val="32"/>
          <w:szCs w:val="32"/>
          <w:highlight w:val="none"/>
          <w:lang w:val="en-US" w:eastAsia="zh-CN"/>
        </w:rPr>
        <w:t>广西电子政务外网互联网出口线路</w:t>
      </w:r>
      <w:r>
        <w:rPr>
          <w:rFonts w:hint="eastAsia" w:eastAsia="仿宋_GB2312" w:cs="Times New Roman"/>
          <w:color w:val="auto"/>
          <w:sz w:val="32"/>
          <w:szCs w:val="32"/>
          <w:highlight w:val="none"/>
          <w:lang w:val="en-US" w:eastAsia="zh-CN"/>
        </w:rPr>
        <w:t>服务。</w:t>
      </w:r>
    </w:p>
    <w:p>
      <w:pPr>
        <w:spacing w:line="560" w:lineRule="exact"/>
        <w:ind w:firstLine="640" w:firstLineChars="200"/>
        <w:outlineLvl w:val="0"/>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二</w:t>
      </w:r>
      <w:r>
        <w:rPr>
          <w:rFonts w:hint="default" w:ascii="Times New Roman" w:hAnsi="Times New Roman" w:eastAsia="黑体" w:cs="Times New Roman"/>
          <w:sz w:val="32"/>
          <w:szCs w:val="32"/>
        </w:rPr>
        <w:t>、</w:t>
      </w:r>
      <w:r>
        <w:rPr>
          <w:rFonts w:hint="eastAsia" w:eastAsia="黑体" w:cs="Times New Roman"/>
          <w:sz w:val="32"/>
          <w:szCs w:val="32"/>
          <w:lang w:val="en-US" w:eastAsia="zh-CN"/>
        </w:rPr>
        <w:t>项目</w:t>
      </w:r>
      <w:r>
        <w:rPr>
          <w:rFonts w:hint="default" w:ascii="Times New Roman" w:hAnsi="Times New Roman" w:eastAsia="黑体" w:cs="Times New Roman"/>
          <w:sz w:val="32"/>
          <w:szCs w:val="32"/>
          <w:lang w:val="en-US" w:eastAsia="zh-CN"/>
        </w:rPr>
        <w:t>需求</w:t>
      </w:r>
    </w:p>
    <w:p>
      <w:pPr>
        <w:pStyle w:val="5"/>
        <w:keepNext w:val="0"/>
        <w:keepLines w:val="0"/>
        <w:pageBreakBefore w:val="0"/>
        <w:widowControl/>
        <w:kinsoku/>
        <w:wordWrap/>
        <w:overflowPunct/>
        <w:topLinePunct/>
        <w:autoSpaceDE/>
        <w:autoSpaceDN/>
        <w:bidi w:val="0"/>
        <w:adjustRightInd w:val="0"/>
        <w:snapToGrid w:val="0"/>
        <w:spacing w:before="0" w:after="0" w:line="560" w:lineRule="exact"/>
        <w:ind w:left="0" w:leftChars="0" w:right="0" w:rightChars="0" w:firstLine="640" w:firstLineChars="200"/>
        <w:jc w:val="both"/>
        <w:textAlignment w:val="auto"/>
        <w:rPr>
          <w:rFonts w:hint="default"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采购服务期三年，</w:t>
      </w:r>
      <w:r>
        <w:rPr>
          <w:rFonts w:hint="eastAsia" w:eastAsia="仿宋_GB2312"/>
          <w:snapToGrid w:val="0"/>
          <w:kern w:val="0"/>
          <w:sz w:val="32"/>
          <w:szCs w:val="32"/>
        </w:rPr>
        <w:t>具体服务周期时间按线路启用时间进行计算。</w:t>
      </w:r>
      <w:r>
        <w:rPr>
          <w:rFonts w:hint="eastAsia" w:eastAsia="仿宋_GB2312"/>
          <w:snapToGrid w:val="0"/>
          <w:kern w:val="0"/>
          <w:sz w:val="32"/>
          <w:szCs w:val="32"/>
          <w:lang w:val="en-US" w:eastAsia="zh-CN"/>
        </w:rPr>
        <w:t>根据政务网络冗余要求，需采购三家不同的供应商提供服务。对不同业务需提供</w:t>
      </w:r>
      <w:r>
        <w:rPr>
          <w:rFonts w:hint="eastAsia" w:eastAsia="仿宋_GB2312" w:cs="Times New Roman"/>
          <w:color w:val="000000" w:themeColor="text1"/>
          <w:sz w:val="32"/>
          <w:szCs w:val="32"/>
          <w:lang w:val="en-US" w:eastAsia="zh-CN"/>
          <w14:textFill>
            <w14:solidFill>
              <w14:schemeClr w14:val="tx1"/>
            </w14:solidFill>
          </w14:textFill>
        </w:rPr>
        <w:t>服务和技术要求如下：</w:t>
      </w:r>
    </w:p>
    <w:tbl>
      <w:tblPr>
        <w:tblStyle w:val="7"/>
        <w:tblpPr w:leftFromText="180" w:rightFromText="180" w:vertAnchor="text" w:horzAnchor="page" w:tblpX="931" w:tblpY="335"/>
        <w:tblOverlap w:val="never"/>
        <w:tblW w:w="1008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90"/>
        <w:gridCol w:w="1701"/>
        <w:gridCol w:w="1134"/>
        <w:gridCol w:w="6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89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lang w:val="zh-TW" w:eastAsia="zh-TW"/>
              </w:rPr>
              <w:t>序号</w:t>
            </w:r>
          </w:p>
        </w:tc>
        <w:tc>
          <w:tcPr>
            <w:tcW w:w="17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lang w:val="zh-TW" w:eastAsia="zh-TW"/>
              </w:rPr>
              <w:t>服务名称</w:t>
            </w:r>
          </w:p>
        </w:tc>
        <w:tc>
          <w:tcPr>
            <w:tcW w:w="113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lang w:val="zh-TW" w:eastAsia="zh-TW"/>
              </w:rPr>
              <w:t>数量</w:t>
            </w:r>
          </w:p>
        </w:tc>
        <w:tc>
          <w:tcPr>
            <w:tcW w:w="636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
                <w:bCs/>
                <w:color w:val="auto"/>
                <w:sz w:val="24"/>
                <w:szCs w:val="24"/>
                <w:highlight w:val="none"/>
                <w:lang w:val="en-US" w:eastAsia="zh-CN"/>
              </w:rPr>
              <w:t>参数</w:t>
            </w:r>
            <w:r>
              <w:rPr>
                <w:rFonts w:hint="default" w:ascii="Times New Roman" w:hAnsi="Times New Roman" w:eastAsia="黑体" w:cs="Times New Roman"/>
                <w:b/>
                <w:bCs/>
                <w:color w:val="auto"/>
                <w:sz w:val="24"/>
                <w:szCs w:val="24"/>
                <w:highlight w:val="none"/>
                <w:lang w:val="zh-TW" w:eastAsia="zh-TW"/>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0" w:hRule="atLeast"/>
        </w:trPr>
        <w:tc>
          <w:tcPr>
            <w:tcW w:w="89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4"/>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zh-TW" w:eastAsia="zh-TW"/>
              </w:rPr>
              <w:t>1</w:t>
            </w:r>
          </w:p>
        </w:tc>
        <w:tc>
          <w:tcPr>
            <w:tcW w:w="17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线路1</w:t>
            </w:r>
          </w:p>
        </w:tc>
        <w:tc>
          <w:tcPr>
            <w:tcW w:w="113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4"/>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1项</w:t>
            </w:r>
          </w:p>
        </w:tc>
        <w:tc>
          <w:tcPr>
            <w:tcW w:w="636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keepNext w:val="0"/>
              <w:keepLines w:val="0"/>
              <w:pageBreakBefore w:val="0"/>
              <w:numPr>
                <w:ilvl w:val="0"/>
                <w:numId w:val="1"/>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提供12.5Gbps互联网专线接入互联网</w:t>
            </w:r>
            <w:r>
              <w:rPr>
                <w:rFonts w:hint="eastAsia" w:eastAsia="仿宋_GB2312" w:cs="Times New Roman"/>
                <w:color w:val="auto"/>
                <w:sz w:val="24"/>
                <w:szCs w:val="24"/>
                <w:highlight w:val="none"/>
                <w:lang w:eastAsia="zh-CN"/>
              </w:rPr>
              <w:t>，其中一条5G用于政务外网用户上网互联网出口，一条5G用于非信创云互联网出口，2.5G用于信创云互联网出口</w:t>
            </w:r>
            <w:r>
              <w:rPr>
                <w:rFonts w:hint="default" w:ascii="Times New Roman" w:hAnsi="Times New Roman" w:eastAsia="仿宋_GB2312" w:cs="Times New Roman"/>
                <w:color w:val="auto"/>
                <w:sz w:val="24"/>
                <w:szCs w:val="24"/>
                <w:highlight w:val="none"/>
              </w:rPr>
              <w:t>。</w:t>
            </w:r>
            <w:r>
              <w:rPr>
                <w:rFonts w:hint="eastAsia" w:eastAsia="仿宋_GB2312" w:cs="Times New Roman"/>
                <w:color w:val="auto"/>
                <w:sz w:val="24"/>
                <w:szCs w:val="24"/>
                <w:highlight w:val="none"/>
                <w:lang w:val="en-US" w:eastAsia="zh-CN"/>
              </w:rPr>
              <w:t>3条</w:t>
            </w:r>
            <w:r>
              <w:rPr>
                <w:rFonts w:hint="default" w:ascii="Times New Roman" w:hAnsi="Times New Roman" w:eastAsia="仿宋_GB2312" w:cs="Times New Roman"/>
                <w:color w:val="auto"/>
                <w:sz w:val="24"/>
                <w:szCs w:val="24"/>
                <w:highlight w:val="none"/>
              </w:rPr>
              <w:t>专线连接到互联网带宽</w:t>
            </w:r>
            <w:r>
              <w:rPr>
                <w:rFonts w:hint="eastAsia" w:eastAsia="仿宋_GB2312" w:cs="Times New Roman"/>
                <w:color w:val="auto"/>
                <w:sz w:val="24"/>
                <w:szCs w:val="24"/>
                <w:highlight w:val="none"/>
                <w:lang w:val="en-US" w:eastAsia="zh-CN"/>
              </w:rPr>
              <w:t>的</w:t>
            </w:r>
            <w:r>
              <w:rPr>
                <w:rFonts w:hint="default" w:ascii="Times New Roman" w:hAnsi="Times New Roman" w:eastAsia="仿宋_GB2312" w:cs="Times New Roman"/>
                <w:color w:val="auto"/>
                <w:sz w:val="24"/>
                <w:szCs w:val="24"/>
                <w:highlight w:val="none"/>
              </w:rPr>
              <w:t>上下行速率</w:t>
            </w:r>
            <w:r>
              <w:rPr>
                <w:rFonts w:hint="eastAsia" w:eastAsia="仿宋_GB2312" w:cs="Times New Roman"/>
                <w:color w:val="auto"/>
                <w:sz w:val="24"/>
                <w:szCs w:val="24"/>
                <w:highlight w:val="none"/>
                <w:lang w:val="en-US" w:eastAsia="zh-CN"/>
              </w:rPr>
              <w:t>均</w:t>
            </w:r>
            <w:r>
              <w:rPr>
                <w:rFonts w:hint="default" w:ascii="Times New Roman" w:hAnsi="Times New Roman" w:eastAsia="仿宋_GB2312" w:cs="Times New Roman"/>
                <w:color w:val="auto"/>
                <w:sz w:val="24"/>
                <w:szCs w:val="24"/>
                <w:highlight w:val="none"/>
              </w:rPr>
              <w:t>能</w:t>
            </w:r>
            <w:r>
              <w:rPr>
                <w:rFonts w:hint="eastAsia" w:eastAsia="仿宋_GB2312" w:cs="Times New Roman"/>
                <w:color w:val="auto"/>
                <w:sz w:val="24"/>
                <w:szCs w:val="24"/>
                <w:highlight w:val="none"/>
                <w:lang w:val="en-US" w:eastAsia="zh-CN"/>
              </w:rPr>
              <w:t>分别</w:t>
            </w:r>
            <w:r>
              <w:rPr>
                <w:rFonts w:hint="default" w:ascii="Times New Roman" w:hAnsi="Times New Roman" w:eastAsia="仿宋_GB2312" w:cs="Times New Roman"/>
                <w:color w:val="auto"/>
                <w:sz w:val="24"/>
                <w:szCs w:val="24"/>
                <w:highlight w:val="none"/>
              </w:rPr>
              <w:t>稳定在</w:t>
            </w:r>
            <w:r>
              <w:rPr>
                <w:rFonts w:hint="eastAsia" w:eastAsia="仿宋_GB2312" w:cs="Times New Roman"/>
                <w:color w:val="auto"/>
                <w:sz w:val="24"/>
                <w:szCs w:val="24"/>
                <w:highlight w:val="none"/>
                <w:lang w:val="en-US" w:eastAsia="zh-CN"/>
              </w:rPr>
              <w:t>5G</w:t>
            </w:r>
            <w:r>
              <w:rPr>
                <w:rFonts w:hint="default" w:ascii="Times New Roman" w:hAnsi="Times New Roman" w:eastAsia="仿宋_GB2312" w:cs="Times New Roman"/>
                <w:color w:val="auto"/>
                <w:sz w:val="24"/>
                <w:szCs w:val="24"/>
                <w:highlight w:val="none"/>
                <w:lang w:val="en-US" w:eastAsia="zh-CN"/>
              </w:rPr>
              <w:t>bit/s</w:t>
            </w:r>
            <w:r>
              <w:rPr>
                <w:rFonts w:hint="eastAsia" w:eastAsia="仿宋_GB2312" w:cs="Times New Roman"/>
                <w:color w:val="auto"/>
                <w:sz w:val="24"/>
                <w:szCs w:val="24"/>
                <w:highlight w:val="none"/>
                <w:lang w:val="en-US" w:eastAsia="zh-CN"/>
              </w:rPr>
              <w:t>、5G</w:t>
            </w:r>
            <w:r>
              <w:rPr>
                <w:rFonts w:hint="default" w:ascii="Times New Roman" w:hAnsi="Times New Roman" w:eastAsia="仿宋_GB2312" w:cs="Times New Roman"/>
                <w:color w:val="auto"/>
                <w:sz w:val="24"/>
                <w:szCs w:val="24"/>
                <w:highlight w:val="none"/>
                <w:lang w:val="en-US" w:eastAsia="zh-CN"/>
              </w:rPr>
              <w:t>bit/s</w:t>
            </w:r>
            <w:r>
              <w:rPr>
                <w:rFonts w:hint="eastAsia" w:eastAsia="仿宋_GB2312" w:cs="Times New Roman"/>
                <w:color w:val="auto"/>
                <w:sz w:val="24"/>
                <w:szCs w:val="24"/>
                <w:highlight w:val="none"/>
                <w:lang w:val="en-US" w:eastAsia="zh-CN"/>
              </w:rPr>
              <w:t>、2.5G</w:t>
            </w:r>
            <w:r>
              <w:rPr>
                <w:rFonts w:hint="default" w:ascii="Times New Roman" w:hAnsi="Times New Roman" w:eastAsia="仿宋_GB2312" w:cs="Times New Roman"/>
                <w:color w:val="auto"/>
                <w:sz w:val="24"/>
                <w:szCs w:val="24"/>
                <w:highlight w:val="none"/>
                <w:lang w:val="en-US" w:eastAsia="zh-CN"/>
              </w:rPr>
              <w:t>bit/s</w:t>
            </w:r>
            <w:r>
              <w:rPr>
                <w:rFonts w:hint="eastAsia" w:eastAsia="仿宋_GB2312" w:cs="Times New Roman"/>
                <w:color w:val="auto"/>
                <w:sz w:val="24"/>
                <w:szCs w:val="24"/>
                <w:highlight w:val="none"/>
                <w:lang w:val="en-US" w:eastAsia="zh-CN"/>
              </w:rPr>
              <w:t>，且为独享带宽；</w:t>
            </w:r>
            <w:r>
              <w:rPr>
                <w:rFonts w:hint="default" w:ascii="Times New Roman" w:hAnsi="Times New Roman" w:eastAsia="仿宋_GB2312" w:cs="Times New Roman"/>
                <w:color w:val="auto"/>
                <w:sz w:val="24"/>
                <w:szCs w:val="24"/>
                <w:highlight w:val="none"/>
                <w:lang w:val="en-US" w:eastAsia="zh-CN"/>
              </w:rPr>
              <w:t>提供1条不小于2.5Gbps的VPDN/APN专线，用于政务外网业务。带宽上下行速率均能分别稳定在2.5G bit/s，且为网络传输服务提供商独享带宽。要求支持双上联接入</w:t>
            </w:r>
            <w:r>
              <w:rPr>
                <w:rFonts w:hint="eastAsia" w:eastAsia="仿宋_GB2312" w:cs="Times New Roman"/>
                <w:color w:val="auto"/>
                <w:sz w:val="24"/>
                <w:szCs w:val="24"/>
                <w:highlight w:val="none"/>
                <w:lang w:val="en-US" w:eastAsia="zh-CN"/>
              </w:rPr>
              <w:t>，支持各线路间带宽动态调整</w:t>
            </w:r>
            <w:r>
              <w:rPr>
                <w:rFonts w:hint="default" w:ascii="Times New Roman" w:hAnsi="Times New Roman" w:eastAsia="仿宋_GB2312" w:cs="Times New Roman"/>
                <w:color w:val="auto"/>
                <w:sz w:val="24"/>
                <w:szCs w:val="24"/>
                <w:highlight w:val="none"/>
                <w:lang w:val="en-US" w:eastAsia="zh-CN"/>
              </w:rPr>
              <w:t>。</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互联网专线宽带光纤提供全程双物理路由的环路保护，接入方式为光纤接入，接入免费提供传输设备和接入光模块。提供可自行分配且可直接使用的连续固定互联网IPv4和IPv6地址；提供16个C类IPv4公网地址和两段IPv6地址，其中一段不少于48位前缀，一段不少于64位前缀。IPv6地址共用专线，并支持专线内部IPv4、IPv6带宽动态调整。</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3.提供的互联网专线接入骨干网网关跳数不超过3跳；电路质量应符合国家相关标准和规定。</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4.接入地点：指定地点，且需铺设线路至指定接入设备前，铺设路程由提供商自行勘探。</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5.提供用户传输端设备，且具备双电源供电。</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6.提供≥1</w:t>
            </w:r>
            <w:r>
              <w:rPr>
                <w:rFonts w:hint="eastAsia" w:eastAsia="仿宋_GB2312" w:cs="Times New Roman"/>
                <w:color w:val="auto"/>
                <w:sz w:val="24"/>
                <w:szCs w:val="24"/>
                <w:highlight w:val="none"/>
                <w:lang w:val="en-US" w:eastAsia="zh-CN"/>
              </w:rPr>
              <w:t>2.5</w:t>
            </w:r>
            <w:r>
              <w:rPr>
                <w:rFonts w:hint="default" w:ascii="Times New Roman" w:hAnsi="Times New Roman" w:eastAsia="仿宋_GB2312" w:cs="Times New Roman"/>
                <w:color w:val="auto"/>
                <w:sz w:val="24"/>
                <w:szCs w:val="24"/>
                <w:highlight w:val="none"/>
              </w:rPr>
              <w:t>G攻击防护容量的</w:t>
            </w:r>
            <w:bookmarkStart w:id="0" w:name="_GoBack"/>
            <w:bookmarkEnd w:id="0"/>
            <w:r>
              <w:rPr>
                <w:rFonts w:hint="default" w:ascii="Times New Roman" w:hAnsi="Times New Roman" w:eastAsia="仿宋_GB2312" w:cs="Times New Roman"/>
                <w:color w:val="auto"/>
                <w:sz w:val="24"/>
                <w:szCs w:val="24"/>
                <w:highlight w:val="none"/>
              </w:rPr>
              <w:t>DDOS攻击防护服务，地址段监测和防护IP地址不低于不低于提供的IPv4地址数量和IPv6地址数量，不限次数清洗。每年提供5次每次不超过48小时的</w:t>
            </w:r>
            <w:r>
              <w:rPr>
                <w:rFonts w:hint="eastAsia" w:eastAsia="仿宋_GB2312" w:cs="Times New Roman"/>
                <w:color w:val="auto"/>
                <w:sz w:val="24"/>
                <w:szCs w:val="24"/>
                <w:highlight w:val="none"/>
                <w:lang w:val="en-US" w:eastAsia="zh-CN"/>
              </w:rPr>
              <w:t>150</w:t>
            </w:r>
            <w:r>
              <w:rPr>
                <w:rFonts w:hint="default" w:ascii="Times New Roman" w:hAnsi="Times New Roman" w:eastAsia="仿宋_GB2312" w:cs="Times New Roman"/>
                <w:color w:val="auto"/>
                <w:sz w:val="24"/>
                <w:szCs w:val="24"/>
                <w:highlight w:val="none"/>
              </w:rPr>
              <w:t>G攻击防护，采用基于管道侧的清洗中心，使用BGP进行全网牵引清洗或长牵引清洗，无需修改DNS配置和IP地址，只需要提供防护目标对象即可进行防护。</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7.服务期间，如有需要，提供商需免费将线路迁移至指定地址。</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8.电路月故障率≤0.01%（如遇不可抗力或市政施工除外）。</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9.提供7*24小时故障申告直达电话，故障处理1小时内完成。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97" w:hRule="atLeast"/>
        </w:trPr>
        <w:tc>
          <w:tcPr>
            <w:tcW w:w="89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4"/>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_GB2312" w:cs="Times New Roman"/>
                <w:color w:val="auto"/>
                <w:kern w:val="2"/>
                <w:sz w:val="24"/>
                <w:szCs w:val="24"/>
                <w:highlight w:val="none"/>
                <w:lang w:val="zh-TW" w:eastAsia="zh-CN" w:bidi="ar-SA"/>
              </w:rPr>
            </w:pPr>
            <w:r>
              <w:rPr>
                <w:rFonts w:hint="default" w:ascii="Times New Roman" w:hAnsi="Times New Roman" w:eastAsia="仿宋_GB2312" w:cs="Times New Roman"/>
                <w:color w:val="auto"/>
                <w:sz w:val="24"/>
                <w:szCs w:val="24"/>
                <w:highlight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线路2</w:t>
            </w:r>
          </w:p>
        </w:tc>
        <w:tc>
          <w:tcPr>
            <w:tcW w:w="113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4"/>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sz w:val="24"/>
                <w:szCs w:val="24"/>
                <w:highlight w:val="none"/>
                <w:lang w:val="en-US" w:eastAsia="zh-CN"/>
              </w:rPr>
              <w:t>1项</w:t>
            </w:r>
          </w:p>
        </w:tc>
        <w:tc>
          <w:tcPr>
            <w:tcW w:w="636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1.提供14.5Gbps互联网专线接入互联网，其中一条5G用于政务外网用户上网互联网出口，</w:t>
            </w:r>
            <w:r>
              <w:rPr>
                <w:rFonts w:hint="eastAsia" w:eastAsia="仿宋_GB2312" w:cs="Times New Roman"/>
                <w:color w:val="auto"/>
                <w:sz w:val="24"/>
                <w:szCs w:val="24"/>
                <w:highlight w:val="none"/>
                <w:lang w:val="en-US" w:eastAsia="zh-CN"/>
              </w:rPr>
              <w:t>一条5G和一条2G</w:t>
            </w:r>
            <w:r>
              <w:rPr>
                <w:rFonts w:hint="default" w:ascii="Times New Roman" w:hAnsi="Times New Roman" w:eastAsia="仿宋_GB2312" w:cs="Times New Roman"/>
                <w:color w:val="auto"/>
                <w:sz w:val="24"/>
                <w:szCs w:val="24"/>
                <w:highlight w:val="none"/>
              </w:rPr>
              <w:t>用于非信创云互联网出口，</w:t>
            </w:r>
            <w:r>
              <w:rPr>
                <w:rFonts w:hint="eastAsia" w:eastAsia="仿宋_GB2312" w:cs="Times New Roman"/>
                <w:color w:val="auto"/>
                <w:sz w:val="24"/>
                <w:szCs w:val="24"/>
                <w:highlight w:val="none"/>
                <w:lang w:val="en-US" w:eastAsia="zh-CN"/>
              </w:rPr>
              <w:t>一条</w:t>
            </w:r>
            <w:r>
              <w:rPr>
                <w:rFonts w:hint="default" w:ascii="Times New Roman" w:hAnsi="Times New Roman" w:eastAsia="仿宋_GB2312" w:cs="Times New Roman"/>
                <w:color w:val="auto"/>
                <w:sz w:val="24"/>
                <w:szCs w:val="24"/>
                <w:highlight w:val="none"/>
              </w:rPr>
              <w:t>2.5G用于信创云互联网出口。</w:t>
            </w:r>
            <w:r>
              <w:rPr>
                <w:rFonts w:hint="eastAsia" w:eastAsia="仿宋_GB2312" w:cs="Times New Roman"/>
                <w:color w:val="auto"/>
                <w:sz w:val="24"/>
                <w:szCs w:val="24"/>
                <w:highlight w:val="none"/>
                <w:lang w:val="en-US" w:eastAsia="zh-CN"/>
              </w:rPr>
              <w:t>4条</w:t>
            </w:r>
            <w:r>
              <w:rPr>
                <w:rFonts w:hint="default" w:ascii="Times New Roman" w:hAnsi="Times New Roman" w:eastAsia="仿宋_GB2312" w:cs="Times New Roman"/>
                <w:color w:val="auto"/>
                <w:sz w:val="24"/>
                <w:szCs w:val="24"/>
                <w:highlight w:val="none"/>
              </w:rPr>
              <w:t>专线连接到互联网带宽</w:t>
            </w:r>
            <w:r>
              <w:rPr>
                <w:rFonts w:hint="eastAsia" w:eastAsia="仿宋_GB2312" w:cs="Times New Roman"/>
                <w:color w:val="auto"/>
                <w:sz w:val="24"/>
                <w:szCs w:val="24"/>
                <w:highlight w:val="none"/>
                <w:lang w:val="en-US" w:eastAsia="zh-CN"/>
              </w:rPr>
              <w:t>的</w:t>
            </w:r>
            <w:r>
              <w:rPr>
                <w:rFonts w:hint="default" w:ascii="Times New Roman" w:hAnsi="Times New Roman" w:eastAsia="仿宋_GB2312" w:cs="Times New Roman"/>
                <w:color w:val="auto"/>
                <w:sz w:val="24"/>
                <w:szCs w:val="24"/>
                <w:highlight w:val="none"/>
              </w:rPr>
              <w:t>上下行速率</w:t>
            </w:r>
            <w:r>
              <w:rPr>
                <w:rFonts w:hint="eastAsia" w:eastAsia="仿宋_GB2312" w:cs="Times New Roman"/>
                <w:color w:val="auto"/>
                <w:sz w:val="24"/>
                <w:szCs w:val="24"/>
                <w:highlight w:val="none"/>
                <w:lang w:val="en-US" w:eastAsia="zh-CN"/>
              </w:rPr>
              <w:t>均</w:t>
            </w:r>
            <w:r>
              <w:rPr>
                <w:rFonts w:hint="default" w:ascii="Times New Roman" w:hAnsi="Times New Roman" w:eastAsia="仿宋_GB2312" w:cs="Times New Roman"/>
                <w:color w:val="auto"/>
                <w:sz w:val="24"/>
                <w:szCs w:val="24"/>
                <w:highlight w:val="none"/>
              </w:rPr>
              <w:t>能</w:t>
            </w:r>
            <w:r>
              <w:rPr>
                <w:rFonts w:hint="eastAsia" w:eastAsia="仿宋_GB2312" w:cs="Times New Roman"/>
                <w:color w:val="auto"/>
                <w:sz w:val="24"/>
                <w:szCs w:val="24"/>
                <w:highlight w:val="none"/>
                <w:lang w:val="en-US" w:eastAsia="zh-CN"/>
              </w:rPr>
              <w:t>分别</w:t>
            </w:r>
            <w:r>
              <w:rPr>
                <w:rFonts w:hint="default" w:ascii="Times New Roman" w:hAnsi="Times New Roman" w:eastAsia="仿宋_GB2312" w:cs="Times New Roman"/>
                <w:color w:val="auto"/>
                <w:sz w:val="24"/>
                <w:szCs w:val="24"/>
                <w:highlight w:val="none"/>
              </w:rPr>
              <w:t>稳定在</w:t>
            </w:r>
            <w:r>
              <w:rPr>
                <w:rFonts w:hint="eastAsia" w:eastAsia="仿宋_GB2312" w:cs="Times New Roman"/>
                <w:color w:val="auto"/>
                <w:sz w:val="24"/>
                <w:szCs w:val="24"/>
                <w:highlight w:val="none"/>
                <w:lang w:val="en-US" w:eastAsia="zh-CN"/>
              </w:rPr>
              <w:t>5G</w:t>
            </w:r>
            <w:r>
              <w:rPr>
                <w:rFonts w:hint="default" w:ascii="Times New Roman" w:hAnsi="Times New Roman" w:eastAsia="仿宋_GB2312" w:cs="Times New Roman"/>
                <w:color w:val="auto"/>
                <w:sz w:val="24"/>
                <w:szCs w:val="24"/>
                <w:highlight w:val="none"/>
                <w:lang w:val="en-US" w:eastAsia="zh-CN"/>
              </w:rPr>
              <w:t>bit/s</w:t>
            </w:r>
            <w:r>
              <w:rPr>
                <w:rFonts w:hint="eastAsia" w:eastAsia="仿宋_GB2312" w:cs="Times New Roman"/>
                <w:color w:val="auto"/>
                <w:sz w:val="24"/>
                <w:szCs w:val="24"/>
                <w:highlight w:val="none"/>
                <w:lang w:val="en-US" w:eastAsia="zh-CN"/>
              </w:rPr>
              <w:t>、5G</w:t>
            </w:r>
            <w:r>
              <w:rPr>
                <w:rFonts w:hint="default" w:ascii="Times New Roman" w:hAnsi="Times New Roman" w:eastAsia="仿宋_GB2312" w:cs="Times New Roman"/>
                <w:color w:val="auto"/>
                <w:sz w:val="24"/>
                <w:szCs w:val="24"/>
                <w:highlight w:val="none"/>
                <w:lang w:val="en-US" w:eastAsia="zh-CN"/>
              </w:rPr>
              <w:t>bit/s</w:t>
            </w:r>
            <w:r>
              <w:rPr>
                <w:rFonts w:hint="eastAsia" w:eastAsia="仿宋_GB2312" w:cs="Times New Roman"/>
                <w:color w:val="auto"/>
                <w:sz w:val="24"/>
                <w:szCs w:val="24"/>
                <w:highlight w:val="none"/>
                <w:lang w:val="en-US" w:eastAsia="zh-CN"/>
              </w:rPr>
              <w:t>、2G</w:t>
            </w:r>
            <w:r>
              <w:rPr>
                <w:rFonts w:hint="default" w:ascii="Times New Roman" w:hAnsi="Times New Roman" w:eastAsia="仿宋_GB2312" w:cs="Times New Roman"/>
                <w:color w:val="auto"/>
                <w:sz w:val="24"/>
                <w:szCs w:val="24"/>
                <w:highlight w:val="none"/>
                <w:lang w:val="en-US" w:eastAsia="zh-CN"/>
              </w:rPr>
              <w:t>bit/s</w:t>
            </w:r>
            <w:r>
              <w:rPr>
                <w:rFonts w:hint="eastAsia" w:eastAsia="仿宋_GB2312" w:cs="Times New Roman"/>
                <w:color w:val="auto"/>
                <w:sz w:val="24"/>
                <w:szCs w:val="24"/>
                <w:highlight w:val="none"/>
                <w:lang w:val="en-US" w:eastAsia="zh-CN"/>
              </w:rPr>
              <w:t>、2.5G</w:t>
            </w:r>
            <w:r>
              <w:rPr>
                <w:rFonts w:hint="default" w:ascii="Times New Roman" w:hAnsi="Times New Roman" w:eastAsia="仿宋_GB2312" w:cs="Times New Roman"/>
                <w:color w:val="auto"/>
                <w:sz w:val="24"/>
                <w:szCs w:val="24"/>
                <w:highlight w:val="none"/>
                <w:lang w:val="en-US" w:eastAsia="zh-CN"/>
              </w:rPr>
              <w:t>bit/s</w:t>
            </w:r>
            <w:r>
              <w:rPr>
                <w:rFonts w:hint="eastAsia" w:eastAsia="仿宋_GB2312" w:cs="Times New Roman"/>
                <w:color w:val="auto"/>
                <w:sz w:val="24"/>
                <w:szCs w:val="24"/>
                <w:highlight w:val="none"/>
                <w:lang w:val="en-US" w:eastAsia="zh-CN"/>
              </w:rPr>
              <w:t>，且为独享带宽；</w:t>
            </w:r>
            <w:r>
              <w:rPr>
                <w:rFonts w:hint="default" w:ascii="Times New Roman" w:hAnsi="Times New Roman" w:eastAsia="仿宋_GB2312" w:cs="Times New Roman"/>
                <w:color w:val="auto"/>
                <w:sz w:val="24"/>
                <w:szCs w:val="24"/>
                <w:highlight w:val="none"/>
                <w:lang w:val="en-US" w:eastAsia="zh-CN"/>
              </w:rPr>
              <w:t>提供1条不小于2.5Gbps的VPDN/APN专线，用于政务外网业务。带宽上下行速率均能分别稳定在2.5G bit/s，且为网络传输服务提供商独享带宽。要求支持双上联接入</w:t>
            </w:r>
            <w:r>
              <w:rPr>
                <w:rFonts w:hint="eastAsia" w:eastAsia="仿宋_GB2312" w:cs="Times New Roman"/>
                <w:color w:val="auto"/>
                <w:sz w:val="24"/>
                <w:szCs w:val="24"/>
                <w:highlight w:val="none"/>
                <w:lang w:val="en-US" w:eastAsia="zh-CN"/>
              </w:rPr>
              <w:t>，支持各线路间带宽动态调整</w:t>
            </w:r>
            <w:r>
              <w:rPr>
                <w:rFonts w:hint="default" w:ascii="Times New Roman" w:hAnsi="Times New Roman" w:eastAsia="仿宋_GB2312" w:cs="Times New Roman"/>
                <w:color w:val="auto"/>
                <w:sz w:val="24"/>
                <w:szCs w:val="24"/>
                <w:highlight w:val="none"/>
                <w:lang w:val="en-US" w:eastAsia="zh-CN"/>
              </w:rPr>
              <w:t>。</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须为该互联网专线宽带光纤提供全程双物理路由的环路保护，接入方式为光纤接入，免费提供传输设备和接入光模块。提供可自行分配且可直接使用的连续固定互联网IPv4和IPv6地址；提供17个C类IPv4公网地址和三段IPv6地址，其中一段不少于48位前缀，两段不少于64位前缀。IPv4和IPv6地址共用专线，并支持专线内部IPv4、IPv6带宽动态调整。</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3.提供的互联网专线接入骨干网网关跳数不超过3跳；电路质量应符合国家相关标准和规定。</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4.接入地点：指定地点，且需铺设线路至指定接入设备前，铺设路程由提供商自行勘探。</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5.需提供用户传输端设备，且具备双电源供电。</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6.提供≥</w:t>
            </w:r>
            <w:r>
              <w:rPr>
                <w:rFonts w:hint="eastAsia" w:ascii="Times New Roman" w:hAnsi="Times New Roman" w:eastAsia="仿宋_GB2312" w:cs="Times New Roman"/>
                <w:color w:val="auto"/>
                <w:sz w:val="24"/>
                <w:szCs w:val="24"/>
                <w:highlight w:val="none"/>
                <w:lang w:val="en-US" w:eastAsia="zh-CN"/>
              </w:rPr>
              <w:t>14.5</w:t>
            </w:r>
            <w:r>
              <w:rPr>
                <w:rFonts w:hint="default" w:ascii="Times New Roman" w:hAnsi="Times New Roman" w:eastAsia="仿宋_GB2312" w:cs="Times New Roman"/>
                <w:color w:val="auto"/>
                <w:sz w:val="24"/>
                <w:szCs w:val="24"/>
                <w:highlight w:val="none"/>
              </w:rPr>
              <w:t>G攻击防护容量的DDOS攻击防护服务，包括对IP4和IPv6流量的防护，防护IP地址不低于提供的IPv4地址数量和IPv6地址数量。每年提供5次每次不超过48小时的</w:t>
            </w:r>
            <w:r>
              <w:rPr>
                <w:rFonts w:hint="eastAsia" w:ascii="Times New Roman" w:hAnsi="Times New Roman" w:eastAsia="仿宋_GB2312" w:cs="Times New Roman"/>
                <w:color w:val="auto"/>
                <w:sz w:val="24"/>
                <w:szCs w:val="24"/>
                <w:highlight w:val="none"/>
                <w:lang w:val="en-US" w:eastAsia="zh-CN"/>
              </w:rPr>
              <w:t>20</w:t>
            </w:r>
            <w:r>
              <w:rPr>
                <w:rFonts w:hint="default" w:ascii="Times New Roman" w:hAnsi="Times New Roman" w:eastAsia="仿宋_GB2312" w:cs="Times New Roman"/>
                <w:color w:val="auto"/>
                <w:sz w:val="24"/>
                <w:szCs w:val="24"/>
                <w:highlight w:val="none"/>
              </w:rPr>
              <w:t>0G攻击防护，采用基于管道侧的清洗中心，使用BGP进行全网牵引清洗或长牵引清洗，无需修改DNS配置和IP地址，只需要提供防护目标对象即可进行防护。</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7.服务期间，如有需要，免费将线路迁移至指定地址。</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8.电路月故障率≤0.01%（如遇不可抗力或市政施工除外）。</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9.提供7*24小时故障申告直达电话，故障处理1小时内完成。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8" w:hRule="atLeast"/>
        </w:trPr>
        <w:tc>
          <w:tcPr>
            <w:tcW w:w="890" w:type="dxa"/>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pStyle w:val="4"/>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3</w:t>
            </w:r>
          </w:p>
        </w:tc>
        <w:tc>
          <w:tcPr>
            <w:tcW w:w="1701" w:type="dxa"/>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线路3</w:t>
            </w:r>
          </w:p>
        </w:tc>
        <w:tc>
          <w:tcPr>
            <w:tcW w:w="1134"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pStyle w:val="4"/>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sz w:val="24"/>
                <w:szCs w:val="24"/>
                <w:highlight w:val="none"/>
                <w:lang w:val="en-US" w:eastAsia="zh-CN"/>
              </w:rPr>
              <w:t>1项</w:t>
            </w:r>
          </w:p>
        </w:tc>
        <w:tc>
          <w:tcPr>
            <w:tcW w:w="6361" w:type="dxa"/>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提供4.5Gbps互联网专线接入互联网，其中一条2G用于非信创云互联网出口，2.5G用于信创云互联网出口。2条专线连接到互联网带宽的上下行速率均能分别稳定在2Gbit/s、2.5Gbit/s，且为独享带宽；提供1条不小于2.5Gbps的VPDN/APN专线，用于政务外网业务。带宽上下行速率均能分别稳定在2.5G bit/s，且为网络传输服务提供商独享带宽。要求支持双上联接入，支持各线路间带宽动态调整。</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网络传输服务提供商为该互联网专线宽带光纤提供全程双物理路由的环路保护，接入方式为光纤接入，为业主接入免费提供传输设备和接入光模块。为业主提供可自行分配且可直接使用的连续固定互联网IPv4和IPv6地址；提供4个C类IPv4公网地址，提供2段不少于64位前缀的IPv6地址，IPv4和IPv6地址共用专线，并支持专线内部IPv4、IPv6带宽动态调整。</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3.网络传输服务提供商提供的互联网专线接入骨干网网关跳数不超过3跳；电路质量应符合国家相关标准和规定。</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4.接入地点：业主指定地点，且网络传输服务提供商需铺设线路至业主指定接入设备前，铺设路程由网络传输服务提供商自行勘探。</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5.网络传输服务提供商需提供用户传输端设备，且具备双电源供电。</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6.提供≥4.5G攻击防护容量的DDOS攻击防护服务，防护IP地址不低于提供的IPv4地址数量和IPv6地址数量。每年提供5次每次不超过48小时的100G攻击防护，采用基于管道侧的清洗中心，使用BGP进行全网牵引清洗或长牵引清洗，无需修改DNS配置和IP地址，只需要提供防护目标对象即可进行防护。</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7.服务期间，如业主需要，免费将线路迁移至业主指定地址。</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8.电路月故障率≤0.01%（如遇不可抗力或市政施工除外）。</w:t>
            </w:r>
          </w:p>
          <w:p>
            <w:pPr>
              <w:pStyle w:val="9"/>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9.提供7*24小时故障申告直达电话，故障处理1小时内完成。</w:t>
            </w:r>
          </w:p>
        </w:tc>
      </w:tr>
    </w:tbl>
    <w:p>
      <w:pPr>
        <w:rPr>
          <w:rFonts w:hint="eastAsia" w:eastAsia="宋体"/>
          <w:lang w:val="en-US" w:eastAsia="zh-CN"/>
        </w:rPr>
      </w:pPr>
    </w:p>
    <w:p>
      <w:pPr>
        <w:pStyle w:val="2"/>
        <w:numPr>
          <w:ilvl w:val="-1"/>
          <w:numId w:val="0"/>
        </w:numPr>
        <w:spacing w:after="0" w:line="560" w:lineRule="exact"/>
        <w:ind w:left="630" w:firstLine="0" w:firstLineChars="0"/>
        <w:outlineLvl w:val="0"/>
        <w:rPr>
          <w:rFonts w:hint="default" w:eastAsia="黑体" w:cs="Times New Roman"/>
          <w:sz w:val="32"/>
          <w:szCs w:val="32"/>
          <w:lang w:val="en-US" w:eastAsia="zh-CN"/>
        </w:rPr>
      </w:pPr>
      <w:r>
        <w:rPr>
          <w:rFonts w:hint="eastAsia" w:eastAsia="黑体" w:cs="Times New Roman"/>
          <w:sz w:val="32"/>
          <w:szCs w:val="32"/>
          <w:lang w:val="en-US" w:eastAsia="zh-CN"/>
        </w:rPr>
        <w:t>三、项目预算</w:t>
      </w:r>
    </w:p>
    <w:p>
      <w:pPr>
        <w:pStyle w:val="2"/>
        <w:numPr>
          <w:ilvl w:val="-1"/>
          <w:numId w:val="0"/>
        </w:numPr>
        <w:spacing w:after="0" w:line="560" w:lineRule="exact"/>
        <w:ind w:firstLine="640" w:firstLineChars="200"/>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本次项目采购线路1报价上限为1734.6万元，线路2报价上限为1812.84万元，线路3报价上限为612.3万元。报价模板如下：</w:t>
      </w:r>
    </w:p>
    <w:tbl>
      <w:tblPr>
        <w:tblStyle w:val="7"/>
        <w:tblW w:w="10116" w:type="dxa"/>
        <w:tblInd w:w="-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7200"/>
        <w:gridCol w:w="1113"/>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业务类别</w:t>
            </w:r>
          </w:p>
        </w:tc>
        <w:tc>
          <w:tcPr>
            <w:tcW w:w="7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服务内容（功能描述）</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总价（万元）</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线路1</w:t>
            </w:r>
          </w:p>
        </w:tc>
        <w:tc>
          <w:tcPr>
            <w:tcW w:w="7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提供12.5Gbps互联网专线接入互联网，其中一条5G用于政务外网用户上网互联网出口，一条5G用于非信创云互联网出口，2.5G用于信创云互联网出口。3条专线连接到互联网带宽的上下行速率均能分别稳定在5Gbit/s、5Gbit/s、2.5Gbit/s，且为独享带宽；提供1条不小于2.5Gbps的VPDN/APN专线，用于政务外网业务。带宽上下行速率均能分别稳定在2.5G bit/s，且为网络传输服务提供商独享带宽。要求支持双上联接入，支持各线路间带宽动态调整。</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互联网专线宽带光纤提供全程双物理路由的环路保护，接入方式为光纤接入，接入免费提供传输设备和接入光模块。提供可自行分配且可直接使用的连续固定互联网IPv4和IPv6地址；提供16个C类IPv4公网地址和两段IPv6地址，其中一段不少于48位前缀，一段不少于64位前缀。IPv6地址共用专线，并支持专线内部IPv4、IPv6带宽动态调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3.提供的互联网专线接入骨干网网关跳数不超过3跳；电路质量应符合国家相关标准和规定。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4.接入地点：指定地点，且需铺设线路至指定接入设备前，铺设路程由提供商自行勘探。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5.提供用户传输端设备，且具备双电源供电。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提供≥12.5G攻击防护容量的DDOS攻击防护服务，地址段监测和防护IP地址不低于不低于提供的IPv4地址数量和IPv6地址数量，不限次数清洗。每年提供5次每次不超过48小时的150G攻击防护，采用基于管道侧的清洗中心，使用BGP进行全网牵引清洗或长牵引清洗，无需修改DNS配置和IP地址，只需要提供防护目标对象即可进行防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7.服务期间，如有需要，提供商需免费将线路迁移至指定地址。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8.电路月故障率≤0.01%（如遇不可抗力或市政施工除外）。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9.提供7*24小时故障申告直达电话，故障处理1小时内完成。</w:t>
            </w:r>
          </w:p>
        </w:tc>
        <w:tc>
          <w:tcPr>
            <w:tcW w:w="1113" w:type="dxa"/>
            <w:tcBorders>
              <w:top w:val="single" w:color="000000" w:sz="4" w:space="0"/>
              <w:left w:val="single" w:color="000000" w:sz="4" w:space="0"/>
              <w:bottom w:val="nil"/>
              <w:right w:val="single" w:color="000000" w:sz="4" w:space="0"/>
            </w:tcBorders>
            <w:shd w:val="clear" w:color="auto" w:fill="FFFFFF"/>
            <w:noWrap/>
            <w:vAlign w:val="center"/>
          </w:tcPr>
          <w:p>
            <w:pPr>
              <w:jc w:val="left"/>
              <w:rPr>
                <w:rFonts w:hint="eastAsia" w:ascii="仿宋_GB2312" w:hAnsi="仿宋_GB2312" w:eastAsia="仿宋_GB2312" w:cs="仿宋_GB2312"/>
                <w:i w:val="0"/>
                <w:iCs w:val="0"/>
                <w:color w:val="000000"/>
                <w:sz w:val="24"/>
                <w:szCs w:val="24"/>
                <w:u w:val="none"/>
              </w:rPr>
            </w:pPr>
          </w:p>
        </w:tc>
        <w:tc>
          <w:tcPr>
            <w:tcW w:w="903" w:type="dxa"/>
            <w:tcBorders>
              <w:top w:val="single" w:color="000000" w:sz="4" w:space="0"/>
              <w:left w:val="single" w:color="000000" w:sz="4" w:space="0"/>
              <w:bottom w:val="nil"/>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线路2</w:t>
            </w:r>
          </w:p>
        </w:tc>
        <w:tc>
          <w:tcPr>
            <w:tcW w:w="7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提供14.5Gbps互联网专线接入互联网，其中一条5G用于政务外网用户上网互联网出口，一条5G和一条2G用于非信创云互联网出口，一条2.5G用于信创云互联网出口。4条专线连接到互联网带宽的上下行速率均能分别稳定在5Gbit/s、5Gbit/s、2Gbit/s、2.5Gbit/s，且为独享带宽；提供1条不小于2.5Gbps的VPDN/APN专线，用于政务外网业务。带宽上下行速率均能分别稳定在2.5G bit/s，且为网络传输服务提供商独享带宽。要求支持双上联接入，支持各线路间带宽动态调整。</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须为该互联网专线宽带光纤提供全程双物理路由的环路保护，接入方式为光纤接入，免费提供传输设备和接入光模块。提供可自行分配且可直接使用的连续固定互联网IPv4和IPv6地址；提供17个C类IPv4公网地址和三段IPv6地址，其中一段不少于48位前缀，两段不少于64位前缀。IPv4和IPv6地址共用专线，并支持专线内部IPv4、IPv6带宽动态调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3.提供的互联网专线接入骨干网网关跳数不超过3跳；电路质量应符合国家相关标准和规定。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4.接入地点：指定地点，且需铺设线路至指定接入设备前，铺设路程由提供商自行勘探。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5.需提供用户传输端设备，且具备双电源供电。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提供≥14.5G攻击防护容量的DDOS攻击防护服务，包括对IP4和IPv6流量的防护，防护IP地址不低于提供的IPv4地址数量和IPv6地址数量。每年提供5次每次不超过48小时的200G攻击防护，采用基于管道侧的清洗中心，使用BGP进行全网牵引清洗或长牵引清洗，无需修改DNS配置和IP地址，只需要提供防护目标对象即可进行防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7.服务期间，如有需要，免费将线路迁移至指定地址。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8.电路月故障率≤0.01%（如遇不可抗力或市政施工除外）。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9.提供7*24小时故障申告直达电话，故障处理1小时内完成。</w:t>
            </w:r>
          </w:p>
        </w:tc>
        <w:tc>
          <w:tcPr>
            <w:tcW w:w="1113" w:type="dxa"/>
            <w:tcBorders>
              <w:top w:val="single" w:color="000000" w:sz="4" w:space="0"/>
              <w:left w:val="single" w:color="000000" w:sz="4" w:space="0"/>
              <w:bottom w:val="nil"/>
              <w:right w:val="single" w:color="000000" w:sz="4" w:space="0"/>
            </w:tcBorders>
            <w:shd w:val="clear" w:color="auto" w:fill="FFFFFF"/>
            <w:noWrap/>
            <w:vAlign w:val="center"/>
          </w:tcPr>
          <w:p>
            <w:pPr>
              <w:jc w:val="left"/>
              <w:rPr>
                <w:rFonts w:hint="eastAsia" w:ascii="仿宋_GB2312" w:hAnsi="仿宋_GB2312" w:eastAsia="仿宋_GB2312" w:cs="仿宋_GB2312"/>
                <w:i w:val="0"/>
                <w:iCs w:val="0"/>
                <w:color w:val="000000"/>
                <w:sz w:val="24"/>
                <w:szCs w:val="24"/>
                <w:u w:val="none"/>
              </w:rPr>
            </w:pPr>
          </w:p>
        </w:tc>
        <w:tc>
          <w:tcPr>
            <w:tcW w:w="903" w:type="dxa"/>
            <w:tcBorders>
              <w:top w:val="single" w:color="000000" w:sz="4" w:space="0"/>
              <w:left w:val="single" w:color="000000" w:sz="4" w:space="0"/>
              <w:bottom w:val="nil"/>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线路3</w:t>
            </w:r>
          </w:p>
        </w:tc>
        <w:tc>
          <w:tcPr>
            <w:tcW w:w="7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提供4.5Gbps互联网专线接入互联网，其中一条2G用于非信创云互联网出口，2.5G用于信创云互联网出口。2条专线连接到互联网带宽的上下行速率均能分别稳定在2Gbit/s、2.5Gbit/s，且为独享带宽；提供1条不小于2.5Gbps的VPDN/APN专线，用于政务外网业务。带宽上下行速率均能分别稳定在2.5G bit/s，且为网络传输服务提供商独享带宽。要求支持双上联接入，支持各线路间带宽动态调整。</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网络传输服务提供商为该互联网专线宽带光纤提供全程双物理路由的环路保护，接入方式为光纤接入，为业主接入免费提供传输设备和接入光模块。为业主提供可自行分配且可直接使用的连续固定互联网IPv4和IPv6地址；提供4个C类IPv4公网地址，提供2段不少于64位前缀的IPv6地址，IPv4和IPv6地址共用专线，并支持专线内部IPv4、IPv6带宽动态调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3.网络传输服务提供商提供的互联网专线接入骨干网网关跳数不超过3跳；电路质量应符合国家相关标准和规定。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4.接入地点：业主指定地点，且网络传输服务提供商需铺设线路至业主指定接入设备前，铺设路程由网络传输服务提供商自行勘探。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5.网络传输服务提供商需提供用户传输端设备，且具备双电源供电。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提供≥4.5G攻击防护容量的DDOS攻击防护服务，防护IP地址不低于提供的IPv4地址数量和IPv6地址数量。每年提供5次每次不超过48小时的100G攻击防护，采用基于管道侧的清洗中心，使用BGP进行全网牵引清洗或长牵引清洗，无需修改DNS配置和IP地址，只需要提供防护目标对象即可进行防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7.服务期间，如业主需要，免费将线路迁移至业主指定地址。</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8.电路月故障率≤0.01%（如遇不可抗力或市政施工除外）。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9.提供7*24小时故障申告直达电话，故障处理1小时内完成。</w:t>
            </w: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_GB2312" w:hAnsi="仿宋_GB2312" w:eastAsia="仿宋_GB2312" w:cs="仿宋_GB2312"/>
                <w:i w:val="0"/>
                <w:iCs w:val="0"/>
                <w:color w:val="000000"/>
                <w:sz w:val="24"/>
                <w:szCs w:val="24"/>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4"/>
                <w:szCs w:val="24"/>
                <w:u w:val="none"/>
              </w:rPr>
            </w:pPr>
          </w:p>
        </w:tc>
      </w:tr>
    </w:tbl>
    <w:p>
      <w:pPr>
        <w:pStyle w:val="3"/>
        <w:outlineLvl w:val="9"/>
        <w:rPr>
          <w:rFonts w:hint="default"/>
          <w:lang w:val="en-US" w:eastAsia="zh-CN"/>
        </w:rPr>
      </w:pP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96356"/>
    <w:multiLevelType w:val="singleLevel"/>
    <w:tmpl w:val="1379635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YjlkYmI4MzkwNDFhZjJkZDg2YzZiYWRiNzM5NjUifQ=="/>
  </w:docVars>
  <w:rsids>
    <w:rsidRoot w:val="00000000"/>
    <w:rsid w:val="02F64609"/>
    <w:rsid w:val="03CD0F38"/>
    <w:rsid w:val="04861611"/>
    <w:rsid w:val="05B37BE1"/>
    <w:rsid w:val="05FC79D6"/>
    <w:rsid w:val="066C5BD1"/>
    <w:rsid w:val="06F23CF7"/>
    <w:rsid w:val="08052A01"/>
    <w:rsid w:val="0835371C"/>
    <w:rsid w:val="09E65669"/>
    <w:rsid w:val="0C5B0590"/>
    <w:rsid w:val="0FA67A55"/>
    <w:rsid w:val="0FE72550"/>
    <w:rsid w:val="10822FC8"/>
    <w:rsid w:val="110F1949"/>
    <w:rsid w:val="11BA7B07"/>
    <w:rsid w:val="187F0D91"/>
    <w:rsid w:val="19792055"/>
    <w:rsid w:val="1BB848C1"/>
    <w:rsid w:val="1CC82D92"/>
    <w:rsid w:val="1D4C2296"/>
    <w:rsid w:val="1DC5468C"/>
    <w:rsid w:val="1F642E60"/>
    <w:rsid w:val="222761C6"/>
    <w:rsid w:val="249A07E8"/>
    <w:rsid w:val="282E40B4"/>
    <w:rsid w:val="28770115"/>
    <w:rsid w:val="28DE26D1"/>
    <w:rsid w:val="2927056E"/>
    <w:rsid w:val="29EA17E8"/>
    <w:rsid w:val="2AE573FF"/>
    <w:rsid w:val="2B3E363D"/>
    <w:rsid w:val="2C6B3A80"/>
    <w:rsid w:val="2D155FFD"/>
    <w:rsid w:val="2E7F16D5"/>
    <w:rsid w:val="3053755C"/>
    <w:rsid w:val="30FE760D"/>
    <w:rsid w:val="32DC0D5D"/>
    <w:rsid w:val="344B1E48"/>
    <w:rsid w:val="34BF0E0C"/>
    <w:rsid w:val="35952AEC"/>
    <w:rsid w:val="38DD7AB3"/>
    <w:rsid w:val="394F7AB2"/>
    <w:rsid w:val="3C2F11B3"/>
    <w:rsid w:val="3E1D4DF6"/>
    <w:rsid w:val="3EEB27FE"/>
    <w:rsid w:val="41932FF5"/>
    <w:rsid w:val="462E15F4"/>
    <w:rsid w:val="4685318F"/>
    <w:rsid w:val="470A03A4"/>
    <w:rsid w:val="48C80CCD"/>
    <w:rsid w:val="4901159C"/>
    <w:rsid w:val="492F3763"/>
    <w:rsid w:val="4981092F"/>
    <w:rsid w:val="4A81178C"/>
    <w:rsid w:val="4ACD1674"/>
    <w:rsid w:val="4AE72A13"/>
    <w:rsid w:val="4CF257EA"/>
    <w:rsid w:val="4D4C3002"/>
    <w:rsid w:val="4F1B2C8C"/>
    <w:rsid w:val="50811214"/>
    <w:rsid w:val="50B1418B"/>
    <w:rsid w:val="51103F97"/>
    <w:rsid w:val="51D22043"/>
    <w:rsid w:val="531E79EC"/>
    <w:rsid w:val="53E010B1"/>
    <w:rsid w:val="54095BA2"/>
    <w:rsid w:val="546B3CED"/>
    <w:rsid w:val="54E159DA"/>
    <w:rsid w:val="55603596"/>
    <w:rsid w:val="576616F6"/>
    <w:rsid w:val="5A4B5E8B"/>
    <w:rsid w:val="5A6E2809"/>
    <w:rsid w:val="5ACA39F2"/>
    <w:rsid w:val="5EC724E8"/>
    <w:rsid w:val="5F3A4B5D"/>
    <w:rsid w:val="60F862B1"/>
    <w:rsid w:val="64B452BD"/>
    <w:rsid w:val="66127E31"/>
    <w:rsid w:val="669252E2"/>
    <w:rsid w:val="66994562"/>
    <w:rsid w:val="669B4A95"/>
    <w:rsid w:val="68695641"/>
    <w:rsid w:val="69D214CF"/>
    <w:rsid w:val="6B4D1FC7"/>
    <w:rsid w:val="6F450305"/>
    <w:rsid w:val="73C708C5"/>
    <w:rsid w:val="7546512F"/>
    <w:rsid w:val="78CF04BF"/>
    <w:rsid w:val="791F44B3"/>
    <w:rsid w:val="795D3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adjustRightInd w:val="0"/>
      <w:spacing w:after="120" w:line="312" w:lineRule="atLeast"/>
      <w:textAlignment w:val="baseline"/>
    </w:pPr>
    <w:rPr>
      <w:kern w:val="0"/>
      <w:sz w:val="24"/>
      <w:szCs w:val="20"/>
    </w:rPr>
  </w:style>
  <w:style w:type="paragraph" w:styleId="3">
    <w:name w:val="Title"/>
    <w:basedOn w:val="1"/>
    <w:next w:val="1"/>
    <w:autoRedefine/>
    <w:qFormat/>
    <w:uiPriority w:val="0"/>
    <w:pPr>
      <w:spacing w:before="240" w:after="60"/>
      <w:jc w:val="center"/>
      <w:outlineLvl w:val="0"/>
    </w:pPr>
    <w:rPr>
      <w:rFonts w:ascii="Cambria" w:hAnsi="Cambria"/>
      <w:b/>
      <w:bCs/>
      <w:sz w:val="32"/>
      <w:szCs w:val="32"/>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Block Text"/>
    <w:basedOn w:val="1"/>
    <w:autoRedefine/>
    <w:qFormat/>
    <w:uiPriority w:val="0"/>
    <w:pPr>
      <w:widowControl/>
      <w:topLinePunct/>
      <w:adjustRightInd w:val="0"/>
      <w:snapToGrid w:val="0"/>
      <w:spacing w:before="160" w:after="120" w:line="240" w:lineRule="atLeast"/>
      <w:ind w:left="700" w:leftChars="700" w:right="700" w:rightChars="700"/>
      <w:jc w:val="left"/>
    </w:pPr>
    <w:rPr>
      <w:rFonts w:hint="eastAsia" w:cs="Arial"/>
    </w:rPr>
  </w:style>
  <w:style w:type="paragraph" w:styleId="6">
    <w:name w:val="Plain Text"/>
    <w:basedOn w:val="1"/>
    <w:autoRedefine/>
    <w:qFormat/>
    <w:uiPriority w:val="0"/>
    <w:rPr>
      <w:rFonts w:ascii="宋体" w:hAnsi="Courier New" w:eastAsia="宋体"/>
    </w:rPr>
  </w:style>
  <w:style w:type="paragraph" w:customStyle="1" w:styleId="9">
    <w:name w:val="正文 A"/>
    <w:autoRedefine/>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4299</Words>
  <Characters>5022</Characters>
  <Lines>0</Lines>
  <Paragraphs>0</Paragraphs>
  <TotalTime>5</TotalTime>
  <ScaleCrop>false</ScaleCrop>
  <LinksUpToDate>false</LinksUpToDate>
  <CharactersWithSpaces>5028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2024-04-26T09:16:00Z</dcterms:created>
  <dc:creator>admin</dc:creator>
  <cp:lastModifiedBy>壹壹</cp:lastModifiedBy>
  <dcterms:modified xsi:type="dcterms:W3CDTF">2024-06-07T02:59:38Z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C3C73257BA02494BAFA7AE3ED141C5CF_12</vt:lpwstr>
  </property>
</Properties>
</file>