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79"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广西政府网站集约化平台运维保障服务</w:t>
      </w:r>
    </w:p>
    <w:p>
      <w:pPr>
        <w:keepNext w:val="0"/>
        <w:keepLines w:val="0"/>
        <w:pageBreakBefore w:val="0"/>
        <w:widowControl w:val="0"/>
        <w:kinsoku/>
        <w:wordWrap/>
        <w:overflowPunct/>
        <w:topLinePunct w:val="0"/>
        <w:bidi w:val="0"/>
        <w:spacing w:line="579"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项目</w:t>
      </w:r>
      <w:r>
        <w:rPr>
          <w:rFonts w:hint="eastAsia" w:ascii="Times New Roman" w:hAnsi="Times New Roman" w:eastAsia="方正小标宋_GBK"/>
          <w:sz w:val="44"/>
          <w:szCs w:val="44"/>
          <w:lang w:eastAsia="zh-CN"/>
        </w:rPr>
        <w:t>（重）</w:t>
      </w:r>
      <w:r>
        <w:rPr>
          <w:rFonts w:hint="eastAsia" w:ascii="Times New Roman" w:hAnsi="Times New Roman" w:eastAsia="方正小标宋_GBK"/>
          <w:sz w:val="44"/>
          <w:szCs w:val="44"/>
        </w:rPr>
        <w:t>采购方案</w:t>
      </w:r>
    </w:p>
    <w:p>
      <w:pPr>
        <w:keepNext w:val="0"/>
        <w:keepLines w:val="0"/>
        <w:pageBreakBefore w:val="0"/>
        <w:widowControl w:val="0"/>
        <w:kinsoku/>
        <w:wordWrap/>
        <w:overflowPunct/>
        <w:topLinePunct w:val="0"/>
        <w:bidi w:val="0"/>
        <w:spacing w:line="579" w:lineRule="exact"/>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黑体"/>
        </w:rPr>
      </w:pPr>
      <w:r>
        <w:rPr>
          <w:rFonts w:hint="eastAsia" w:ascii="Times New Roman" w:hAnsi="黑体" w:eastAsia="黑体"/>
        </w:rPr>
        <w:t>一、项目名称</w:t>
      </w:r>
    </w:p>
    <w:p>
      <w:pPr>
        <w:keepNext w:val="0"/>
        <w:keepLines w:val="0"/>
        <w:pageBreakBefore w:val="0"/>
        <w:widowControl w:val="0"/>
        <w:kinsoku/>
        <w:wordWrap/>
        <w:overflowPunct/>
        <w:topLinePunct w:val="0"/>
        <w:bidi w:val="0"/>
        <w:spacing w:line="579"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广西政府网站集约化平台运维保障服务（重）</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黑体"/>
        </w:rPr>
      </w:pPr>
      <w:r>
        <w:rPr>
          <w:rFonts w:hint="eastAsia" w:ascii="Times New Roman" w:hAnsi="黑体" w:eastAsia="黑体"/>
        </w:rPr>
        <w:t>二、项目预算控制价</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rPr>
      </w:pPr>
      <w:r>
        <w:rPr>
          <w:rFonts w:hint="eastAsia" w:ascii="Times New Roman" w:hAnsi="Times New Roman"/>
          <w:lang w:val="en-US" w:eastAsia="zh-CN"/>
        </w:rPr>
        <w:t>2357.7</w:t>
      </w:r>
      <w:r>
        <w:rPr>
          <w:rFonts w:hint="eastAsia" w:ascii="Times New Roman" w:hAnsi="Times New Roman"/>
        </w:rPr>
        <w:t>万元</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黑体"/>
        </w:rPr>
      </w:pPr>
      <w:r>
        <w:rPr>
          <w:rFonts w:hint="eastAsia" w:ascii="Times New Roman" w:hAnsi="黑体" w:eastAsia="黑体"/>
        </w:rPr>
        <w:t>三、项目采购方式</w:t>
      </w:r>
    </w:p>
    <w:p>
      <w:pPr>
        <w:keepNext w:val="0"/>
        <w:keepLines w:val="0"/>
        <w:pageBreakBefore w:val="0"/>
        <w:widowControl w:val="0"/>
        <w:kinsoku/>
        <w:wordWrap/>
        <w:overflowPunct/>
        <w:topLinePunct w:val="0"/>
        <w:bidi w:val="0"/>
        <w:spacing w:line="579"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公开招标</w:t>
      </w:r>
    </w:p>
    <w:p>
      <w:pPr>
        <w:keepNext w:val="0"/>
        <w:keepLines w:val="0"/>
        <w:pageBreakBefore w:val="0"/>
        <w:widowControl w:val="0"/>
        <w:numPr>
          <w:ilvl w:val="0"/>
          <w:numId w:val="0"/>
        </w:numPr>
        <w:kinsoku/>
        <w:wordWrap/>
        <w:overflowPunct/>
        <w:topLinePunct w:val="0"/>
        <w:bidi w:val="0"/>
        <w:adjustRightInd w:val="0"/>
        <w:snapToGrid w:val="0"/>
        <w:spacing w:line="579" w:lineRule="exact"/>
        <w:ind w:left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eastAsia="黑体"/>
          <w:lang w:val="en-US" w:eastAsia="zh-CN"/>
        </w:rPr>
        <w:t>四、项目背景</w:t>
      </w:r>
      <w:bookmarkStart w:id="0" w:name="_Toc30963"/>
      <w:bookmarkStart w:id="1" w:name="_Toc30103"/>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lang w:val="en-US" w:eastAsia="zh-CN"/>
        </w:rPr>
      </w:pPr>
      <w:r>
        <w:rPr>
          <w:rFonts w:hint="eastAsia" w:ascii="Times New Roman" w:hAnsi="Times New Roman" w:eastAsia="仿宋_GB2312" w:cs="Times New Roman"/>
          <w:color w:val="auto"/>
          <w:sz w:val="32"/>
          <w:szCs w:val="28"/>
          <w:highlight w:val="none"/>
          <w:lang w:val="en-US" w:eastAsia="zh-CN"/>
        </w:rPr>
        <w:t>2</w:t>
      </w:r>
      <w:r>
        <w:rPr>
          <w:rFonts w:hint="eastAsia" w:ascii="Times New Roman" w:hAnsi="Times New Roman"/>
          <w:lang w:val="en-US" w:eastAsia="zh-CN"/>
        </w:rPr>
        <w:t>018年，国务院办公厅印发《政府网站集约化试点工作方案》（国办函〔2018〕71号），确定广西作为政府网站集约化试点地区，按照统一标准体系、统一技术平台、统一安全防护、统一运维监管的要求，建设集约化平台，并强化运维保障。</w:t>
      </w:r>
      <w:bookmarkEnd w:id="0"/>
      <w:bookmarkEnd w:id="1"/>
    </w:p>
    <w:p>
      <w:pPr>
        <w:keepNext w:val="0"/>
        <w:keepLines w:val="0"/>
        <w:pageBreakBefore w:val="0"/>
        <w:widowControl w:val="0"/>
        <w:kinsoku/>
        <w:wordWrap/>
        <w:overflowPunct/>
        <w:topLinePunct w:val="0"/>
        <w:bidi w:val="0"/>
        <w:spacing w:line="579" w:lineRule="exact"/>
        <w:ind w:firstLine="640" w:firstLineChars="200"/>
        <w:textAlignment w:val="auto"/>
        <w:rPr>
          <w:rFonts w:hint="eastAsia" w:ascii="Times New Roman" w:hAnsi="Times New Roman"/>
          <w:lang w:val="en-US" w:eastAsia="zh-CN"/>
        </w:rPr>
      </w:pPr>
      <w:bookmarkStart w:id="2" w:name="_Toc14340"/>
      <w:bookmarkStart w:id="3" w:name="_Toc7760"/>
      <w:r>
        <w:rPr>
          <w:rFonts w:hint="eastAsia" w:ascii="Times New Roman" w:hAnsi="Times New Roman"/>
          <w:lang w:val="en-US" w:eastAsia="zh-CN"/>
        </w:rPr>
        <w:t>根据《自治区党委办公厅自治区人民政府办公厅关于印发&lt;广西壮族自治区大数据发展局职能配置、内设机构和人员编制规定&gt;的通知》（厅发〔2019〕32号），我局承担全区政府网站的统筹规划、监督考核、综合分析等工作，统筹推进、指导、监督、考核全区政府网站和政府网站集约化建设管理工作。</w:t>
      </w:r>
      <w:bookmarkEnd w:id="2"/>
      <w:bookmarkEnd w:id="3"/>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lang w:val="en-US" w:eastAsia="zh-CN"/>
        </w:rPr>
      </w:pPr>
      <w:r>
        <w:rPr>
          <w:rFonts w:hint="default" w:ascii="Times New Roman" w:hAnsi="Times New Roman"/>
          <w:lang w:val="en-US" w:eastAsia="zh-CN"/>
        </w:rPr>
        <w:t>2020年初</w:t>
      </w:r>
      <w:r>
        <w:rPr>
          <w:rFonts w:hint="eastAsia" w:ascii="Times New Roman" w:hAnsi="Times New Roman"/>
          <w:lang w:val="en-US" w:eastAsia="zh-CN"/>
        </w:rPr>
        <w:t>，</w:t>
      </w:r>
      <w:r>
        <w:rPr>
          <w:rFonts w:hint="default" w:ascii="Times New Roman" w:hAnsi="Times New Roman"/>
          <w:lang w:val="en-US" w:eastAsia="zh-CN"/>
        </w:rPr>
        <w:t>我局</w:t>
      </w:r>
      <w:r>
        <w:rPr>
          <w:rFonts w:hint="eastAsia" w:ascii="Times New Roman" w:hAnsi="Times New Roman"/>
          <w:lang w:val="en-US" w:eastAsia="zh-CN"/>
        </w:rPr>
        <w:t>完成</w:t>
      </w:r>
      <w:r>
        <w:rPr>
          <w:rFonts w:hint="default" w:ascii="Times New Roman" w:hAnsi="Times New Roman"/>
          <w:lang w:val="en-US" w:eastAsia="zh-CN"/>
        </w:rPr>
        <w:t>了广西政府网站集约化</w:t>
      </w:r>
      <w:r>
        <w:rPr>
          <w:rFonts w:hint="eastAsia" w:ascii="Times New Roman" w:hAnsi="Times New Roman"/>
          <w:lang w:val="en-US" w:eastAsia="zh-CN"/>
        </w:rPr>
        <w:t>平台</w:t>
      </w:r>
      <w:r>
        <w:rPr>
          <w:rFonts w:hint="default" w:ascii="Times New Roman" w:hAnsi="Times New Roman"/>
          <w:lang w:val="en-US" w:eastAsia="zh-CN"/>
        </w:rPr>
        <w:t>建设，向平台上的政府网站提供以下功能支撑：站点管理、栏目管理、资源管理、权限管理；内容发布、互动交流、用户注册、统一身份认证；站内搜索、投诉举报、评价监督；个性定制、内容推送、运维监控、统计分析、安全防护，等等。</w:t>
      </w:r>
      <w:r>
        <w:rPr>
          <w:rFonts w:hint="eastAsia" w:ascii="Times New Roman" w:hAnsi="Times New Roman"/>
          <w:lang w:val="en-US" w:eastAsia="zh-CN"/>
        </w:rPr>
        <w:t>2021年、2022年、2023年我局</w:t>
      </w:r>
      <w:r>
        <w:rPr>
          <w:rFonts w:hint="default" w:ascii="Times New Roman" w:hAnsi="Times New Roman"/>
          <w:lang w:val="en-US" w:eastAsia="zh-CN"/>
        </w:rPr>
        <w:t>通过购买服务</w:t>
      </w:r>
      <w:r>
        <w:rPr>
          <w:rFonts w:hint="eastAsia" w:ascii="Times New Roman" w:hAnsi="Times New Roman"/>
          <w:lang w:val="en-US" w:eastAsia="zh-CN"/>
        </w:rPr>
        <w:t>的</w:t>
      </w:r>
      <w:r>
        <w:rPr>
          <w:rFonts w:hint="default" w:ascii="Times New Roman" w:hAnsi="Times New Roman"/>
          <w:lang w:val="en-US" w:eastAsia="zh-CN"/>
        </w:rPr>
        <w:t>方式，</w:t>
      </w:r>
      <w:r>
        <w:rPr>
          <w:rFonts w:hint="eastAsia" w:ascii="Times New Roman" w:hAnsi="Times New Roman"/>
          <w:lang w:val="en-US" w:eastAsia="zh-CN"/>
        </w:rPr>
        <w:t>采购第三方服务</w:t>
      </w:r>
      <w:r>
        <w:rPr>
          <w:rFonts w:hint="default" w:ascii="Times New Roman" w:hAnsi="Times New Roman"/>
          <w:lang w:val="en-US" w:eastAsia="zh-CN"/>
        </w:rPr>
        <w:t>保障</w:t>
      </w:r>
      <w:r>
        <w:rPr>
          <w:rFonts w:hint="eastAsia" w:ascii="Times New Roman" w:hAnsi="Times New Roman"/>
          <w:lang w:val="en-US" w:eastAsia="zh-CN"/>
        </w:rPr>
        <w:t>广西</w:t>
      </w:r>
      <w:r>
        <w:rPr>
          <w:rFonts w:hint="default" w:ascii="Times New Roman" w:hAnsi="Times New Roman"/>
          <w:lang w:val="en-US" w:eastAsia="zh-CN"/>
        </w:rPr>
        <w:t>政府网站集约化平台</w:t>
      </w:r>
      <w:r>
        <w:rPr>
          <w:rFonts w:hint="eastAsia" w:ascii="Times New Roman" w:hAnsi="Times New Roman"/>
          <w:lang w:val="en-US" w:eastAsia="zh-CN"/>
        </w:rPr>
        <w:t>日常运维以及</w:t>
      </w:r>
      <w:r>
        <w:rPr>
          <w:rFonts w:hint="default" w:ascii="Times New Roman" w:hAnsi="Times New Roman"/>
          <w:lang w:val="en-US" w:eastAsia="zh-CN"/>
        </w:rPr>
        <w:t>技术功能迭代更新的需要。</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lang w:val="en-US" w:eastAsia="zh-CN"/>
        </w:rPr>
      </w:pPr>
      <w:bookmarkStart w:id="4" w:name="_Toc23841"/>
      <w:bookmarkStart w:id="5" w:name="_Toc17523"/>
      <w:r>
        <w:rPr>
          <w:rFonts w:hint="eastAsia" w:ascii="Times New Roman" w:hAnsi="Times New Roman"/>
          <w:lang w:val="en-US" w:eastAsia="zh-CN"/>
        </w:rPr>
        <w:t>2024年广西政府网站集约化平台运维保障继续通过采购第三方服务的方式，为目前集约化平台上的网站主办单位提供网站技术支撑服务，解决网站主办单位组建网站技术团队难、技术水平参差不齐、运维成本高、经费短缺等问题，集中力量做好集约化平台内</w:t>
      </w:r>
      <w:r>
        <w:rPr>
          <w:rFonts w:hint="default" w:ascii="Times New Roman" w:hAnsi="Times New Roman"/>
          <w:lang w:val="en-US" w:eastAsia="zh-CN"/>
        </w:rPr>
        <w:t>容运维和管理工作，集约化平台网站技术支撑服务主要包括集约化平台网站技术保障、集约化平台应用优化服务、集约化平台检测及内容安全监测服务、政务新媒体矩阵技术支撑服务等主要服务内容。</w:t>
      </w:r>
      <w:bookmarkEnd w:id="4"/>
      <w:bookmarkEnd w:id="5"/>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黑体"/>
        </w:rPr>
      </w:pPr>
      <w:r>
        <w:rPr>
          <w:rFonts w:hint="eastAsia" w:ascii="Times New Roman" w:hAnsi="黑体" w:eastAsia="黑体"/>
          <w:lang w:val="en-US" w:eastAsia="zh-CN"/>
        </w:rPr>
        <w:t>五</w:t>
      </w:r>
      <w:r>
        <w:rPr>
          <w:rFonts w:hint="eastAsia" w:ascii="Times New Roman" w:hAnsi="黑体" w:eastAsia="黑体"/>
        </w:rPr>
        <w:t>、项目实施必要性</w:t>
      </w:r>
    </w:p>
    <w:p>
      <w:pPr>
        <w:keepNext w:val="0"/>
        <w:keepLines w:val="0"/>
        <w:pageBreakBefore w:val="0"/>
        <w:widowControl w:val="0"/>
        <w:kinsoku/>
        <w:wordWrap/>
        <w:overflowPunct/>
        <w:topLinePunct w:val="0"/>
        <w:bidi w:val="0"/>
        <w:spacing w:line="579"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根据《国务院办公厅关于印发政府网站发展指引的通知》（国办发〔2017〕47号）、《国务院办公厅关于印发〈政府网站集约化试点工作方案〉的通知》（国办函〔2018〕71号）、《广西壮族自治区人民政府办公厅关于印发全区政府网站管理办法的通知》（桂政办发〔2017〕152号）、《广西壮族自治区人民政府办公厅关于印发广西壮族自治区政务新媒体管理办法的通知》（桂政办发〔2019〕119号）、《广西壮族自治区数字广西建设领导小组关于印发广西政府网站集约化平台管理办法（试行）的通知》（桂数广发〔2021〕7号）、《广西壮族自治区数字广西建设领导小组关于印发全面推进广西数字政府建设三年行动实施方案》（桂数广发〔2021〕5号）等文件精神，自治区大数据发展局负责自治区级政府网站集约化平台(以下简称“集约化平台”)建设和管理工作。2024年在集约化平台上运行的政府网站将达570余家，纳入集约化平台管理的政务新媒体2279个，为确保集约化平台及集约化平台上的政府网站与政务新媒体安全、平稳、高效运行，结合实际，制定本方案。</w:t>
      </w:r>
    </w:p>
    <w:p>
      <w:pPr>
        <w:keepNext w:val="0"/>
        <w:keepLines w:val="0"/>
        <w:pageBreakBefore w:val="0"/>
        <w:widowControl w:val="0"/>
        <w:numPr>
          <w:ilvl w:val="0"/>
          <w:numId w:val="0"/>
        </w:numPr>
        <w:kinsoku/>
        <w:wordWrap/>
        <w:overflowPunct/>
        <w:topLinePunct w:val="0"/>
        <w:bidi w:val="0"/>
        <w:spacing w:line="579" w:lineRule="exact"/>
        <w:ind w:leftChars="200"/>
        <w:textAlignment w:val="auto"/>
        <w:rPr>
          <w:rFonts w:hint="eastAsia" w:ascii="Times New Roman" w:hAnsi="Times New Roman" w:eastAsia="方正楷体_GBK" w:cs="Times New Roman"/>
          <w:highlight w:val="none"/>
          <w:lang w:eastAsia="zh-CN"/>
        </w:rPr>
      </w:pPr>
      <w:r>
        <w:rPr>
          <w:rFonts w:hint="eastAsia" w:ascii="Times New Roman" w:hAnsi="Times New Roman" w:eastAsia="黑体"/>
          <w:lang w:val="en-US" w:eastAsia="zh-CN"/>
        </w:rPr>
        <w:t>六、项目服务内容及要求</w:t>
      </w:r>
      <w:r>
        <w:rPr>
          <w:rFonts w:hint="eastAsia" w:ascii="Times New Roman" w:hAnsi="黑体" w:eastAsia="黑体"/>
          <w:lang w:val="en-US" w:eastAsia="zh-CN"/>
        </w:rPr>
        <w:br w:type="textWrapping"/>
      </w:r>
      <w:r>
        <w:rPr>
          <w:rFonts w:hint="eastAsia" w:ascii="方正楷体_GBK" w:hAnsi="方正楷体_GBK" w:eastAsia="方正楷体_GBK" w:cs="方正楷体_GBK"/>
          <w:b w:val="0"/>
          <w:bCs w:val="0"/>
          <w:color w:val="auto"/>
          <w:sz w:val="32"/>
          <w:szCs w:val="28"/>
          <w:highlight w:val="none"/>
          <w:lang w:val="en-US" w:eastAsia="zh-CN"/>
        </w:rPr>
        <w:t>（一）集约化</w:t>
      </w:r>
      <w:r>
        <w:rPr>
          <w:rFonts w:hint="eastAsia" w:ascii="方正楷体_GBK" w:hAnsi="方正楷体_GBK" w:eastAsia="方正楷体_GBK" w:cs="方正楷体_GBK"/>
          <w:b w:val="0"/>
          <w:bCs w:val="0"/>
          <w:highlight w:val="none"/>
        </w:rPr>
        <w:t>平台技术支撑及综合保障服务</w:t>
      </w:r>
      <w:r>
        <w:rPr>
          <w:rFonts w:hint="eastAsia" w:ascii="方正楷体_GBK" w:hAnsi="方正楷体_GBK" w:eastAsia="方正楷体_GBK" w:cs="方正楷体_GBK"/>
          <w:b w:val="0"/>
          <w:bCs w:val="0"/>
          <w:highlight w:val="none"/>
          <w:lang w:eastAsia="zh-CN"/>
        </w:rPr>
        <w:t>。</w:t>
      </w:r>
    </w:p>
    <w:p>
      <w:pPr>
        <w:pStyle w:val="5"/>
        <w:keepNext w:val="0"/>
        <w:keepLines w:val="0"/>
        <w:pageBreakBefore w:val="0"/>
        <w:widowControl w:val="0"/>
        <w:numPr>
          <w:ilvl w:val="0"/>
          <w:numId w:val="0"/>
        </w:numPr>
        <w:kinsoku/>
        <w:wordWrap/>
        <w:overflowPunct/>
        <w:topLinePunct w:val="0"/>
        <w:bidi w:val="0"/>
        <w:spacing w:line="579"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1.全区政府网站系统运维及综合保障</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根据相关文件要求，为集约化平台上570家网站主办单位提供前端功能巡检、网站基础页面模板优化、统一信息推送服务、网站数据维护、网站组织架构及账号维护、网站工单处理、重大活动和节假日重点保障、信息公开专栏技术支撑、在线人工咨询服务、网站安全巡检、网站后端功能巡检、规章库专栏技术支撑、领导/部门信箱技术保障、业务支撑培训等14项服务。</w:t>
      </w:r>
      <w:r>
        <w:rPr>
          <w:rFonts w:hint="eastAsia" w:ascii="仿宋_GB2312" w:hAnsi="仿宋_GB2312" w:eastAsia="仿宋_GB2312" w:cs="仿宋_GB2312"/>
          <w:sz w:val="32"/>
          <w:szCs w:val="32"/>
          <w:lang w:val="en-US" w:eastAsia="zh-CN"/>
        </w:rPr>
        <w:br w:type="textWrapping"/>
      </w:r>
      <w:r>
        <w:rPr>
          <w:rFonts w:hint="eastAsia"/>
          <w:lang w:val="en-US" w:eastAsia="zh-CN"/>
        </w:rPr>
        <w:t xml:space="preserve">   </w:t>
      </w:r>
      <w:r>
        <w:rPr>
          <w:rFonts w:hint="eastAsia" w:ascii="仿宋_GB2312" w:hAnsi="仿宋_GB2312" w:eastAsia="仿宋_GB2312" w:cs="仿宋_GB2312"/>
          <w:b/>
          <w:bCs/>
          <w:sz w:val="32"/>
          <w:szCs w:val="32"/>
          <w:lang w:val="en-US" w:eastAsia="zh-CN"/>
        </w:rPr>
        <w:t>2.业务专题制作支撑服务</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部门网站和市、县人民政府业务需求，提供业务专题制作支撑服务。同时需围绕网站评估考核要求结合部门核心业务，定制化策划及开发相关专栏，提供业务相关的政策依据、行业标准、知识库、在线查询、办事服务等各类资源汇聚，对上述资源进行整合分类展示，可按动态、政策、互动、服务、查询等类别划分。栏目设计新颖，展示形式多样，前端技术根据各政府网站的实际需求设计专题页面，并根据设计要求和标准规范制作成网页，按照集约化平台置标技术标准套接页面，部署上互联网对外访问。全年对各政府网站提出的建设需求应接尽接，原则上完成数量不少于150个。</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制作一个业务专题需要完成的工序：（1）页面规划：协助配合网站管理员规划页面，确定页面布局，以及各项数据的来源。（2）页面设计：根据页面规划和网站管理员的风格需求，设计相应配套的页面。（3）页面制作：根据设计的页面效果图制作成主流浏览器能识别的HTML页面，同时开发交互效果。（4）页面套接：根据集约化平台技术规范接入数据，实现数据渲染到页面前台展示。（5）页面测试：测试页面兼容性和调优工作。</w:t>
      </w:r>
      <w:r>
        <w:rPr>
          <w:rFonts w:hint="eastAsia" w:ascii="仿宋_GB2312" w:hAnsi="仿宋_GB2312" w:eastAsia="仿宋_GB2312" w:cs="仿宋_GB2312"/>
          <w:sz w:val="32"/>
          <w:szCs w:val="32"/>
          <w:lang w:val="en-US" w:eastAsia="zh-CN"/>
        </w:rPr>
        <w:br w:type="textWrapping"/>
      </w:r>
      <w:r>
        <w:rPr>
          <w:rFonts w:hint="eastAsia" w:cs="仿宋_GB2312"/>
          <w:sz w:val="32"/>
          <w:szCs w:val="32"/>
          <w:lang w:val="en-US" w:eastAsia="zh-CN"/>
        </w:rPr>
        <w:t xml:space="preserve">  </w:t>
      </w:r>
      <w:r>
        <w:rPr>
          <w:rFonts w:hint="eastAsia" w:cs="仿宋_GB2312"/>
          <w:b/>
          <w:bCs/>
          <w:sz w:val="32"/>
          <w:szCs w:val="32"/>
          <w:lang w:val="en-US" w:eastAsia="zh-CN"/>
        </w:rPr>
        <w:t xml:space="preserve"> </w:t>
      </w:r>
      <w:r>
        <w:rPr>
          <w:rFonts w:hint="eastAsia"/>
          <w:b/>
          <w:bCs/>
          <w:lang w:val="en-US" w:eastAsia="zh-CN"/>
        </w:rPr>
        <w:t>3.资源融合主题服务专题专栏技术支撑服务</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用户视角出发，挖掘网站资源的潜在价值、释放网站资源的数据潜能。提供群众视角的沉浸式、情景式、一件事服务，在向用户提供办前帮、办后帮指导的同时，实现政策文件、在线办事、在线查询、标准规范、在线咨询等各类型资源的优化融合。</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.制作资源融合、一件事服务导航专栏模版，按照十五个融合主题进行分类，实现各市县的融合服务及一件事服务的集中分类展示，并能在现在位置标识服务所属地域。</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根据政府网站对外提供内容服务需求，设计并制作新的资源融合、一件事主题服务模版，提供给各级政府网站使用。包括教育、科研、优待抚恤、社会保障、住房保障、社会救助和福利、就业创业、婚姻生育、企业开办、医疗健康、公共交通、知识产权、文化体育、司法公证、旅游观光等十五个领域各一个一件事主题服务。</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制作融合服务专栏页面，整合提供政策事项、政务公开、办事服务、产线服务、标准规范、互动交流等各类信息资源，制作群众眼中的沉浸式、情景式一件事服务专题。根据各政府网站的实际需求设计专题页面，结合设计要求和标准规范制作成网页，按照集约化平台置标技术标准套接页面，部署互联网对外访问。全年对各政府网站提出的建设需求应接尽接。</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制作一个资源融合主题服务专题需要完成的工序：</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1.相关政策梳理：梳理对应事项相关数据资源，包括政策依据、政策满足条件、具体节点涉及政策等内容。</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2.相关事项梳理：包括事项名称、信息资源格式、数据类型、责任部门、共享方式、资源落实情况等字段，形成事项数据需求清单。</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3.一件事地图服务：依据底层地图数据信息基于事项办理场景构建事项一件事办理服务地图。</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互动信息资源梳理：结合问答资源库数据、互动交流数据梳理一件事办理事项逻辑。</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主题研究分析：研究事项主题信息资源材料表，确认主题事项相关政策、公开、办事、查询、互动、知识等信息资源字段信息情况，规划设计相关数据表，搭建统一数据资源库，针对各类信息资源进行统一归集、统一入库、统一调用。</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.页面设计，对15个融合场景服务专栏、服务指南、一件事服务内容等资源设计多套不同风格的页面模板，根据页面规划要求设计相应的页面效果图。</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.页面制作，根据页面效果图制作主流浏览器能访问的页面，并根据用户要求实现交互效果。</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7</w:t>
      </w:r>
      <w:r>
        <w:rPr>
          <w:rFonts w:hint="eastAsia" w:ascii="仿宋_GB2312" w:hAnsi="仿宋_GB2312" w:eastAsia="仿宋_GB2312" w:cs="仿宋_GB2312"/>
          <w:sz w:val="32"/>
          <w:szCs w:val="32"/>
          <w:lang w:val="en-US" w:eastAsia="zh-CN"/>
        </w:rPr>
        <w:t>.数据套接及部署实施。套接集约化平台稿件数据及调用相关数据接口数据并渲染展示。</w:t>
      </w:r>
    </w:p>
    <w:p>
      <w:pPr>
        <w:pStyle w:val="5"/>
        <w:keepNext w:val="0"/>
        <w:keepLines w:val="0"/>
        <w:pageBreakBefore w:val="0"/>
        <w:widowControl w:val="0"/>
        <w:numPr>
          <w:ilvl w:val="0"/>
          <w:numId w:val="0"/>
        </w:numPr>
        <w:kinsoku/>
        <w:wordWrap/>
        <w:overflowPunct/>
        <w:topLinePunct w:val="0"/>
        <w:bidi w:val="0"/>
        <w:spacing w:line="579" w:lineRule="exact"/>
        <w:ind w:left="640" w:leftChars="200" w:firstLine="0" w:firstLineChars="0"/>
        <w:textAlignment w:val="auto"/>
        <w:rPr>
          <w:rFonts w:hint="eastAsia"/>
          <w:b/>
          <w:bCs/>
          <w:lang w:val="en-US" w:eastAsia="zh-CN"/>
        </w:rPr>
      </w:pPr>
      <w:r>
        <w:rPr>
          <w:rFonts w:hint="eastAsia" w:cs="仿宋_GB2312"/>
          <w:sz w:val="32"/>
          <w:szCs w:val="32"/>
          <w:lang w:val="en-US" w:eastAsia="zh-CN"/>
        </w:rPr>
        <w:t>8</w:t>
      </w:r>
      <w:bookmarkStart w:id="6" w:name="_GoBack"/>
      <w:bookmarkEnd w:id="6"/>
      <w:r>
        <w:rPr>
          <w:rFonts w:hint="eastAsia" w:ascii="仿宋_GB2312" w:hAnsi="仿宋_GB2312" w:eastAsia="仿宋_GB2312" w:cs="仿宋_GB2312"/>
          <w:sz w:val="32"/>
          <w:szCs w:val="32"/>
          <w:lang w:val="en-US" w:eastAsia="zh-CN"/>
        </w:rPr>
        <w:t>.页面测试，根据要求测试页面效果，并根据要求优化调整。</w:t>
      </w:r>
      <w:r>
        <w:rPr>
          <w:rFonts w:hint="eastAsia"/>
          <w:b/>
          <w:bCs/>
          <w:lang w:val="en-US" w:eastAsia="zh-CN"/>
        </w:rPr>
        <w:t xml:space="preserve">  </w:t>
      </w:r>
    </w:p>
    <w:p>
      <w:pPr>
        <w:pStyle w:val="5"/>
        <w:keepNext w:val="0"/>
        <w:keepLines w:val="0"/>
        <w:pageBreakBefore w:val="0"/>
        <w:widowControl w:val="0"/>
        <w:numPr>
          <w:ilvl w:val="0"/>
          <w:numId w:val="0"/>
        </w:numPr>
        <w:kinsoku/>
        <w:wordWrap/>
        <w:overflowPunct/>
        <w:topLinePunct w:val="0"/>
        <w:bidi w:val="0"/>
        <w:spacing w:line="579" w:lineRule="exact"/>
        <w:ind w:left="320" w:leftChars="100" w:firstLine="321" w:firstLineChars="100"/>
        <w:textAlignment w:val="auto"/>
        <w:rPr>
          <w:rFonts w:hint="eastAsia"/>
          <w:b/>
          <w:bCs/>
          <w:lang w:val="en-US" w:eastAsia="zh-CN"/>
        </w:rPr>
      </w:pPr>
      <w:r>
        <w:rPr>
          <w:rFonts w:hint="eastAsia"/>
          <w:b/>
          <w:bCs/>
          <w:lang w:val="en-US" w:eastAsia="zh-CN"/>
        </w:rPr>
        <w:t>4.政府网站手机端适配</w:t>
      </w:r>
    </w:p>
    <w:p>
      <w:pPr>
        <w:pStyle w:val="5"/>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印发全国一体化政务服务平台移动端建设指南的通知》（国办函〔2021〕105号）文件精神，要求加强和规范全国一体化平台移动端建设管理，推动各地区各部门政务服务平台移动端标准化、规范化建设和互联互通，全面提升移动政务服务能力和水平，最大程度利企便民。</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当前，各政府网站主要针对专题专栏、通知公告、新闻动态、政务资讯等通用栏目进行手机端适配，随着移动端的普及，各级政府网站对网站页面手机端适配有更高要求，提出针对网站首页、互动交流等个性化页面进行手机端适配，由于各网站首页布局各有不同，需要个性化定制开发。</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针对集约化平台上政府网站进行移动端适配优化,提高移动终端浏览体验。主要模块包括网站首页、互动交流、信息公开列表、信息公开详情等页面。全年对各政府网站提出的优化需求应接尽接。</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制作一套手机端政府网站需要完成的工序：（1）页面规划：协助配合网站管理员根据网站现有的PC端页面规划手机端页面布局。（2）页面设计：根据页面规划和网站管理员的风格需求，设计相应配套的页面。（3）页面制作：根据设计的页面效果图制作静态页面，自适应各手机终端访问浏览以及满足手机终端交互效果。（4）页面套接：根据集约化平台技术规范接入数据，同时对外部数据接口接入，实现数据渲染到页面前台展示。同时加入终端识别程序，更加用户访问网站的终端自动打开pc网站或者手机网站（5）页面测试：测试页面兼容性和调优工作。</w:t>
      </w:r>
      <w:r>
        <w:rPr>
          <w:rFonts w:hint="eastAsia" w:ascii="仿宋_GB2312" w:hAnsi="仿宋_GB2312" w:eastAsia="仿宋_GB2312" w:cs="仿宋_GB2312"/>
          <w:sz w:val="32"/>
          <w:szCs w:val="32"/>
          <w:lang w:val="en-US" w:eastAsia="zh-CN"/>
        </w:rPr>
        <w:br w:type="textWrapping"/>
      </w:r>
      <w:r>
        <w:rPr>
          <w:rFonts w:hint="eastAsia" w:cs="仿宋_GB2312"/>
          <w:sz w:val="32"/>
          <w:szCs w:val="32"/>
          <w:lang w:val="en-US" w:eastAsia="zh-CN"/>
        </w:rPr>
        <w:t xml:space="preserve">   </w:t>
      </w:r>
      <w:r>
        <w:rPr>
          <w:rFonts w:hint="eastAsia"/>
          <w:b/>
          <w:bCs/>
          <w:lang w:val="en-US" w:eastAsia="zh-CN"/>
        </w:rPr>
        <w:t>5.政务及文旅服务地图应用服务</w:t>
      </w:r>
      <w:r>
        <w:rPr>
          <w:rFonts w:hint="eastAsia"/>
          <w:b/>
          <w:bCs/>
          <w:lang w:val="en-US" w:eastAsia="zh-CN"/>
        </w:rPr>
        <w:br w:type="textWrapping"/>
      </w:r>
      <w:r>
        <w:rPr>
          <w:rFonts w:hint="eastAsia"/>
          <w:b/>
          <w:bCs/>
          <w:lang w:val="en-US" w:eastAsia="zh-CN"/>
        </w:rPr>
        <w:t xml:space="preserve">   </w:t>
      </w:r>
      <w:r>
        <w:rPr>
          <w:rFonts w:hint="eastAsia" w:ascii="仿宋_GB2312" w:hAnsi="仿宋_GB2312" w:eastAsia="仿宋_GB2312" w:cs="仿宋_GB2312"/>
          <w:sz w:val="32"/>
          <w:szCs w:val="32"/>
          <w:lang w:val="en-US" w:eastAsia="zh-CN"/>
        </w:rPr>
        <w:t>为提升政府网站对外服务实用性、创新性，以企业和群众关切为导向，通过便民服务结合政务、文旅地图来有效推动政务、文旅地理信息及关联信息展示，进一步满足群众对政务公开、政务服务、对外服务的需求。该项服务将结合集约化平台底座，调用“天地图”通用地图基本能力，进行政务及文旅行业地图定制化应用服务建设。</w:t>
      </w:r>
      <w:r>
        <w:rPr>
          <w:rFonts w:hint="eastAsia" w:ascii="仿宋_GB2312" w:hAnsi="仿宋_GB2312" w:eastAsia="仿宋_GB2312" w:cs="仿宋_GB2312"/>
          <w:sz w:val="32"/>
          <w:szCs w:val="32"/>
          <w:lang w:val="en-US" w:eastAsia="zh-CN"/>
        </w:rPr>
        <w:br w:type="textWrapping"/>
      </w:r>
      <w:r>
        <w:rPr>
          <w:rFonts w:hint="eastAsia" w:cs="仿宋_GB2312"/>
          <w:b/>
          <w:bCs/>
          <w:sz w:val="32"/>
          <w:szCs w:val="32"/>
          <w:lang w:val="en-US" w:eastAsia="zh-CN"/>
        </w:rPr>
        <w:t xml:space="preserve">   </w:t>
      </w:r>
      <w:r>
        <w:rPr>
          <w:rFonts w:hint="eastAsia"/>
          <w:b/>
          <w:bCs/>
          <w:lang w:val="en-US" w:eastAsia="zh-CN"/>
        </w:rPr>
        <w:t xml:space="preserve">6.“自治区人民政府”专项运维服务 </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人民政府主要领导关于改革主席信箱的重要指示精神以及《国务院办公厅关于印发政府网站发展指引的通知》（国办发〔2017〕47号）和《广西壮族自治区人民政府办公厅关于印发自治区人民政府门户网站管理办法的通知》（桂政办发〔2017〕115号）要求，为进一步提升便民惠企能力，树立政府为民服务良好形象，营造优越市场环境，推动经济高质量发展。因此，结合我区实际，对“@自治区人民政府”（主席信箱）进行统一运维管理。</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分拣研判。研判信件内容，二次把关，甄别信件类型、是否属于受理范围、具体承办单位等，做好信件登记和处理。对于企业和群众提出的各类非紧急诉求，包括经济调节、市场监管、社会管理、公共服务、生态环境保护等领域的求助、投诉、举报、建议等诉求，属于受理范围的有效信件，明确具体承办单位，是否涉及多个单位联办，按照属地原则、职能原则分拣处理；针对主席信箱收到的反映情况较复杂，适合信访途径解决的信件，将通过主席信箱分流到自治区信访局处理；对于超出主席信箱受理范围的、无实际诉求或诉求不明的信件，通过优化过滤机制，直接解释和答复，不再转办。</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转办。对于在12345平台转办范围内的有效信件，将信件分拣至12345平台，在12345平台处理工单，完善工单详情并分发；对于不在12345平台受理范围的少数其他有效信件，拟函办文后通过信函等其他方式转给有关单位。</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.督办。及时提醒办理单位做好信件答复，对未在规定期限内答复信件或不落实答复承诺的进行督办。对于情形严重的，向承办单位发出整改函，同时定期形成办理情况通报。</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.延办。对申请延期办理的信件予以审核，确认申请理由和依据、延期时限，做好登记。</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否办。对单位确认信件不属于本单位职责范围，决定不予办理的并申请否办的，审核否办申请，定期协同相关部门复核否办申请的相关材料，切实抓好办理效能管理。对否办审核通过的信件，进行二次研判和转办。</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答复审核。对信件办理答复进行二次审核，审核是否切实解决群众企业的实际问题，并依法依规作出准确合理的答复。信件办理答复应包括答复单位、答复时间、办理人、联系方式、信件公开属性以及对群众企业有实质性帮助的内容，文字表达要简明扼要、文明规范、清晰完整。针对存在较大争议的、疑难情况的信件，增加由信箱管理单位分管领导审核，办文呈送领导。</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（7）</w:t>
      </w:r>
      <w:r>
        <w:rPr>
          <w:rFonts w:hint="eastAsia" w:ascii="仿宋_GB2312" w:hAnsi="仿宋_GB2312" w:eastAsia="仿宋_GB2312" w:cs="仿宋_GB2312"/>
          <w:sz w:val="32"/>
          <w:szCs w:val="32"/>
          <w:lang w:val="en-US" w:eastAsia="zh-CN"/>
        </w:rPr>
        <w:t>.回复办结。对审核通过的答复意见，在后台排版规范的格式，完善承办单位、答复时间等信息，将答复意见回复网民，做好办结信件登记。</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（8）</w:t>
      </w:r>
      <w:r>
        <w:rPr>
          <w:rFonts w:hint="eastAsia" w:ascii="仿宋_GB2312" w:hAnsi="仿宋_GB2312" w:eastAsia="仿宋_GB2312" w:cs="仿宋_GB2312"/>
          <w:sz w:val="32"/>
          <w:szCs w:val="32"/>
          <w:lang w:val="en-US" w:eastAsia="zh-CN"/>
        </w:rPr>
        <w:t>.退回。对于不符合答复规范的，出现敷衍推诿、答非所问、言论过激、逻辑不通、没有切实解决来信问题或违反国家法律法规等情况的，形成退回意见，予以退回重办。</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（9）</w:t>
      </w:r>
      <w:r>
        <w:rPr>
          <w:rFonts w:hint="eastAsia" w:ascii="仿宋_GB2312" w:hAnsi="仿宋_GB2312" w:eastAsia="仿宋_GB2312" w:cs="仿宋_GB2312"/>
          <w:sz w:val="32"/>
          <w:szCs w:val="32"/>
          <w:lang w:val="en-US" w:eastAsia="zh-CN"/>
        </w:rPr>
        <w:t>.整理报告。每月定期整理信件办理情况，公开发布部分办理信件、相关数据，形成主席信箱运行情况报告并报自治区人民政府，报告应含运行总体情况、敏感和集中来信、下一步工作计划和有效信件清单等内容。</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（10）</w:t>
      </w:r>
      <w:r>
        <w:rPr>
          <w:rFonts w:hint="eastAsia" w:ascii="仿宋_GB2312" w:hAnsi="仿宋_GB2312" w:eastAsia="仿宋_GB2312" w:cs="仿宋_GB2312"/>
          <w:sz w:val="32"/>
          <w:szCs w:val="32"/>
          <w:lang w:val="en-US" w:eastAsia="zh-CN"/>
        </w:rPr>
        <w:t>.舆情管理。针对可能涉及舆情风险的信件，及时报告相关情况，做好信件处理工作。在每月主席信箱运行情况报告中，附当月敏感信件及办理情况。针对反映情况重大、具有普遍性的信件及办理情况，作为典型案例附至自治区大数据局简报，每月报送自治区党委、政府。针对可能涉及重大舆情风险的信件及办理情况，将相关舆情报函告相关部门，以便其及时知晓和处理相关情况。</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（11）</w:t>
      </w:r>
      <w:r>
        <w:rPr>
          <w:rFonts w:hint="eastAsia" w:ascii="仿宋_GB2312" w:hAnsi="仿宋_GB2312" w:eastAsia="仿宋_GB2312" w:cs="仿宋_GB2312"/>
          <w:sz w:val="32"/>
          <w:szCs w:val="32"/>
          <w:lang w:val="en-US" w:eastAsia="zh-CN"/>
        </w:rPr>
        <w:t>.对接联络。与各单位、12345平台保持对接联络，接听主席信箱咨询电话，对涉及主席信箱的事项、信件处办中的各类问题，做好对接和沟通。</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(12)</w:t>
      </w:r>
      <w:r>
        <w:rPr>
          <w:rFonts w:hint="eastAsia" w:ascii="仿宋_GB2312" w:hAnsi="仿宋_GB2312" w:eastAsia="仿宋_GB2312" w:cs="仿宋_GB2312"/>
          <w:sz w:val="32"/>
          <w:szCs w:val="32"/>
          <w:lang w:val="en-US" w:eastAsia="zh-CN"/>
        </w:rPr>
        <w:t>.其他相关事项。协助制订主席信箱发展规划和运行管理规范、考核、大数据管理和分析，及系统开发、改造等工作。2022年5月协助制定印发《主席信箱便民惠企能力提升实施方案》，2022年6月协助主席信箱系统优化上线。为进一步完善运行机制、提高服务质量，下一步协助起草主席信箱优化相关方案。</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(13)</w:t>
      </w:r>
      <w:r>
        <w:rPr>
          <w:rFonts w:hint="eastAsia" w:ascii="仿宋_GB2312" w:hAnsi="仿宋_GB2312" w:eastAsia="仿宋_GB2312" w:cs="仿宋_GB2312"/>
          <w:sz w:val="32"/>
          <w:szCs w:val="32"/>
          <w:lang w:val="en-US" w:eastAsia="zh-CN"/>
        </w:rPr>
        <w:t>.驻点人员。安排2名专职人员驻点办公。</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(14)</w:t>
      </w:r>
      <w:r>
        <w:rPr>
          <w:rFonts w:hint="eastAsia" w:ascii="仿宋_GB2312" w:hAnsi="仿宋_GB2312" w:eastAsia="仿宋_GB2312" w:cs="仿宋_GB2312"/>
          <w:sz w:val="32"/>
          <w:szCs w:val="32"/>
          <w:lang w:val="en-US" w:eastAsia="zh-CN"/>
        </w:rPr>
        <w:t>.审核工作。安排具有新闻采编中级职称以上人员参与主席信箱的二审工作。</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(15)</w:t>
      </w:r>
      <w:r>
        <w:rPr>
          <w:rFonts w:hint="eastAsia" w:ascii="仿宋_GB2312" w:hAnsi="仿宋_GB2312" w:eastAsia="仿宋_GB2312" w:cs="仿宋_GB2312"/>
          <w:sz w:val="32"/>
          <w:szCs w:val="32"/>
          <w:lang w:val="en-US" w:eastAsia="zh-CN"/>
        </w:rPr>
        <w:t>.培训工作。每年至少安排2次业务培训。</w:t>
      </w:r>
      <w:r>
        <w:rPr>
          <w:rFonts w:hint="eastAsia" w:ascii="仿宋_GB2312" w:hAnsi="仿宋_GB2312" w:eastAsia="仿宋_GB2312" w:cs="仿宋_GB2312"/>
          <w:sz w:val="32"/>
          <w:szCs w:val="32"/>
          <w:lang w:val="en-US" w:eastAsia="zh-CN"/>
        </w:rPr>
        <w:br w:type="textWrapping"/>
      </w:r>
      <w:r>
        <w:rPr>
          <w:rFonts w:hint="eastAsia" w:cs="仿宋_GB2312"/>
          <w:sz w:val="32"/>
          <w:szCs w:val="32"/>
          <w:lang w:val="en-US" w:eastAsia="zh-CN"/>
        </w:rPr>
        <w:t xml:space="preserve">   </w:t>
      </w:r>
      <w:r>
        <w:rPr>
          <w:rFonts w:hint="eastAsia" w:cs="仿宋_GB2312"/>
          <w:b/>
          <w:bCs/>
          <w:sz w:val="32"/>
          <w:szCs w:val="32"/>
          <w:lang w:val="en-US" w:eastAsia="zh-CN"/>
        </w:rPr>
        <w:t xml:space="preserve"> </w:t>
      </w:r>
      <w:r>
        <w:rPr>
          <w:rFonts w:hint="eastAsia"/>
          <w:b/>
          <w:bCs/>
          <w:lang w:val="en-US" w:eastAsia="zh-CN"/>
        </w:rPr>
        <w:t>7.智能搜索运维与配置</w:t>
      </w:r>
      <w:r>
        <w:rPr>
          <w:rFonts w:hint="eastAsia"/>
          <w:b/>
          <w:bCs/>
          <w:lang w:val="en-US" w:eastAsia="zh-CN"/>
        </w:rPr>
        <w:br w:type="textWrapping"/>
      </w:r>
      <w:r>
        <w:rPr>
          <w:rFonts w:hint="eastAsia"/>
          <w:b/>
          <w:bCs/>
          <w:lang w:val="en-US" w:eastAsia="zh-CN"/>
        </w:rPr>
        <w:t xml:space="preserve">  </w:t>
      </w:r>
      <w:r>
        <w:rPr>
          <w:rFonts w:hint="eastAsia" w:ascii="仿宋_GB2312" w:hAnsi="仿宋_GB2312" w:eastAsia="仿宋_GB2312" w:cs="仿宋_GB2312"/>
          <w:sz w:val="32"/>
          <w:szCs w:val="32"/>
          <w:lang w:val="en-US" w:eastAsia="zh-CN"/>
        </w:rPr>
        <w:t>国务院办公厅发布了《关于印发“互联网+政务服务”技术体系建设指南的通知》、《政府网站与政务新媒体检查指标》和《政府网站与政务新媒体监管工作年度考核指标》，对网站搜索等提出了一系列要求。为了更好地提供网站信息社会化服务，需持续优化集约化平台的智能搜索能力，使搜索服务更加精准、便捷，加强数据归集能力、提升网站搜索能力，为网民提供方便快捷、全面、准确、具有广西特色的搜索服务。搭建全区统一的智能化、场景化、融合化、集约化搜索服务平台。同时为新迁入自治区网信办、信访局，桂林市集约化平台站点开设基于集约化平台的智能搜索服务。</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.包括搜索词智能提示、搜索词纠错、敏感词屏蔽、通俗语言转化、自然语言模糊搜索、拼音搜索智能转化等功能。</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.包括政策内容可视化、政务数据可视化、热点服务的场景化、关联信息聚合化、人物机构名片化、便民查询场景化、搜索结果智能排序、关联地图服务等功能。</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.涉及搜索索引、优先级配置、词条、实体库等搜索配置工作。当网站用户搜索实体库某一词条时，会激活其他同类词条，为搜索用户提供相似信息入口，提高搜索率。</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.搜索框应用、搜索专题配置。根据领域或相关热点打造搜索框应用、专题搜索页面，可配置某些激活条件（某些/某类/某组词命中后激活）激活框应用。</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.增加实现对栏目的检索，不仅能检索到栏目同时也可以检索到所建的专题，提升检索的覆盖面。</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.小语种搜索：针对小语种语法和词汇调整搜索引擎，能够处理小语种语言的特殊字符和编码、搜索结果的排序和筛选等。</w:t>
      </w:r>
    </w:p>
    <w:p>
      <w:pPr>
        <w:pStyle w:val="5"/>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(7)</w:t>
      </w:r>
      <w:r>
        <w:rPr>
          <w:rFonts w:hint="eastAsia" w:ascii="仿宋_GB2312" w:hAnsi="仿宋_GB2312" w:eastAsia="仿宋_GB2312" w:cs="仿宋_GB2312"/>
          <w:sz w:val="32"/>
          <w:szCs w:val="32"/>
          <w:lang w:val="en-US" w:eastAsia="zh-CN"/>
        </w:rPr>
        <w:t>.内容运营：包括公共主题服务运维（证件办理、婚姻生育、教育、就业创业、医疗、社保、住房、交通、社会福利、出入境、企业开办）、领导名片运维、机构名片运维、城市地区名片运维、数据服务信息运维（人口、GDP、CPI等）、其他框应用运维（假期、天气）、政务新媒体搜索运维（数据推送服务）、网站检索开设、修改、关停、权限分配、网站检索词条运维（权重、拼音、纠错词、同义词、百姓体、敏感词等）、网站推荐词组、热搜排行、内容置顶、内容屏蔽运维。</w:t>
      </w:r>
      <w:r>
        <w:rPr>
          <w:rFonts w:hint="eastAsia"/>
          <w:lang w:val="en-US" w:eastAsia="zh-CN"/>
        </w:rPr>
        <w:br w:type="textWrapping"/>
      </w:r>
      <w:r>
        <w:rPr>
          <w:rFonts w:hint="eastAsia"/>
          <w:lang w:val="en-US" w:eastAsia="zh-CN"/>
        </w:rPr>
        <w:t xml:space="preserve">    </w:t>
      </w:r>
      <w:r>
        <w:rPr>
          <w:rFonts w:hint="eastAsia" w:cs="仿宋_GB2312"/>
          <w:b/>
          <w:bCs/>
          <w:sz w:val="32"/>
          <w:szCs w:val="32"/>
          <w:lang w:val="en-US" w:eastAsia="zh-CN"/>
        </w:rPr>
        <w:t>8.大屏数据展示运维</w:t>
      </w:r>
      <w:r>
        <w:rPr>
          <w:rFonts w:hint="eastAsia" w:cs="仿宋_GB2312"/>
          <w:b/>
          <w:bCs/>
          <w:sz w:val="32"/>
          <w:szCs w:val="32"/>
          <w:lang w:val="en-US" w:eastAsia="zh-CN"/>
        </w:rPr>
        <w:br w:type="textWrapping"/>
      </w:r>
      <w:r>
        <w:rPr>
          <w:rFonts w:hint="eastAsia"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广西政务网站集约化平台面向全区政府网站提供技术支撑及运维服务，为各级各部门信息公开、提供在线服务和开展互动交流的第一平台。信息系统规模庞大数据类型复杂，需实时掌握平台变动情况并进行有机管理和动态展现，同时根据平台宏观数据为网站发展提供辅助决策支撑。</w:t>
      </w:r>
    </w:p>
    <w:p>
      <w:pPr>
        <w:pStyle w:val="5"/>
        <w:keepNext w:val="0"/>
        <w:keepLines w:val="0"/>
        <w:pageBreakBefore w:val="0"/>
        <w:widowControl w:val="0"/>
        <w:numPr>
          <w:ilvl w:val="0"/>
          <w:numId w:val="0"/>
        </w:numPr>
        <w:kinsoku/>
        <w:wordWrap/>
        <w:overflowPunct/>
        <w:topLinePunct w:val="0"/>
        <w:bidi w:val="0"/>
        <w:spacing w:line="579" w:lineRule="exact"/>
        <w:textAlignment w:val="auto"/>
        <w:rPr>
          <w:rFonts w:hint="eastAsia"/>
          <w:lang w:val="en-US" w:eastAsia="zh-CN"/>
        </w:rPr>
      </w:pPr>
      <w:r>
        <w:rPr>
          <w:rFonts w:hint="eastAsia" w:ascii="仿宋_GB2312" w:hAnsi="仿宋_GB2312" w:eastAsia="仿宋_GB2312" w:cs="仿宋_GB2312"/>
          <w:sz w:val="32"/>
          <w:szCs w:val="32"/>
          <w:lang w:val="en-US" w:eastAsia="zh-CN"/>
        </w:rPr>
        <w:t>本次大屏数据展示运维内容包括政府网站监测大屏、政务新媒体监测大屏、政务大屏进行维护；错别字在线校验服务维护，包括首页、任务中心、网站监测、新媒体监测、词库管理、系统管理。</w:t>
      </w:r>
    </w:p>
    <w:p>
      <w:pPr>
        <w:keepNext w:val="0"/>
        <w:keepLines w:val="0"/>
        <w:pageBreakBefore w:val="0"/>
        <w:widowControl w:val="0"/>
        <w:numPr>
          <w:ilvl w:val="0"/>
          <w:numId w:val="0"/>
        </w:numPr>
        <w:kinsoku/>
        <w:wordWrap/>
        <w:overflowPunct/>
        <w:topLinePunct w:val="0"/>
        <w:bidi w:val="0"/>
        <w:spacing w:line="579" w:lineRule="exact"/>
        <w:ind w:left="640" w:leftChars="100" w:hanging="320" w:hangingChars="100"/>
        <w:textAlignment w:val="auto"/>
        <w:rPr>
          <w:rFonts w:hint="default" w:ascii="Times New Roman" w:hAnsi="Times New Roman" w:eastAsia="仿宋_GB2312" w:cs="Times New Roman"/>
          <w:b/>
          <w:bCs/>
          <w:color w:val="auto"/>
          <w:sz w:val="32"/>
          <w:szCs w:val="28"/>
          <w:highlight w:val="none"/>
          <w:lang w:val="en-US" w:eastAsia="zh-CN"/>
        </w:rPr>
      </w:pPr>
      <w:r>
        <w:rPr>
          <w:rFonts w:hint="eastAsia" w:ascii="方正楷体_GBK" w:hAnsi="方正楷体_GBK" w:eastAsia="方正楷体_GBK" w:cs="方正楷体_GBK"/>
          <w:b w:val="0"/>
          <w:bCs w:val="0"/>
          <w:color w:val="auto"/>
          <w:sz w:val="32"/>
          <w:szCs w:val="28"/>
          <w:highlight w:val="none"/>
          <w:lang w:val="en-US" w:eastAsia="zh-CN"/>
        </w:rPr>
        <w:t>（二）集约化平台应用优化服务。</w:t>
      </w:r>
      <w:r>
        <w:rPr>
          <w:rFonts w:hint="default" w:ascii="Times New Roman" w:hAnsi="Times New Roman" w:eastAsia="仿宋_GB2312" w:cs="Times New Roman"/>
          <w:color w:val="auto"/>
          <w:sz w:val="32"/>
          <w:szCs w:val="28"/>
          <w:highlight w:val="none"/>
          <w:lang w:val="en-US" w:eastAsia="zh-CN"/>
        </w:rPr>
        <w:br w:type="textWrapping"/>
      </w:r>
      <w:r>
        <w:rPr>
          <w:rFonts w:hint="default" w:ascii="Times New Roman" w:hAnsi="Times New Roman" w:eastAsia="仿宋_GB2312" w:cs="Times New Roman"/>
          <w:b/>
          <w:bCs/>
          <w:color w:val="auto"/>
          <w:sz w:val="32"/>
          <w:szCs w:val="28"/>
          <w:highlight w:val="none"/>
          <w:lang w:val="en-US" w:eastAsia="zh-CN"/>
        </w:rPr>
        <w:t>1.全区政策文件库优化</w:t>
      </w:r>
    </w:p>
    <w:p>
      <w:pPr>
        <w:keepNext w:val="0"/>
        <w:keepLines w:val="0"/>
        <w:pageBreakBefore w:val="0"/>
        <w:widowControl w:val="0"/>
        <w:numPr>
          <w:ilvl w:val="0"/>
          <w:numId w:val="0"/>
        </w:numPr>
        <w:kinsoku/>
        <w:wordWrap/>
        <w:overflowPunct/>
        <w:topLinePunct w:val="0"/>
        <w:bidi w:val="0"/>
        <w:spacing w:line="579" w:lineRule="exact"/>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中华人民共和国政府信息公开条例》提出，各级人民政府应当加强依托政府门户网站公开政府信息的工作，利用统一的政府信息公开平台集中发布主动公开的政府信息。同时省级政府政策文件类数据应用指标要求提出：评估政府网站通过挖掘利用政策文件数据为个人和法人提供政策文件智能推送、条款拆解、关联办事、精准匹配以及其他形式的数据应用服务的情况。</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default" w:ascii="Times New Roman" w:hAnsi="Times New Roman" w:eastAsia="仿宋_GB2312" w:cs="Times New Roman"/>
          <w:color w:val="auto"/>
          <w:sz w:val="32"/>
          <w:szCs w:val="28"/>
          <w:highlight w:val="none"/>
          <w:lang w:val="en-US" w:eastAsia="zh-CN"/>
        </w:rPr>
        <w:t>.目前我区政策文件库内容包含了综合政务、财政、金融国土资源、能源、农业、林业、水利交通、市场监管、安全生产监管、城乡建设、环境保护等诸多方面。需建立政策标签体系，并构建政策关系图谱，提供智能化精准化推荐和目标文件高度相关的文件和解读。</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(2)</w:t>
      </w:r>
      <w:r>
        <w:rPr>
          <w:rFonts w:hint="default" w:ascii="Times New Roman" w:hAnsi="Times New Roman" w:eastAsia="仿宋_GB2312" w:cs="Times New Roman"/>
          <w:color w:val="auto"/>
          <w:sz w:val="32"/>
          <w:szCs w:val="28"/>
          <w:highlight w:val="none"/>
          <w:lang w:val="en-US" w:eastAsia="zh-CN"/>
        </w:rPr>
        <w:t>.打造利企便民的政策文件库，为个人和企业提供政策展示、政策查询、政策解读等服务门户。通过“我要找政策”实现我区重要政策文件和相关权威解读一搜即达。依托政府网站集约化平台扩展政策文件分类，对政策进行精细的打标处理，标签体系主要包括主题、解读、个人、企业四大类。将海量的政策文件、政策解读数据进行多维标引、关联，最终形成的标签体系可用于支撑政策文件服务门户的多维度分类、数据筛选、辅助阅读等应用。降低企业和群众获取权威政策的门槛，有利于进一步推动政府职能转变、深化“放管服”改革，优化营商环境，激发市场活力和社会创造力、促进经济实现高质量发展。</w:t>
      </w:r>
      <w:r>
        <w:rPr>
          <w:rFonts w:hint="default"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 xml:space="preserve"> </w:t>
      </w:r>
      <w:r>
        <w:rPr>
          <w:rFonts w:hint="default" w:ascii="Times New Roman" w:hAnsi="Times New Roman" w:eastAsia="仿宋_GB2312" w:cs="Times New Roman"/>
          <w:b/>
          <w:bCs/>
          <w:color w:val="auto"/>
          <w:sz w:val="32"/>
          <w:szCs w:val="28"/>
          <w:highlight w:val="none"/>
          <w:lang w:val="en-US" w:eastAsia="zh-CN"/>
        </w:rPr>
        <w:t>2.智能大数据标签平台</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政府网站汇聚了大量政策法规、政策文件、互动交流、办事服务等数据，为加强数据汇聚融合、共享开放和开发利用，实现政府网站技术融合、业务融合、数据融合的要求，对政府网站数据资源进行自动化分类、智能标注。</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default" w:ascii="Times New Roman" w:hAnsi="Times New Roman" w:eastAsia="仿宋_GB2312" w:cs="Times New Roman"/>
          <w:color w:val="auto"/>
          <w:sz w:val="32"/>
          <w:szCs w:val="28"/>
          <w:highlight w:val="none"/>
          <w:lang w:val="en-US" w:eastAsia="zh-CN"/>
        </w:rPr>
        <w:t>.特征分析：通过自然语言处理技术，自动学习深层次的语义及语序特征，对语料所包含的特征进行统计和分析，挖掘出最有效的特征。有关特征可以分为具体的单词特征、上下文特征、词典及词性特征、停用词特征、核心词特征以及语义特征等。</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（2）</w:t>
      </w:r>
      <w:r>
        <w:rPr>
          <w:rFonts w:hint="default" w:ascii="Times New Roman" w:hAnsi="Times New Roman" w:eastAsia="仿宋_GB2312" w:cs="Times New Roman"/>
          <w:color w:val="auto"/>
          <w:sz w:val="32"/>
          <w:szCs w:val="28"/>
          <w:highlight w:val="none"/>
          <w:lang w:val="en-US" w:eastAsia="zh-CN"/>
        </w:rPr>
        <w:t>.文本分类：基于内容、基于规则和基于深度学习的分类。对政府网站数据进行多领域划分，可以自动对文档进行分类，赋予文档一个预先定义的类别主题词，无需人工进行干预。</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（3）</w:t>
      </w:r>
      <w:r>
        <w:rPr>
          <w:rFonts w:hint="default" w:ascii="Times New Roman" w:hAnsi="Times New Roman" w:eastAsia="仿宋_GB2312" w:cs="Times New Roman"/>
          <w:color w:val="auto"/>
          <w:sz w:val="32"/>
          <w:szCs w:val="28"/>
          <w:highlight w:val="none"/>
          <w:lang w:val="en-US" w:eastAsia="zh-CN"/>
        </w:rPr>
        <w:t>.基于深度学习的标注模型：对集约化平台下多种实体属性进行分析，并结合相关领域场景，将实体画像属性标签进行了分类，设计集约化平台数据资源标签体系并构建对应标注模型，采用分层存储（一二三四级）的方式保障模型打标质量的同时还能够保留标引体系的层级关系，消除了不同标引体系间的差异。</w:t>
      </w:r>
    </w:p>
    <w:p>
      <w:pPr>
        <w:keepNext w:val="0"/>
        <w:keepLines w:val="0"/>
        <w:pageBreakBefore w:val="0"/>
        <w:widowControl w:val="0"/>
        <w:numPr>
          <w:ilvl w:val="0"/>
          <w:numId w:val="0"/>
        </w:numPr>
        <w:kinsoku/>
        <w:wordWrap/>
        <w:overflowPunct/>
        <w:topLinePunct w:val="0"/>
        <w:bidi w:val="0"/>
        <w:spacing w:line="579" w:lineRule="exact"/>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人工反馈学习：提供人工手动打标纠错功能，为标注模型提供更准确的反馈训练。</w:t>
      </w:r>
      <w:r>
        <w:rPr>
          <w:rFonts w:hint="default"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b/>
          <w:bCs/>
          <w:color w:val="auto"/>
          <w:sz w:val="32"/>
          <w:szCs w:val="28"/>
          <w:highlight w:val="none"/>
          <w:lang w:val="en-US" w:eastAsia="zh-CN"/>
        </w:rPr>
        <w:t xml:space="preserve">   </w:t>
      </w:r>
      <w:r>
        <w:rPr>
          <w:rFonts w:hint="default" w:ascii="Times New Roman" w:hAnsi="Times New Roman" w:eastAsia="仿宋_GB2312" w:cs="Times New Roman"/>
          <w:b/>
          <w:bCs/>
          <w:color w:val="auto"/>
          <w:sz w:val="32"/>
          <w:szCs w:val="28"/>
          <w:highlight w:val="none"/>
          <w:lang w:val="en-US" w:eastAsia="zh-CN"/>
        </w:rPr>
        <w:t>3.互动信箱与12345热线、信访平台对接</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政府门户网站为对外提供互动交流的第一窗口，需构建统一咨询投诉渠道，及时、规范、高质量答复网民留言，及时公开网民留言和答复内容，及时公开留言受理答复的统计数据等情况。</w:t>
      </w:r>
    </w:p>
    <w:p>
      <w:pPr>
        <w:keepNext w:val="0"/>
        <w:keepLines w:val="0"/>
        <w:pageBreakBefore w:val="0"/>
        <w:widowControl w:val="0"/>
        <w:numPr>
          <w:ilvl w:val="0"/>
          <w:numId w:val="0"/>
        </w:numPr>
        <w:kinsoku/>
        <w:wordWrap/>
        <w:overflowPunct/>
        <w:topLinePunct w:val="0"/>
        <w:bidi w:val="0"/>
        <w:spacing w:line="579" w:lineRule="exact"/>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为提高民意诉求表达和政府回应水平，不断激发社会治理创新动力，积极探索打造“互动+热线+信访”联动工作模式，提高政府网站为民服务品质与效率。目前集约化平台涵盖300多个站点互动信箱数据，接受公众建言献策和反映情况，同时12345热线、信访也包含海量公众反馈数据。为提升回应解读效率、为服务型政府网站提供决策辅助，以企业和群众服务需求为出发点和立足点，对接打通政府部门或机构对外沟通数据，提高为民服务品质与效率。</w:t>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default" w:ascii="Times New Roman" w:hAnsi="Times New Roman" w:eastAsia="仿宋_GB2312" w:cs="Times New Roman"/>
          <w:b/>
          <w:bCs/>
          <w:color w:val="auto"/>
          <w:sz w:val="32"/>
          <w:szCs w:val="28"/>
          <w:highlight w:val="none"/>
          <w:lang w:val="en-US" w:eastAsia="zh-CN"/>
        </w:rPr>
        <w:t>4.绩效考核评估系统</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根据《全区政府网站与政务新媒体检查指标》要求，建设符合广西政府网站的季度考核系统，考核指标分为三部分，第一部分为单项否决指标，适用于所有政府网站、政府系统的政务新媒体；第二部分为扣分指标，第三部分为加分指标，适用于政府门户网站。经过指标体系研究定制及意见征集、评估指标数据采集、网站绩效自评打分、网站绩效考核评分等阶段对政府网站绩效进行统一考核，并实现考核结果与指标1:1可视化。</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default" w:ascii="Times New Roman" w:hAnsi="Times New Roman" w:eastAsia="仿宋_GB2312" w:cs="Times New Roman"/>
          <w:color w:val="auto"/>
          <w:sz w:val="32"/>
          <w:szCs w:val="28"/>
          <w:highlight w:val="none"/>
          <w:lang w:val="en-US" w:eastAsia="zh-CN"/>
        </w:rPr>
        <w:t>.意见征集及指标管理</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支持创建征集。网站主管单位可创建意见征集通知，编辑通知内容包括通知标题、通知内容、附件、特别说明及反馈日期等内容。内容编辑采用内嵌编辑器方式，支持插入图片和图片说明，支持文字样式、颜色、排版调整，支持一键排版、一键纠错等功能。管理员能够对重点监测指标，如监测栏目、监测和更新频率等进行指标值设置，设置包含站点的检测设置、指标参数设置、部门设置。</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（2）</w:t>
      </w:r>
      <w:r>
        <w:rPr>
          <w:rFonts w:hint="default" w:ascii="Times New Roman" w:hAnsi="Times New Roman" w:eastAsia="仿宋_GB2312" w:cs="Times New Roman"/>
          <w:color w:val="auto"/>
          <w:sz w:val="32"/>
          <w:szCs w:val="28"/>
          <w:highlight w:val="none"/>
          <w:lang w:val="en-US" w:eastAsia="zh-CN"/>
        </w:rPr>
        <w:t>.任务管理</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系统支持创建任务。网站主管单位可创建考评任务，创建任务时可编辑任务名称、任务负责人、年份、自评周期、考评周期等基本信息。创建任务时可选择考评指标进行绑定，绑定指标支持再选预览。</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（3）</w:t>
      </w:r>
      <w:r>
        <w:rPr>
          <w:rFonts w:hint="default" w:ascii="Times New Roman" w:hAnsi="Times New Roman" w:eastAsia="仿宋_GB2312" w:cs="Times New Roman"/>
          <w:color w:val="auto"/>
          <w:sz w:val="32"/>
          <w:szCs w:val="28"/>
          <w:highlight w:val="none"/>
          <w:lang w:val="en-US" w:eastAsia="zh-CN"/>
        </w:rPr>
        <w:t>.网站考评</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综合实时监测，重在汇总该站点普查考核评估所发现的问题，并对严重问题进行预警提醒，方便管理员快速掌握站点所存在的全部问题，有针对性、有优先级地进行问题处理，详细功能包括待解决问题列表、严重问题预警提醒以及已解决问题列表。</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(4)</w:t>
      </w:r>
      <w:r>
        <w:rPr>
          <w:rFonts w:hint="default" w:ascii="Times New Roman" w:hAnsi="Times New Roman" w:eastAsia="仿宋_GB2312" w:cs="Times New Roman"/>
          <w:color w:val="auto"/>
          <w:sz w:val="32"/>
          <w:szCs w:val="28"/>
          <w:highlight w:val="none"/>
          <w:lang w:val="en-US" w:eastAsia="zh-CN"/>
        </w:rPr>
        <w:t>.考核结果公布</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b/>
          <w:bCs/>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在编辑完成网站绩效考核评估报告后可选择发布，网站绩效考核评估报告发布后将在政府网站集约化平台首页展示。同时提供考评数据查看功能，网站主管单位在自评周期结束后，可查看各网站各指标自评得分汇总、可查看各指标项自评得分排名、可查看各网站自评总分排名。</w:t>
      </w:r>
      <w:r>
        <w:rPr>
          <w:rFonts w:hint="default"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 xml:space="preserve"> </w:t>
      </w:r>
      <w:r>
        <w:rPr>
          <w:rFonts w:hint="default" w:ascii="Times New Roman" w:hAnsi="Times New Roman" w:eastAsia="仿宋_GB2312" w:cs="Times New Roman"/>
          <w:b/>
          <w:bCs/>
          <w:color w:val="auto"/>
          <w:sz w:val="32"/>
          <w:szCs w:val="28"/>
          <w:highlight w:val="none"/>
          <w:lang w:val="en-US" w:eastAsia="zh-CN"/>
        </w:rPr>
        <w:t>5.智桂通对接</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该项为2024年集约化平台运维新增内容，根据《国务院办公厅关于推进政务新媒体健康有序发展的意见》（国办发〔2018〕123号）和《国务院关于加强数字政府建设的指导意见》（国发〔2022〕14号）、《国务院办公厅关于印发全国一体化政务服务平台移动端建设指南的通知》（国办函〔2021〕105号文）、《广西政府网站集约化平台管理办法（试行）》、《广西数字政府系统应用集成行动计划（2024—2025年）》等要求，整合广西壮族自治区现有的网站集约化平台、数据共享交换平台等系统的数据，向用户精准推送政务公开信息、政策信息等，巩固壮大主流思想舆论，不断提高主流媒体传播力、引导力、影响力、公信力；对广西政府网站集约化发布系统移动端后台进行升级改造，助力数字机关建设，对内提供大数据辅助决策、一体化协同办公等服务。</w:t>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 xml:space="preserve"> 6</w:t>
      </w:r>
      <w:r>
        <w:rPr>
          <w:rFonts w:hint="default" w:ascii="Times New Roman" w:hAnsi="Times New Roman" w:eastAsia="仿宋_GB2312" w:cs="Times New Roman"/>
          <w:b/>
          <w:bCs/>
          <w:color w:val="auto"/>
          <w:sz w:val="32"/>
          <w:szCs w:val="28"/>
          <w:highlight w:val="none"/>
          <w:lang w:val="en-US" w:eastAsia="zh-CN"/>
        </w:rPr>
        <w:t>.信创适配</w:t>
      </w:r>
      <w:r>
        <w:rPr>
          <w:rFonts w:hint="default" w:ascii="Times New Roman" w:hAnsi="Times New Roman" w:eastAsia="仿宋_GB2312" w:cs="Times New Roman"/>
          <w:b/>
          <w:bCs/>
          <w:color w:val="auto"/>
          <w:sz w:val="32"/>
          <w:szCs w:val="28"/>
          <w:highlight w:val="none"/>
          <w:lang w:val="en-US" w:eastAsia="zh-CN"/>
        </w:rPr>
        <w:br w:type="textWrapping"/>
      </w:r>
      <w:r>
        <w:rPr>
          <w:rFonts w:hint="eastAsia" w:ascii="Times New Roman" w:hAnsi="Times New Roman" w:cs="Times New Roman"/>
          <w:b/>
          <w:bCs/>
          <w:color w:val="auto"/>
          <w:sz w:val="32"/>
          <w:szCs w:val="28"/>
          <w:highlight w:val="none"/>
          <w:lang w:val="en-US" w:eastAsia="zh-CN"/>
        </w:rPr>
        <w:t xml:space="preserve">   </w:t>
      </w:r>
      <w:r>
        <w:rPr>
          <w:rFonts w:hint="default" w:ascii="Times New Roman" w:hAnsi="Times New Roman" w:eastAsia="仿宋_GB2312" w:cs="Times New Roman"/>
          <w:color w:val="auto"/>
          <w:sz w:val="32"/>
          <w:szCs w:val="28"/>
          <w:highlight w:val="none"/>
          <w:lang w:val="en-US" w:eastAsia="zh-CN"/>
        </w:rPr>
        <w:t>依据党和国家国产自主可控替代的指示和要求、《国务院关于印发新时期促进集成电路产业和软件产业高质量发展若干政策的通知》（国发〔2020〕8号）、《数字广西发展十四五规划（2021—2025年）》等文件指标要求，逐步开展广西壮族自治区政府网站集约化平台自主可控替代工程，提高国产自主CPU/OS系统支撑能力，达到“能用、好用、稳定、可靠”，可替代现有国外产品的目标。</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针对海云问政信箱、检索系统、工单系统、报表系统等4个系统进行国产化应用适配，内容包括编译适配、迁移适配、编译安装部署、数据迁移、接口改造、系统割接等方面。</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default" w:ascii="Times New Roman" w:hAnsi="Times New Roman" w:eastAsia="仿宋_GB2312" w:cs="Times New Roman"/>
          <w:color w:val="auto"/>
          <w:sz w:val="32"/>
          <w:szCs w:val="28"/>
          <w:highlight w:val="none"/>
          <w:lang w:val="en-US" w:eastAsia="zh-CN"/>
        </w:rPr>
        <w:t>.根据目前现状对国产化适配实际情况进行调研及分析，输出项目需求调查文档，对国产化适配从技术架构、系统负载、业务流程等方面进行评估。</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（2）</w:t>
      </w:r>
      <w:r>
        <w:rPr>
          <w:rFonts w:hint="default" w:ascii="Times New Roman" w:hAnsi="Times New Roman" w:eastAsia="仿宋_GB2312" w:cs="Times New Roman"/>
          <w:color w:val="auto"/>
          <w:sz w:val="32"/>
          <w:szCs w:val="28"/>
          <w:highlight w:val="none"/>
          <w:lang w:val="en-US" w:eastAsia="zh-CN"/>
        </w:rPr>
        <w:t>.对国产化数据库进行兼容适配，选择数据移植方法、数据备份和恢复策略、设计数据移植和测试方案等，使系统能正常访问数据库。</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（3）</w:t>
      </w:r>
      <w:r>
        <w:rPr>
          <w:rFonts w:hint="default" w:ascii="Times New Roman" w:hAnsi="Times New Roman" w:eastAsia="仿宋_GB2312" w:cs="Times New Roman"/>
          <w:color w:val="auto"/>
          <w:sz w:val="32"/>
          <w:szCs w:val="28"/>
          <w:highlight w:val="none"/>
          <w:lang w:val="en-US" w:eastAsia="zh-CN"/>
        </w:rPr>
        <w:t>.对操作系统进行兼容性适配，改造相关应用驱动确保硬件能与系统正常通信，同时根据不同架构、操作系统进行兼容适配和体系认证。</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（4）</w:t>
      </w:r>
      <w:r>
        <w:rPr>
          <w:rFonts w:hint="default" w:ascii="Times New Roman" w:hAnsi="Times New Roman" w:eastAsia="仿宋_GB2312" w:cs="Times New Roman"/>
          <w:color w:val="auto"/>
          <w:sz w:val="32"/>
          <w:szCs w:val="28"/>
          <w:highlight w:val="none"/>
          <w:lang w:val="en-US" w:eastAsia="zh-CN"/>
        </w:rPr>
        <w:t>.对国产化中间件进行兼容适配，包括平台及开发语言适配、应用接入适配等。同时，为满足信创安全要求，加强安全性保护机制，对特定区域的用户数据进行更加严格的保护。</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（5）</w:t>
      </w:r>
      <w:r>
        <w:rPr>
          <w:rFonts w:hint="default" w:ascii="Times New Roman" w:hAnsi="Times New Roman" w:eastAsia="仿宋_GB2312" w:cs="Times New Roman"/>
          <w:color w:val="auto"/>
          <w:sz w:val="32"/>
          <w:szCs w:val="28"/>
          <w:highlight w:val="none"/>
          <w:lang w:val="en-US" w:eastAsia="zh-CN"/>
        </w:rPr>
        <w:t>.对web前端兼容进行适配，包括针对国内主流浏览器和操作系统进行适配，同时解决字符编码兼容性、js文件延时加载等方面进行国产化适配优化。</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（6）</w:t>
      </w:r>
      <w:r>
        <w:rPr>
          <w:rFonts w:hint="default" w:ascii="Times New Roman" w:hAnsi="Times New Roman" w:eastAsia="仿宋_GB2312" w:cs="Times New Roman"/>
          <w:color w:val="auto"/>
          <w:sz w:val="32"/>
          <w:szCs w:val="28"/>
          <w:highlight w:val="none"/>
          <w:lang w:val="en-US" w:eastAsia="zh-CN"/>
        </w:rPr>
        <w:t>.改造完成后对已完成国产化相关应用进行测试，制定相对应的测试规范，通过单一应用测试、联调测试、安全测试等方式对信息系统从现有环境迁移至国产化适配环境的全流程各节点进行测试。</w:t>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 xml:space="preserve"> 7</w:t>
      </w:r>
      <w:r>
        <w:rPr>
          <w:rFonts w:hint="default" w:ascii="Times New Roman" w:hAnsi="Times New Roman" w:eastAsia="仿宋_GB2312" w:cs="Times New Roman"/>
          <w:b/>
          <w:bCs/>
          <w:color w:val="auto"/>
          <w:sz w:val="32"/>
          <w:szCs w:val="28"/>
          <w:highlight w:val="none"/>
          <w:lang w:val="en-US" w:eastAsia="zh-CN"/>
        </w:rPr>
        <w:t>.基于场景化模型的智能问答</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结合国务院发布《政府网站发展指引》要求，各级政府网站需提高自然语言处理等相关技术，满足自动解答用户咨询、提供个性化政务服务的需求。提升政府网站的智能化服务水平，提高个人服务、企业服务、政策文件、本地（行业）知识等重点领域热点问题答复准确度。充分利用NLP、知识图谱以及大模型等人工智能技术，建设面向公众基于场景化模型的智能问答，为公众提供更精准、有推荐、可参考的梯次解答服务，实现对用户咨询问题“秒回”“准回”“智回”，进一步展现出政府创新、高效、便民的形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运用自然语言处理、信息检索、知识表示与推理等技术，通过语法语义分析、问题分类、问题解析、信息源自动识别与评价、实体识别与关系抽取、信息搜索、逻辑形式生成、知识表示与推理、提取备选答案、对备选答案证据的搜寻、对证据强度的计算和综合等一系列处理流程，实现问题解答与人机交互。主要内容包括持续整理问答知识库、词典管理、语义规则管理、标签体系管理等基础运维。</w:t>
      </w:r>
    </w:p>
    <w:p>
      <w:pPr>
        <w:keepNext w:val="0"/>
        <w:keepLines w:val="0"/>
        <w:pageBreakBefore w:val="0"/>
        <w:widowControl w:val="0"/>
        <w:numPr>
          <w:ilvl w:val="0"/>
          <w:numId w:val="0"/>
        </w:numPr>
        <w:kinsoku/>
        <w:wordWrap/>
        <w:overflowPunct/>
        <w:topLinePunct w:val="0"/>
        <w:bidi w:val="0"/>
        <w:spacing w:line="579" w:lineRule="exact"/>
        <w:textAlignment w:val="auto"/>
        <w:rPr>
          <w:rFonts w:hint="default" w:ascii="Times New Roman" w:hAnsi="Times New Roman" w:cs="Times New Roman"/>
          <w:b/>
          <w:bCs/>
          <w:color w:val="auto"/>
          <w:sz w:val="32"/>
          <w:szCs w:val="28"/>
          <w:highlight w:val="none"/>
          <w:lang w:val="en-US" w:eastAsia="zh-CN"/>
        </w:rPr>
      </w:pPr>
      <w:r>
        <w:rPr>
          <w:rFonts w:hint="eastAsia" w:ascii="Times New Roman" w:hAnsi="Times New Roman" w:cs="Times New Roman"/>
          <w:b/>
          <w:bCs/>
          <w:color w:val="auto"/>
          <w:sz w:val="32"/>
          <w:szCs w:val="28"/>
          <w:highlight w:val="none"/>
          <w:lang w:val="en-US" w:eastAsia="zh-CN"/>
        </w:rPr>
        <w:t xml:space="preserve">   8</w:t>
      </w:r>
      <w:r>
        <w:rPr>
          <w:rFonts w:hint="default" w:ascii="Times New Roman" w:hAnsi="Times New Roman" w:cs="Times New Roman"/>
          <w:b/>
          <w:bCs/>
          <w:color w:val="auto"/>
          <w:sz w:val="32"/>
          <w:szCs w:val="28"/>
          <w:highlight w:val="none"/>
          <w:lang w:val="en-US" w:eastAsia="zh-CN"/>
        </w:rPr>
        <w:t>.集约化平台网办事项服务升级</w:t>
      </w:r>
    </w:p>
    <w:p>
      <w:pPr>
        <w:keepNext w:val="0"/>
        <w:keepLines w:val="0"/>
        <w:pageBreakBefore w:val="0"/>
        <w:widowControl w:val="0"/>
        <w:numPr>
          <w:ilvl w:val="0"/>
          <w:numId w:val="0"/>
        </w:numPr>
        <w:kinsoku/>
        <w:wordWrap/>
        <w:overflowPunct/>
        <w:topLinePunct w:val="0"/>
        <w:bidi w:val="0"/>
        <w:spacing w:line="579" w:lineRule="exact"/>
        <w:textAlignment w:val="auto"/>
        <w:rPr>
          <w:rFonts w:hint="default" w:ascii="Times New Roman" w:hAnsi="Times New Roman" w:eastAsia="仿宋_GB2312" w:cs="Times New Roman"/>
          <w:b/>
          <w:bCs/>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为提高政府网站资源汇聚能力，对接一体化平台相关办事事项数据。依托门户网站统一入口拓展网上政务服务资源融合，提高服务的便捷性和有效性。同时关联热点行业领域政策及事项信息，加大政务数据同网页数据有机结合，为政府网站专题专栏建设、对外数据应用服务、内容融合、智能推荐、智能搜索、智能问答等提供数据支撑。</w:t>
      </w:r>
      <w:r>
        <w:rPr>
          <w:rFonts w:hint="default"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 xml:space="preserve"> 9</w:t>
      </w:r>
      <w:r>
        <w:rPr>
          <w:rFonts w:hint="default" w:ascii="Times New Roman" w:hAnsi="Times New Roman" w:eastAsia="仿宋_GB2312" w:cs="Times New Roman"/>
          <w:b/>
          <w:bCs/>
          <w:color w:val="auto"/>
          <w:sz w:val="32"/>
          <w:szCs w:val="28"/>
          <w:highlight w:val="none"/>
          <w:lang w:val="en-US" w:eastAsia="zh-CN"/>
        </w:rPr>
        <w:t>.“东盟投资开放天地”</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广西是中国-东盟区域一体化的重要门户之一，也是中国与东南亚地区最重要的贸易区域之一。为拓宽宣传途径、加强东盟合作，对外讲好广西故事，依托广西集约化构建“东盟投资开放天地”平台，促进东盟地区经济发展合作及社会共同进步。</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default" w:ascii="Times New Roman" w:hAnsi="Times New Roman" w:eastAsia="仿宋_GB2312" w:cs="Times New Roman"/>
          <w:color w:val="auto"/>
          <w:sz w:val="32"/>
          <w:szCs w:val="28"/>
          <w:highlight w:val="none"/>
          <w:lang w:val="en-US" w:eastAsia="zh-CN"/>
        </w:rPr>
        <w:t>.提取广西各个区域对外贸易政策及新闻信息，按行业进行分类，行业分类体系以《广西“十四五”规划刚要》中提及重点产业为主如旅游、制糖、有色金属、机械、汽车、冶金、建材、石化化工等，如同时可结合实际情况，进行局部分类重新整理。同时建设对应专栏通过对应招商引资政策展示政策优惠内容及奖励。</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(2)</w:t>
      </w:r>
      <w:r>
        <w:rPr>
          <w:rFonts w:hint="default" w:ascii="Times New Roman" w:hAnsi="Times New Roman" w:eastAsia="仿宋_GB2312" w:cs="Times New Roman"/>
          <w:color w:val="auto"/>
          <w:sz w:val="32"/>
          <w:szCs w:val="28"/>
          <w:highlight w:val="none"/>
          <w:lang w:val="en-US" w:eastAsia="zh-CN"/>
        </w:rPr>
        <w:t>.采集越南、泰国两个东盟国家旅游、制造业、农业等优质产业政策数据，包括部门网站政策、新闻、统计、开放数据集等数据；对越南、泰国政策文本进行分类和主题分析，为中国企业“出海”提供决策辅助支撑。</w:t>
      </w:r>
      <w:r>
        <w:rPr>
          <w:rFonts w:hint="default"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b/>
          <w:bCs/>
          <w:color w:val="auto"/>
          <w:sz w:val="32"/>
          <w:szCs w:val="28"/>
          <w:highlight w:val="none"/>
          <w:lang w:val="en-US" w:eastAsia="zh-CN"/>
        </w:rPr>
        <w:t xml:space="preserve">    </w:t>
      </w:r>
      <w:r>
        <w:rPr>
          <w:rFonts w:hint="default" w:ascii="Times New Roman" w:hAnsi="Times New Roman" w:eastAsia="仿宋_GB2312" w:cs="Times New Roman"/>
          <w:b/>
          <w:bCs/>
          <w:color w:val="auto"/>
          <w:sz w:val="32"/>
          <w:szCs w:val="28"/>
          <w:highlight w:val="none"/>
          <w:lang w:val="en-US" w:eastAsia="zh-CN"/>
        </w:rPr>
        <w:t>1</w:t>
      </w:r>
      <w:r>
        <w:rPr>
          <w:rFonts w:hint="eastAsia" w:ascii="Times New Roman" w:hAnsi="Times New Roman" w:cs="Times New Roman"/>
          <w:b/>
          <w:bCs/>
          <w:color w:val="auto"/>
          <w:sz w:val="32"/>
          <w:szCs w:val="28"/>
          <w:highlight w:val="none"/>
          <w:lang w:val="en-US" w:eastAsia="zh-CN"/>
        </w:rPr>
        <w:t>0</w:t>
      </w:r>
      <w:r>
        <w:rPr>
          <w:rFonts w:hint="default" w:ascii="Times New Roman" w:hAnsi="Times New Roman" w:eastAsia="仿宋_GB2312" w:cs="Times New Roman"/>
          <w:b/>
          <w:bCs/>
          <w:color w:val="auto"/>
          <w:sz w:val="32"/>
          <w:szCs w:val="28"/>
          <w:highlight w:val="none"/>
          <w:lang w:val="en-US" w:eastAsia="zh-CN"/>
        </w:rPr>
        <w:t>.网站及新媒体实时监控和分析</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提升政府网站对内辅助决策支撑能力，政府门户网站需利用汇聚的各类型数据资源，通过动态监测、统计分析、趋势研判等手段为政府网站内部用户提供辅助决策。</w:t>
      </w:r>
    </w:p>
    <w:p>
      <w:pPr>
        <w:keepNext w:val="0"/>
        <w:keepLines w:val="0"/>
        <w:pageBreakBefore w:val="0"/>
        <w:widowControl w:val="0"/>
        <w:numPr>
          <w:ilvl w:val="0"/>
          <w:numId w:val="0"/>
        </w:numPr>
        <w:kinsoku/>
        <w:wordWrap/>
        <w:overflowPunct/>
        <w:topLinePunct w:val="0"/>
        <w:bidi w:val="0"/>
        <w:spacing w:line="579" w:lineRule="exact"/>
        <w:textAlignment w:val="auto"/>
        <w:rPr>
          <w:rFonts w:hint="eastAsia" w:ascii="方正楷体_GBK" w:hAnsi="方正楷体_GBK" w:eastAsia="方正楷体_GBK" w:cs="方正楷体_GBK"/>
          <w:highlight w:val="none"/>
          <w:lang w:eastAsia="zh-CN"/>
        </w:rPr>
      </w:pPr>
      <w:r>
        <w:rPr>
          <w:rFonts w:hint="default" w:ascii="Times New Roman" w:hAnsi="Times New Roman" w:eastAsia="仿宋_GB2312" w:cs="Times New Roman"/>
          <w:color w:val="auto"/>
          <w:sz w:val="32"/>
          <w:szCs w:val="28"/>
          <w:highlight w:val="none"/>
          <w:lang w:val="en-US" w:eastAsia="zh-CN"/>
        </w:rPr>
        <w:t>政府网站考核指标对高效能管理提出新的要求，需基于政府网站集约化平台，对网站及新媒体的访问数据、用户行为数据、运维数据等进行实时监控和分析，实现网站群自动化、智能化的管理，提高管理效率和质量。构建网站及新媒体实时监控和分析系统，为集约化平台提供专业的用户行为分析监测服务，内容包括政府网站政务新媒体用户粘度分析、地理位置分析、来源分析、去向分析、内容分析等。</w:t>
      </w:r>
      <w:r>
        <w:rPr>
          <w:rFonts w:hint="default"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（三）</w:t>
      </w:r>
      <w:r>
        <w:rPr>
          <w:rFonts w:hint="eastAsia" w:ascii="方正楷体_GBK" w:hAnsi="方正楷体_GBK" w:eastAsia="方正楷体_GBK" w:cs="方正楷体_GBK"/>
          <w:highlight w:val="none"/>
        </w:rPr>
        <w:t>集约化平台检测及内容安全监测服务</w:t>
      </w:r>
      <w:r>
        <w:rPr>
          <w:rFonts w:hint="eastAsia" w:ascii="方正楷体_GBK" w:hAnsi="方正楷体_GBK" w:eastAsia="方正楷体_GBK" w:cs="方正楷体_GBK"/>
          <w:highlight w:val="none"/>
          <w:lang w:eastAsia="zh-CN"/>
        </w:rPr>
        <w:t>。</w:t>
      </w:r>
      <w:r>
        <w:rPr>
          <w:rFonts w:hint="eastAsia" w:ascii="方正楷体_GBK" w:hAnsi="方正楷体_GBK" w:eastAsia="方正楷体_GBK" w:cs="方正楷体_GBK"/>
          <w:highlight w:val="none"/>
          <w:lang w:eastAsia="zh-CN"/>
        </w:rPr>
        <w:br w:type="textWrapping"/>
      </w:r>
      <w:r>
        <w:rPr>
          <w:rFonts w:hint="eastAsia" w:ascii="方正楷体_GBK" w:hAnsi="方正楷体_GBK" w:eastAsia="方正楷体_GBK" w:cs="方正楷体_GBK"/>
          <w:highlight w:val="none"/>
          <w:lang w:val="en-US" w:eastAsia="zh-CN"/>
        </w:rPr>
        <w:t xml:space="preserve">    </w:t>
      </w:r>
      <w:r>
        <w:rPr>
          <w:rFonts w:hint="eastAsia" w:ascii="Times New Roman" w:hAnsi="Times New Roman" w:cs="Times New Roman"/>
          <w:b/>
          <w:bCs/>
          <w:color w:val="auto"/>
          <w:sz w:val="32"/>
          <w:szCs w:val="28"/>
          <w:highlight w:val="none"/>
          <w:lang w:val="en-US" w:eastAsia="zh-CN"/>
        </w:rPr>
        <w:t>1.集约化平台渗透测试</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针对集约化平台工作门户和12个子系统，开展黑盒人工渗透测试和漏洞扫描。全年开展一次人工渗透测试，主要包括情报收集、威胁建模、漏洞分析、渗透攻击、后渗透攻击等；漏洞扫描基于安全漏洞数据库提供的漏洞数据为依据，通过扫描等手段对应用系统和网站生产环境进行安全脆弱性检测，输出《政府网站集约化平台渗透检测报告》。</w:t>
      </w:r>
      <w:r>
        <w:rPr>
          <w:rFonts w:hint="eastAsia" w:ascii="方正楷体_GBK" w:hAnsi="方正楷体_GBK" w:eastAsia="方正楷体_GBK" w:cs="方正楷体_GBK"/>
          <w:highlight w:val="none"/>
          <w:lang w:eastAsia="zh-CN"/>
        </w:rPr>
        <w:br w:type="textWrapping"/>
      </w:r>
      <w:r>
        <w:rPr>
          <w:rFonts w:hint="eastAsia" w:ascii="方正楷体_GBK" w:hAnsi="方正楷体_GBK" w:eastAsia="方正楷体_GBK" w:cs="方正楷体_GBK"/>
          <w:highlight w:val="none"/>
          <w:lang w:val="en-US" w:eastAsia="zh-CN"/>
        </w:rPr>
        <w:t xml:space="preserve">   </w:t>
      </w:r>
      <w:r>
        <w:rPr>
          <w:rFonts w:hint="eastAsia" w:ascii="Times New Roman" w:hAnsi="Times New Roman" w:cs="Times New Roman"/>
          <w:b/>
          <w:bCs/>
          <w:color w:val="auto"/>
          <w:sz w:val="32"/>
          <w:szCs w:val="28"/>
          <w:highlight w:val="none"/>
          <w:lang w:val="en-US" w:eastAsia="zh-CN"/>
        </w:rPr>
        <w:t>2.集约化平台三级等保测评</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根据《网络安全法》、《信息系统安全等级保护基本要求》（GB/T 22239-2019）等相关标准要求，集约化平台需按照三级等保标准进行定级备案，三级等保测评包含集约化平台工作门户和12个子系统。</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结合业务实际情况，梳理集约化平台涉及的信息系统，对集约化平台工作门户和12个子系统分别进行定级备案；对集约化工作门户和12个子系统进行安全方案优化咨询、等级保护安全管理要求咨询；对集约化平台工作门户和12个子系统不符合安全政策及技术标准要求项进行整改，提高信息安全防护水平，出具符合国家信息安全等级保护管理部门规范要求、公安机关认可的信息系统安全等级测评报告《政府网站集约化平台信息系统安全等级测评报告》。</w:t>
      </w:r>
      <w:r>
        <w:rPr>
          <w:rFonts w:hint="eastAsia" w:ascii="方正楷体_GBK" w:hAnsi="方正楷体_GBK" w:eastAsia="方正楷体_GBK" w:cs="方正楷体_GBK"/>
          <w:highlight w:val="none"/>
          <w:lang w:eastAsia="zh-CN"/>
        </w:rPr>
        <w:br w:type="textWrapping"/>
      </w:r>
      <w:r>
        <w:rPr>
          <w:rFonts w:hint="eastAsia" w:ascii="方正楷体_GBK" w:hAnsi="方正楷体_GBK" w:eastAsia="方正楷体_GBK" w:cs="方正楷体_GBK"/>
          <w:highlight w:val="none"/>
          <w:lang w:val="en-US" w:eastAsia="zh-CN"/>
        </w:rPr>
        <w:t xml:space="preserve">    </w:t>
      </w:r>
      <w:r>
        <w:rPr>
          <w:rFonts w:hint="eastAsia" w:ascii="Times New Roman" w:hAnsi="Times New Roman" w:cs="Times New Roman"/>
          <w:b/>
          <w:bCs/>
          <w:color w:val="auto"/>
          <w:sz w:val="32"/>
          <w:szCs w:val="28"/>
          <w:highlight w:val="none"/>
          <w:lang w:val="en-US" w:eastAsia="zh-CN"/>
        </w:rPr>
        <w:t>3.网站安全监测服务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采购至少2家网络安全监测产品，对集约化平台上570家网站内容进行态势安全扫描和监测服务，全站扫描网站黑链、错链、暗链等，对政府网站进行7x24小时监控、查看与管理，实现Web资源统一管理、Web生态安全管理；提供多维度统计分析的报表数据，为行政管理考核提供依据。功能要求主要包括Web漏洞检测、网站黑链检测、违规内容检测、内容变更检测、网页挂马检测、可用性监测、异常流量监测和安全报告等8大功能模块。每月上旬、中旬、下旬分别生成相应网站安全监测分报告以及全部网站的总报告。</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4.网页防篡改服务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对集约化平台系统所有程序代码、文件资源、服务器、数据库等重要资源进行安全防护，防止重要信息资源被黑客篡改，达到访问需求。</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5.安全保障应急演练</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为确保系统高可用性，每季度开展一次应急演练。应急演练的内容主要包括应用服务器故障（包括服务器故障和应用异常）、数据库故障（数据丢失，需要进行数据恢复）、Web服务器故障（网页显示异常）、网络故障（互联网出口、网络设备、安全设备故障）、安全培训等类型的应急恢复。每次应急演练需制定应急预案和演练方案，评审方案，演练实施和总结。</w:t>
      </w:r>
      <w:r>
        <w:rPr>
          <w:rFonts w:hint="eastAsia" w:ascii="方正楷体_GBK" w:hAnsi="方正楷体_GBK" w:eastAsia="方正楷体_GBK" w:cs="方正楷体_GBK"/>
          <w:highlight w:val="none"/>
          <w:lang w:eastAsia="zh-CN"/>
        </w:rPr>
        <w:br w:type="textWrapping"/>
      </w:r>
      <w:r>
        <w:rPr>
          <w:rFonts w:hint="eastAsia" w:ascii="方正楷体_GBK" w:hAnsi="方正楷体_GBK" w:eastAsia="方正楷体_GBK" w:cs="方正楷体_GBK"/>
          <w:highlight w:val="none"/>
          <w:lang w:val="en-US" w:eastAsia="zh-CN"/>
        </w:rPr>
        <w:t xml:space="preserve">   </w:t>
      </w:r>
      <w:r>
        <w:rPr>
          <w:rFonts w:hint="eastAsia" w:ascii="Times New Roman" w:hAnsi="Times New Roman" w:cs="Times New Roman"/>
          <w:b/>
          <w:bCs/>
          <w:color w:val="auto"/>
          <w:sz w:val="32"/>
          <w:szCs w:val="28"/>
          <w:highlight w:val="none"/>
          <w:lang w:val="en-US" w:eastAsia="zh-CN"/>
        </w:rPr>
        <w:t>6.网络安全攻防演练防守服务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根据国家网络信息安全主管部门要求，每年要开展攻防演练至少1次。网络攻防演练内容主要包括演习方案设计、沟通、演习组织协调、平台操作培训、平台运维保障，对攻防演习进行总结复盘，对暴露出的问题进行总结分析，并形成有针对性的整改建议。</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7.舆情和个人隐私信息监测服务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根据网信办相关政策（文件敏感不提供文号），采购舆情监测产品，建设舆情监测系统，对集约化平台570多家网站进行实时监测；对互联网上传播的关于广西辖区政府网站相关信息的获取能力和分析能力；实时监控互联网上涉及广西辖区政府网站的信息（关键人物舆情、重要机构舆情、用户隐私数据、热点事件舆情），重要敏感信息自动预警提醒；通过平台PC端或者手机移动终端，可及时、精准地了解所关注的信息，并梳理事情发展脉络，跟踪溯源。为集约化平台上的网站和政务新媒体提供舆情监测、预警、分析、报告为一体的一站式舆情服务，保障平台上网站和政务新媒体信息传播有迹可循，帮助网站管理人员快速发现舆情、及时处理、避免事态升级，维护网络政治生态安全，助力政府打造安全健康的网络宣传阵地。</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8.错别字在线校验服务</w:t>
      </w:r>
    </w:p>
    <w:p>
      <w:pPr>
        <w:keepNext w:val="0"/>
        <w:keepLines w:val="0"/>
        <w:pageBreakBefore w:val="0"/>
        <w:widowControl w:val="0"/>
        <w:numPr>
          <w:ilvl w:val="0"/>
          <w:numId w:val="0"/>
        </w:numPr>
        <w:kinsoku/>
        <w:wordWrap/>
        <w:overflowPunct/>
        <w:topLinePunct w:val="0"/>
        <w:bidi w:val="0"/>
        <w:spacing w:line="579" w:lineRule="exact"/>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根据国办要求，采购至少两家错别字校验产品API接口，集成到集约化平台中，为集约化平台上570家网站后台管理员及采编人员提供采编发布前的错别字校验服务，审查文稿的错误,主要包括字词拼写、语法错误、政治错误等，降低差错率,提高发布内容的准确度。提供至少20亿字/年，接口调用速度在200字/秒以内。</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9.CDN加速服务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eastAsia="仿宋_GB2312" w:cs="Times New Roman"/>
          <w:color w:val="auto"/>
          <w:sz w:val="32"/>
          <w:szCs w:val="28"/>
          <w:highlight w:val="none"/>
          <w:lang w:val="en-US" w:eastAsia="zh-CN"/>
        </w:rPr>
        <w:t>采购集约化平台网站CDN加速服务，为平台上570家网站CDN加速和节点缓存，日常带宽500M，峰值800M，服务期限1年。CDN网页加速产品通过部署在互联网上的网页CDN加速平台，加快网站和用户之间的传输速度，可以将政府网站的静态内容如文字、图片和网页等分发至CDN服务提供商全网服务节点，通过智能调度和边缘缓存，使每个用户都能快速可靠安全地访问到最佳资源，提升访问速率，降低源站压力。</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10.商用密码测评</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商用密码应用安全性评估（简称“密评”），是指在采⽤商用密码技术、产品和服务集成建设的网络和信息系统中，对其密码应用的合规性、正确性和有效性进行评估。</w:t>
      </w:r>
    </w:p>
    <w:p>
      <w:pPr>
        <w:keepNext w:val="0"/>
        <w:keepLines w:val="0"/>
        <w:pageBreakBefore w:val="0"/>
        <w:widowControl w:val="0"/>
        <w:numPr>
          <w:ilvl w:val="0"/>
          <w:numId w:val="0"/>
        </w:numPr>
        <w:kinsoku/>
        <w:wordWrap/>
        <w:overflowPunct/>
        <w:topLinePunct w:val="0"/>
        <w:bidi w:val="0"/>
        <w:spacing w:line="579" w:lineRule="exact"/>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开展密评，是为了解决商用密码应用中存在的突出问题，为网络和信息系统的安全提供科学评价方法，逐步规范商用密码的使用和管理。从根本上改变商用密码应用不广泛、不规范、不安全的现状，确保商用密码在网络和信息系统中有效使用，切实构建起坚实可靠的网络安全密码屏障。</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Times New Roman" w:hAnsi="Times New Roman" w:cs="Times New Roman"/>
          <w:b/>
          <w:bCs/>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对于新建/改造信息系统，密码应用建设方案/改造方案，⼀般由责任单位组织商用密码从业单位编写,包括：《密码应用解决方案》、《实施方案》和《应急处置方案》。责任单位编写密码应用建设方案/改造方案后，应委托测评机构对方案进行评估。系统评估：依据GB/T 39786-2021《信息系统密码应用基本要求》、GM/T 0015-2021《信息系统密码应用测评要求》等标准，系统评估从物理和环境、网络和通信、设备和计算、应用和数据、密钥管理、安全管理等开展方面。测评机构完成系统评估后，出具评估报告。在密评活动结束30个工作日内，将评估结果报密码管理部门等相关部门备案。</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11.API安全监测及整改服务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基于数据运营，针对集约化平台数据API交互场景，对集约化平台工作门户和12个子系统开展API安全评估服务，对数据接口（API）安全的技术测评，通过梳理API资产及重要接口渗透测试，持续保护客户API安全，解决API资产不清，API攻击检测与防护、API数据泄露无感知，API安全管控无解决方案的问题。服务内容包括：</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eastAsia" w:ascii="Times New Roman" w:hAnsi="Times New Roman" w:eastAsia="仿宋_GB2312" w:cs="Times New Roman"/>
          <w:color w:val="auto"/>
          <w:sz w:val="32"/>
          <w:szCs w:val="28"/>
          <w:highlight w:val="none"/>
          <w:lang w:val="en-US" w:eastAsia="zh-CN"/>
        </w:rPr>
        <w:t>.API资产识别及梳理：对API接口进行识别和梳理，同时发现API风险，全面盘点线上业务系统接口情况。</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方正楷体_GBK" w:hAnsi="方正楷体_GBK" w:eastAsia="方正楷体_GBK" w:cs="方正楷体_GBK"/>
          <w:highlight w:val="none"/>
          <w:lang w:eastAsia="zh-CN"/>
        </w:rPr>
      </w:pPr>
      <w:r>
        <w:rPr>
          <w:rFonts w:hint="eastAsia" w:ascii="Times New Roman" w:hAnsi="Times New Roman" w:cs="Times New Roman"/>
          <w:color w:val="auto"/>
          <w:sz w:val="32"/>
          <w:szCs w:val="28"/>
          <w:highlight w:val="none"/>
          <w:lang w:val="en-US" w:eastAsia="zh-CN"/>
        </w:rPr>
        <w:t>（2）</w:t>
      </w:r>
      <w:r>
        <w:rPr>
          <w:rFonts w:hint="eastAsia" w:ascii="Times New Roman" w:hAnsi="Times New Roman" w:eastAsia="仿宋_GB2312" w:cs="Times New Roman"/>
          <w:color w:val="auto"/>
          <w:sz w:val="32"/>
          <w:szCs w:val="28"/>
          <w:highlight w:val="none"/>
          <w:lang w:val="en-US" w:eastAsia="zh-CN"/>
        </w:rPr>
        <w:t>.API接口安全测试：对于发布的API接口进行黑盒的安全测试及合规检查，发现其存在的漏洞和可能导致的数据风险。</w:t>
      </w:r>
      <w:r>
        <w:rPr>
          <w:rFonts w:hint="eastAsia" w:ascii="Times New Roman" w:hAnsi="Times New Roman" w:eastAsia="仿宋_GB2312" w:cs="Times New Roman"/>
          <w:color w:val="auto"/>
          <w:sz w:val="32"/>
          <w:szCs w:val="28"/>
          <w:highlight w:val="none"/>
          <w:lang w:val="en-US" w:eastAsia="zh-CN"/>
        </w:rPr>
        <w:br w:type="textWrapping"/>
      </w:r>
      <w:r>
        <w:rPr>
          <w:rFonts w:hint="eastAsia" w:ascii="Times New Roman" w:hAnsi="Times New Roman" w:cs="Times New Roman"/>
          <w:color w:val="auto"/>
          <w:sz w:val="32"/>
          <w:szCs w:val="28"/>
          <w:highlight w:val="none"/>
          <w:lang w:val="en-US" w:eastAsia="zh-CN"/>
        </w:rPr>
        <w:t xml:space="preserve">   </w:t>
      </w:r>
      <w:r>
        <w:rPr>
          <w:rFonts w:hint="eastAsia" w:ascii="Times New Roman" w:hAnsi="Times New Roman" w:cs="Times New Roman"/>
          <w:b/>
          <w:bCs/>
          <w:color w:val="auto"/>
          <w:sz w:val="32"/>
          <w:szCs w:val="28"/>
          <w:highlight w:val="none"/>
          <w:lang w:val="en-US" w:eastAsia="zh-CN"/>
        </w:rPr>
        <w:t>12.全区内容错敏词监测服务</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（1）</w:t>
      </w:r>
      <w:r>
        <w:rPr>
          <w:rFonts w:hint="eastAsia" w:ascii="Times New Roman" w:hAnsi="Times New Roman" w:eastAsia="仿宋_GB2312" w:cs="Times New Roman"/>
          <w:color w:val="auto"/>
          <w:sz w:val="32"/>
          <w:szCs w:val="28"/>
          <w:highlight w:val="none"/>
          <w:lang w:val="en-US" w:eastAsia="zh-CN"/>
        </w:rPr>
        <w:t>.错敏词接口调用检测服务。为广西政府网站集约化平台后台提供接口云调用，实现信息发布前强制性专业智能检测和修改提示，对新发布内容1小时内监测反馈，系统24小时+人工日常巡检。供应商负责错别字云调用接口的日常维护及词库更新，确保词库与发布后检测同源。</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(2)</w:t>
      </w:r>
      <w:r>
        <w:rPr>
          <w:rFonts w:hint="eastAsia" w:ascii="Times New Roman" w:hAnsi="Times New Roman" w:eastAsia="仿宋_GB2312" w:cs="Times New Roman"/>
          <w:color w:val="auto"/>
          <w:sz w:val="32"/>
          <w:szCs w:val="28"/>
          <w:highlight w:val="none"/>
          <w:lang w:val="en-US" w:eastAsia="zh-CN"/>
        </w:rPr>
        <w:t>.全区政府网站与政务新媒体内容规范性监测服务。负责对广西570多家正常运行的政府网站及2300多个（检查时以正在运行的数据为准）正在运行的政务新媒体信息内容进行全量监测、全覆盖式严重表述错误审查，实行“日巡检、周监测、月检查、季通报、年报告”递进式工作制度。一旦监测发现严重表述错误，经人工复核整理后，一个小时内反馈给用户整改。定期整理，形成内容规范性监测周报告提供给用户并对整改情况进行追踪反馈；按季度、年度形成监测报告，对错误类型、高频词汇进行数据及图表分析，并提供高频错误词汇词库给用户自查整改。</w:t>
      </w:r>
    </w:p>
    <w:p>
      <w:pPr>
        <w:keepNext w:val="0"/>
        <w:keepLines w:val="0"/>
        <w:pageBreakBefore w:val="0"/>
        <w:widowControl w:val="0"/>
        <w:numPr>
          <w:ilvl w:val="0"/>
          <w:numId w:val="0"/>
        </w:numPr>
        <w:kinsoku/>
        <w:wordWrap/>
        <w:overflowPunct/>
        <w:topLinePunct w:val="0"/>
        <w:bidi w:val="0"/>
        <w:spacing w:line="579" w:lineRule="exact"/>
        <w:ind w:left="320" w:leftChars="100" w:firstLine="640" w:firstLineChars="2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cs="Times New Roman"/>
          <w:color w:val="auto"/>
          <w:sz w:val="32"/>
          <w:szCs w:val="28"/>
          <w:highlight w:val="none"/>
          <w:lang w:val="en-US" w:eastAsia="zh-CN"/>
        </w:rPr>
        <w:t>(3)</w:t>
      </w:r>
      <w:r>
        <w:rPr>
          <w:rFonts w:hint="eastAsia" w:ascii="Times New Roman" w:hAnsi="Times New Roman" w:eastAsia="仿宋_GB2312" w:cs="Times New Roman"/>
          <w:color w:val="auto"/>
          <w:sz w:val="32"/>
          <w:szCs w:val="28"/>
          <w:highlight w:val="none"/>
          <w:lang w:val="en-US" w:eastAsia="zh-CN"/>
        </w:rPr>
        <w:t>.提供驻场服务人员1人。</w:t>
      </w:r>
      <w:r>
        <w:rPr>
          <w:rFonts w:hint="eastAsia" w:ascii="Times New Roman" w:hAnsi="Times New Roman" w:eastAsia="仿宋_GB2312" w:cs="Times New Roman"/>
          <w:color w:val="auto"/>
          <w:sz w:val="32"/>
          <w:szCs w:val="28"/>
          <w:highlight w:val="none"/>
          <w:lang w:val="en-US" w:eastAsia="zh-CN"/>
        </w:rPr>
        <w:br w:type="textWrapping"/>
      </w:r>
      <w:r>
        <w:rPr>
          <w:rFonts w:hint="eastAsia" w:ascii="方正楷体_GBK" w:hAnsi="方正楷体_GBK" w:eastAsia="方正楷体_GBK" w:cs="方正楷体_GBK"/>
          <w:highlight w:val="none"/>
          <w:lang w:eastAsia="zh-CN"/>
        </w:rPr>
        <w:t>（</w:t>
      </w:r>
      <w:r>
        <w:rPr>
          <w:rFonts w:hint="eastAsia" w:ascii="方正楷体_GBK" w:hAnsi="方正楷体_GBK" w:eastAsia="方正楷体_GBK" w:cs="方正楷体_GBK"/>
          <w:highlight w:val="none"/>
          <w:lang w:val="en-US" w:eastAsia="zh-CN"/>
        </w:rPr>
        <w:t>四</w:t>
      </w:r>
      <w:r>
        <w:rPr>
          <w:rFonts w:hint="eastAsia" w:ascii="方正楷体_GBK" w:hAnsi="方正楷体_GBK" w:eastAsia="方正楷体_GBK" w:cs="方正楷体_GBK"/>
          <w:highlight w:val="none"/>
          <w:lang w:eastAsia="zh-CN"/>
        </w:rPr>
        <w:t>）2024年政务新媒体矩阵技术支撑。</w:t>
      </w:r>
      <w:r>
        <w:rPr>
          <w:rFonts w:hint="eastAsia" w:ascii="方正楷体_GBK" w:hAnsi="方正楷体_GBK" w:eastAsia="方正楷体_GBK" w:cs="方正楷体_GBK"/>
          <w:highlight w:val="none"/>
          <w:lang w:eastAsia="zh-CN"/>
        </w:rPr>
        <w:br w:type="textWrapping"/>
      </w:r>
      <w:r>
        <w:rPr>
          <w:rFonts w:hint="eastAsia" w:ascii="方正楷体_GBK" w:hAnsi="方正楷体_GBK" w:eastAsia="方正楷体_GBK" w:cs="方正楷体_GBK"/>
          <w:highlight w:val="none"/>
          <w:lang w:val="en-US" w:eastAsia="zh-CN"/>
        </w:rPr>
        <w:t xml:space="preserve">   </w:t>
      </w:r>
      <w:r>
        <w:rPr>
          <w:rFonts w:hint="eastAsia" w:ascii="Times New Roman" w:hAnsi="Times New Roman" w:eastAsia="仿宋_GB2312" w:cs="Times New Roman"/>
          <w:color w:val="auto"/>
          <w:sz w:val="32"/>
          <w:szCs w:val="28"/>
          <w:highlight w:val="none"/>
          <w:lang w:val="en-US" w:eastAsia="zh-CN"/>
        </w:rPr>
        <w:t>根据《国务院办公厅关于印发政府网站发展指引的通知》（国办发〔2017〕47号）、《国务院办公厅秘书局关于印发政府网站与政务新媒体检查指标、监管工作年度考核指标的通知》（国办秘函〔2019〕19号）等文件精神，落实引领政务新媒体创新发展的工作要求。</w:t>
      </w:r>
    </w:p>
    <w:p>
      <w:pPr>
        <w:keepNext w:val="0"/>
        <w:keepLines w:val="0"/>
        <w:pageBreakBefore w:val="0"/>
        <w:widowControl w:val="0"/>
        <w:numPr>
          <w:ilvl w:val="0"/>
          <w:numId w:val="0"/>
        </w:numPr>
        <w:kinsoku/>
        <w:wordWrap/>
        <w:overflowPunct/>
        <w:topLinePunct w:val="0"/>
        <w:bidi w:val="0"/>
        <w:spacing w:line="579" w:lineRule="exact"/>
        <w:ind w:firstLine="643" w:firstLineChars="200"/>
        <w:textAlignment w:val="auto"/>
        <w:rPr>
          <w:rFonts w:hint="eastAsia" w:ascii="Times New Roman" w:hAnsi="Times New Roman" w:cs="Times New Roman"/>
          <w:b/>
          <w:bCs/>
          <w:color w:val="auto"/>
          <w:sz w:val="32"/>
          <w:szCs w:val="28"/>
          <w:highlight w:val="none"/>
          <w:lang w:val="en-US" w:eastAsia="zh-CN"/>
        </w:rPr>
      </w:pPr>
      <w:r>
        <w:rPr>
          <w:rFonts w:hint="eastAsia" w:ascii="Times New Roman" w:hAnsi="Times New Roman" w:cs="Times New Roman"/>
          <w:b/>
          <w:bCs/>
          <w:color w:val="auto"/>
          <w:sz w:val="32"/>
          <w:szCs w:val="28"/>
          <w:highlight w:val="none"/>
          <w:lang w:val="en-US" w:eastAsia="zh-CN"/>
        </w:rPr>
        <w:t>1.政务新媒体矩阵模板优化和套接服务</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根据《国务院办公厅关于印发政府网站发展指引的通知》（国办发〔2017〕47号）、《国务院办公厅秘书局关于印发政府网站与政务新媒体检查指标、监管工作年度考核指标的通知》（国办秘函〔2019〕19号）等文件精神，落实引领政务新媒体创新发展的工作要求。针对集约化平台进行页面（含一、二级页面）可视化优化，主要包括矩阵框架定型、认证页面、头条页面风格自适应、账号与矩阵的联动、接口配置的改动，对政务新媒体矩阵认证页面、检索页面、头条页面、新媒体矩阵首页、新媒体矩阵添加页面、新媒体矩阵备案页面改版优化等。为各区直单位构建行业矩阵提供模板优化和套接服务等。</w:t>
      </w:r>
    </w:p>
    <w:p>
      <w:pPr>
        <w:keepNext w:val="0"/>
        <w:keepLines w:val="0"/>
        <w:pageBreakBefore w:val="0"/>
        <w:widowControl w:val="0"/>
        <w:numPr>
          <w:ilvl w:val="0"/>
          <w:numId w:val="0"/>
        </w:numPr>
        <w:kinsoku/>
        <w:wordWrap/>
        <w:overflowPunct/>
        <w:topLinePunct w:val="0"/>
        <w:bidi w:val="0"/>
        <w:spacing w:line="579" w:lineRule="exact"/>
        <w:ind w:firstLine="643" w:firstLineChars="200"/>
        <w:textAlignment w:val="auto"/>
        <w:rPr>
          <w:rFonts w:hint="eastAsia" w:ascii="Times New Roman" w:hAnsi="Times New Roman" w:cs="Times New Roman"/>
          <w:b/>
          <w:bCs/>
          <w:color w:val="auto"/>
          <w:sz w:val="32"/>
          <w:szCs w:val="28"/>
          <w:highlight w:val="none"/>
          <w:lang w:val="en-US" w:eastAsia="zh-CN"/>
        </w:rPr>
      </w:pPr>
      <w:r>
        <w:rPr>
          <w:rFonts w:hint="eastAsia" w:ascii="Times New Roman" w:hAnsi="Times New Roman" w:cs="Times New Roman"/>
          <w:b/>
          <w:bCs/>
          <w:color w:val="auto"/>
          <w:sz w:val="32"/>
          <w:szCs w:val="28"/>
          <w:highlight w:val="none"/>
          <w:lang w:val="en-US" w:eastAsia="zh-CN"/>
        </w:rPr>
        <w:t>2.政务新媒体页面巡检</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对集约化平台上1个自治区级、14个设区市的政务新媒体矩阵和2300多个政务新媒体进行可用性、完整性、规范性等巡检，巡检范围主要包括各矩阵和政务新媒体手机端的首页、图标、链接、名称、二维码、行业分类、创建单位、负责人、联系方式、搜索功能、认证信息等。同时将不合规内容反馈给各政务新媒体管理员整改，并跟进整改情况，定期通报。</w:t>
      </w:r>
    </w:p>
    <w:p>
      <w:pPr>
        <w:keepNext w:val="0"/>
        <w:keepLines w:val="0"/>
        <w:pageBreakBefore w:val="0"/>
        <w:widowControl w:val="0"/>
        <w:numPr>
          <w:ilvl w:val="0"/>
          <w:numId w:val="0"/>
        </w:numPr>
        <w:kinsoku/>
        <w:wordWrap/>
        <w:overflowPunct/>
        <w:topLinePunct w:val="0"/>
        <w:bidi w:val="0"/>
        <w:spacing w:line="579" w:lineRule="exact"/>
        <w:ind w:firstLine="643" w:firstLineChars="200"/>
        <w:textAlignment w:val="auto"/>
        <w:rPr>
          <w:rFonts w:hint="eastAsia" w:ascii="Times New Roman" w:hAnsi="Times New Roman" w:cs="Times New Roman"/>
          <w:b/>
          <w:bCs/>
          <w:color w:val="auto"/>
          <w:sz w:val="32"/>
          <w:szCs w:val="28"/>
          <w:highlight w:val="none"/>
          <w:lang w:val="en-US" w:eastAsia="zh-CN"/>
        </w:rPr>
      </w:pPr>
      <w:r>
        <w:rPr>
          <w:rFonts w:hint="eastAsia" w:ascii="Times New Roman" w:hAnsi="Times New Roman" w:cs="Times New Roman"/>
          <w:b/>
          <w:bCs/>
          <w:color w:val="auto"/>
          <w:sz w:val="32"/>
          <w:szCs w:val="28"/>
          <w:highlight w:val="none"/>
          <w:lang w:val="en-US" w:eastAsia="zh-CN"/>
        </w:rPr>
        <w:t>3.政务新媒体备案系统维护和名称规范性审查</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对集约化平台上1个自治区级、14个设区市的政务新媒体矩阵和2300多个政务新媒体提交的账号名称、账号ID、二维码、Logo、链接地址、单位负责人名称（包括职务、联系方式等）、单位介绍、入驻申请、变更申请等进行审核和管理；同时对备案系统进行数据维护。</w:t>
      </w:r>
    </w:p>
    <w:p>
      <w:pPr>
        <w:keepNext w:val="0"/>
        <w:keepLines w:val="0"/>
        <w:pageBreakBefore w:val="0"/>
        <w:widowControl w:val="0"/>
        <w:numPr>
          <w:ilvl w:val="0"/>
          <w:numId w:val="0"/>
        </w:numPr>
        <w:kinsoku/>
        <w:wordWrap/>
        <w:overflowPunct/>
        <w:topLinePunct w:val="0"/>
        <w:bidi w:val="0"/>
        <w:spacing w:line="579" w:lineRule="exact"/>
        <w:ind w:firstLine="643" w:firstLineChars="200"/>
        <w:textAlignment w:val="auto"/>
        <w:rPr>
          <w:rFonts w:hint="eastAsia" w:ascii="Times New Roman" w:hAnsi="Times New Roman" w:cs="Times New Roman"/>
          <w:b/>
          <w:bCs/>
          <w:color w:val="auto"/>
          <w:sz w:val="32"/>
          <w:szCs w:val="28"/>
          <w:highlight w:val="none"/>
          <w:lang w:val="en-US" w:eastAsia="zh-CN"/>
        </w:rPr>
      </w:pPr>
      <w:r>
        <w:rPr>
          <w:rFonts w:hint="eastAsia" w:ascii="Times New Roman" w:hAnsi="Times New Roman" w:cs="Times New Roman"/>
          <w:b/>
          <w:bCs/>
          <w:color w:val="auto"/>
          <w:sz w:val="32"/>
          <w:szCs w:val="28"/>
          <w:highlight w:val="none"/>
          <w:lang w:val="en-US" w:eastAsia="zh-CN"/>
        </w:rPr>
        <w:t>4.政务新媒体管理员账号权限配置</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为全区2300多个政务新媒体账号管理员提供账号权限调整、密码重置、角色变更、信息变更、组织权限变更、成员从属关系变更等运维支撑服务，定期开展弱口令检查、双因子认证检查等。</w:t>
      </w:r>
    </w:p>
    <w:p>
      <w:pPr>
        <w:keepNext w:val="0"/>
        <w:keepLines w:val="0"/>
        <w:pageBreakBefore w:val="0"/>
        <w:widowControl w:val="0"/>
        <w:numPr>
          <w:ilvl w:val="0"/>
          <w:numId w:val="0"/>
        </w:numPr>
        <w:kinsoku/>
        <w:wordWrap/>
        <w:overflowPunct/>
        <w:topLinePunct w:val="0"/>
        <w:bidi w:val="0"/>
        <w:spacing w:line="579" w:lineRule="exact"/>
        <w:ind w:firstLine="643" w:firstLineChars="200"/>
        <w:textAlignment w:val="auto"/>
        <w:rPr>
          <w:rFonts w:hint="eastAsia" w:ascii="Times New Roman" w:hAnsi="Times New Roman" w:cs="Times New Roman"/>
          <w:b/>
          <w:bCs/>
          <w:color w:val="auto"/>
          <w:sz w:val="32"/>
          <w:szCs w:val="28"/>
          <w:highlight w:val="none"/>
          <w:lang w:val="en-US" w:eastAsia="zh-CN"/>
        </w:rPr>
      </w:pPr>
      <w:r>
        <w:rPr>
          <w:rFonts w:hint="eastAsia" w:ascii="Times New Roman" w:hAnsi="Times New Roman" w:cs="Times New Roman"/>
          <w:b/>
          <w:bCs/>
          <w:color w:val="auto"/>
          <w:sz w:val="32"/>
          <w:szCs w:val="28"/>
          <w:highlight w:val="none"/>
          <w:lang w:val="en-US" w:eastAsia="zh-CN"/>
        </w:rPr>
        <w:t>5.排行榜单建设</w:t>
      </w:r>
    </w:p>
    <w:p>
      <w:pPr>
        <w:keepNext w:val="0"/>
        <w:keepLines w:val="0"/>
        <w:pageBreakBefore w:val="0"/>
        <w:widowControl w:val="0"/>
        <w:numPr>
          <w:ilvl w:val="0"/>
          <w:numId w:val="0"/>
        </w:numPr>
        <w:kinsoku/>
        <w:wordWrap/>
        <w:overflowPunct/>
        <w:topLinePunct w:val="0"/>
        <w:bidi w:val="0"/>
        <w:spacing w:line="579" w:lineRule="exact"/>
        <w:ind w:firstLine="960" w:firstLineChars="300"/>
        <w:textAlignment w:val="auto"/>
        <w:rPr>
          <w:rFonts w:hint="eastAsia" w:ascii="方正楷体_GBK" w:hAnsi="方正楷体_GBK" w:eastAsia="方正楷体_GBK" w:cs="方正楷体_GBK"/>
          <w:highlight w:val="none"/>
        </w:rPr>
      </w:pPr>
      <w:r>
        <w:rPr>
          <w:rFonts w:hint="eastAsia" w:ascii="Times New Roman" w:hAnsi="Times New Roman" w:eastAsia="仿宋_GB2312" w:cs="Times New Roman"/>
          <w:color w:val="auto"/>
          <w:sz w:val="32"/>
          <w:szCs w:val="28"/>
          <w:highlight w:val="none"/>
          <w:lang w:val="en-US" w:eastAsia="zh-CN"/>
        </w:rPr>
        <w:t>根据互联网采集数据分析全区共计2300多个政务新媒体进行各渠道影响力排行榜单建设，包括微博影响力榜单、微信影响力榜单、移动客户端影响力榜单、抖音平台影响力榜单、媒体跨渠道综合传播影响力榜单。</w:t>
      </w:r>
    </w:p>
    <w:p>
      <w:pPr>
        <w:keepNext w:val="0"/>
        <w:keepLines w:val="0"/>
        <w:pageBreakBefore w:val="0"/>
        <w:widowControl w:val="0"/>
        <w:kinsoku/>
        <w:wordWrap/>
        <w:overflowPunct/>
        <w:topLinePunct w:val="0"/>
        <w:bidi w:val="0"/>
        <w:spacing w:line="579" w:lineRule="exact"/>
        <w:ind w:firstLine="640" w:firstLineChars="200"/>
        <w:textAlignment w:val="auto"/>
        <w:rPr>
          <w:rFonts w:ascii="黑体" w:hAnsi="黑体" w:eastAsia="黑体"/>
        </w:rPr>
      </w:pPr>
      <w:r>
        <w:rPr>
          <w:rFonts w:hint="eastAsia" w:ascii="黑体" w:hAnsi="黑体" w:eastAsia="黑体"/>
          <w:lang w:val="en-US" w:eastAsia="zh-CN"/>
        </w:rPr>
        <w:t>七</w:t>
      </w:r>
      <w:r>
        <w:rPr>
          <w:rFonts w:hint="eastAsia" w:ascii="黑体" w:hAnsi="黑体" w:eastAsia="黑体"/>
        </w:rPr>
        <w:t>、</w:t>
      </w:r>
      <w:r>
        <w:rPr>
          <w:rFonts w:ascii="黑体" w:hAnsi="黑体" w:eastAsia="黑体"/>
        </w:rPr>
        <w:t>提交服务成果时间</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rPr>
      </w:pPr>
      <w:r>
        <w:rPr>
          <w:rFonts w:ascii="Times New Roman" w:hAnsi="Times New Roman"/>
        </w:rPr>
        <w:t>202</w:t>
      </w:r>
      <w:r>
        <w:rPr>
          <w:rFonts w:hint="eastAsia" w:ascii="Times New Roman" w:hAnsi="Times New Roman"/>
          <w:lang w:val="en-US" w:eastAsia="zh-CN"/>
        </w:rPr>
        <w:t>5</w:t>
      </w:r>
      <w:r>
        <w:rPr>
          <w:rFonts w:ascii="Times New Roman" w:hAnsi="Times New Roman"/>
        </w:rPr>
        <w:t>年1</w:t>
      </w:r>
      <w:r>
        <w:rPr>
          <w:rFonts w:hint="eastAsia" w:ascii="Times New Roman" w:hAnsi="Times New Roman"/>
          <w:lang w:val="en-US" w:eastAsia="zh-CN"/>
        </w:rPr>
        <w:t>1</w:t>
      </w:r>
      <w:r>
        <w:rPr>
          <w:rFonts w:ascii="Times New Roman" w:hAnsi="Times New Roman"/>
        </w:rPr>
        <w:t>月底前。</w:t>
      </w:r>
    </w:p>
    <w:p>
      <w:pPr>
        <w:keepNext w:val="0"/>
        <w:keepLines w:val="0"/>
        <w:pageBreakBefore w:val="0"/>
        <w:widowControl w:val="0"/>
        <w:kinsoku/>
        <w:wordWrap/>
        <w:overflowPunct/>
        <w:topLinePunct w:val="0"/>
        <w:bidi w:val="0"/>
        <w:spacing w:line="579" w:lineRule="exact"/>
        <w:ind w:firstLine="640" w:firstLineChars="200"/>
        <w:textAlignment w:val="auto"/>
        <w:rPr>
          <w:rFonts w:ascii="黑体" w:hAnsi="黑体" w:eastAsia="黑体"/>
        </w:rPr>
      </w:pPr>
      <w:r>
        <w:rPr>
          <w:rFonts w:hint="eastAsia" w:ascii="黑体" w:hAnsi="黑体" w:eastAsia="黑体"/>
          <w:lang w:val="en-US" w:eastAsia="zh-CN"/>
        </w:rPr>
        <w:t>八</w:t>
      </w:r>
      <w:r>
        <w:rPr>
          <w:rFonts w:hint="eastAsia" w:ascii="黑体" w:hAnsi="黑体" w:eastAsia="黑体"/>
        </w:rPr>
        <w:t>、</w:t>
      </w:r>
      <w:r>
        <w:rPr>
          <w:rFonts w:ascii="黑体" w:hAnsi="黑体" w:eastAsia="黑体"/>
        </w:rPr>
        <w:t>服务地点</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rPr>
      </w:pPr>
      <w:r>
        <w:rPr>
          <w:rFonts w:ascii="Times New Roman" w:hAnsi="Times New Roman"/>
        </w:rPr>
        <w:t>广西区内采购人指定地点。</w:t>
      </w:r>
    </w:p>
    <w:p>
      <w:pPr>
        <w:keepNext w:val="0"/>
        <w:keepLines w:val="0"/>
        <w:pageBreakBefore w:val="0"/>
        <w:widowControl w:val="0"/>
        <w:kinsoku/>
        <w:wordWrap/>
        <w:overflowPunct/>
        <w:topLinePunct w:val="0"/>
        <w:bidi w:val="0"/>
        <w:spacing w:line="579" w:lineRule="exact"/>
        <w:ind w:firstLine="640" w:firstLineChars="200"/>
        <w:textAlignment w:val="auto"/>
        <w:rPr>
          <w:rFonts w:ascii="黑体" w:hAnsi="黑体" w:eastAsia="黑体"/>
        </w:rPr>
      </w:pPr>
      <w:r>
        <w:rPr>
          <w:rFonts w:hint="eastAsia" w:ascii="黑体" w:hAnsi="黑体" w:eastAsia="黑体"/>
          <w:lang w:val="en-US" w:eastAsia="zh-CN"/>
        </w:rPr>
        <w:t>九</w:t>
      </w:r>
      <w:r>
        <w:rPr>
          <w:rFonts w:hint="eastAsia" w:ascii="黑体" w:hAnsi="黑体" w:eastAsia="黑体"/>
        </w:rPr>
        <w:t>、付款条件</w:t>
      </w:r>
      <w:r>
        <w:rPr>
          <w:rFonts w:ascii="黑体" w:hAnsi="黑体" w:eastAsia="黑体"/>
        </w:rPr>
        <w:tab/>
      </w:r>
    </w:p>
    <w:p>
      <w:pPr>
        <w:pStyle w:val="16"/>
        <w:keepNext w:val="0"/>
        <w:keepLines w:val="0"/>
        <w:pageBreakBefore w:val="0"/>
        <w:widowControl w:val="0"/>
        <w:kinsoku/>
        <w:wordWrap/>
        <w:overflowPunct/>
        <w:topLinePunct w:val="0"/>
        <w:bidi w:val="0"/>
        <w:spacing w:line="579"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本项目合同款项分</w:t>
      </w: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次付款。</w:t>
      </w:r>
    </w:p>
    <w:p>
      <w:pPr>
        <w:pStyle w:val="16"/>
        <w:keepNext w:val="0"/>
        <w:keepLines w:val="0"/>
        <w:pageBreakBefore w:val="0"/>
        <w:widowControl w:val="0"/>
        <w:kinsoku/>
        <w:wordWrap/>
        <w:overflowPunct/>
        <w:topLinePunct w:val="0"/>
        <w:bidi w:val="0"/>
        <w:spacing w:line="579"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（1）合同签订之日起，</w:t>
      </w:r>
      <w:r>
        <w:rPr>
          <w:rFonts w:hint="eastAsia" w:ascii="仿宋_GB2312" w:hAnsi="Times New Roman" w:eastAsia="仿宋_GB2312" w:cs="Times New Roman"/>
          <w:color w:val="auto"/>
          <w:sz w:val="32"/>
          <w:szCs w:val="32"/>
          <w:highlight w:val="none"/>
          <w:lang w:val="en-US" w:eastAsia="zh-CN"/>
        </w:rPr>
        <w:t>中标人提供驻场办公人员名单后</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采购人</w:t>
      </w:r>
      <w:r>
        <w:rPr>
          <w:rFonts w:hint="eastAsia" w:ascii="仿宋_GB2312" w:hAnsi="Times New Roman" w:eastAsia="仿宋_GB2312" w:cs="Times New Roman"/>
          <w:color w:val="auto"/>
          <w:sz w:val="32"/>
          <w:szCs w:val="32"/>
          <w:highlight w:val="none"/>
        </w:rPr>
        <w:t>在10个工作日内支付合同总额的</w:t>
      </w:r>
      <w:r>
        <w:rPr>
          <w:rFonts w:hint="eastAsia" w:ascii="仿宋_GB2312" w:hAnsi="Times New Roman" w:eastAsia="仿宋_GB2312" w:cs="Times New Roman"/>
          <w:color w:val="auto"/>
          <w:sz w:val="32"/>
          <w:szCs w:val="32"/>
          <w:highlight w:val="none"/>
          <w:lang w:val="en-US" w:eastAsia="zh-CN"/>
        </w:rPr>
        <w:t>25</w:t>
      </w:r>
      <w:r>
        <w:rPr>
          <w:rFonts w:hint="eastAsia" w:ascii="仿宋_GB2312" w:hAnsi="Times New Roman" w:eastAsia="仿宋_GB2312" w:cs="Times New Roman"/>
          <w:color w:val="auto"/>
          <w:sz w:val="32"/>
          <w:szCs w:val="32"/>
          <w:highlight w:val="none"/>
        </w:rPr>
        <w:t>%给中标人</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付款前，中标方应提供请款函</w:t>
      </w:r>
      <w:r>
        <w:rPr>
          <w:rFonts w:hint="eastAsia" w:ascii="仿宋_GB2312" w:hAnsi="Times New Roman" w:eastAsia="仿宋_GB2312" w:cs="Times New Roman"/>
          <w:color w:val="auto"/>
          <w:sz w:val="32"/>
          <w:szCs w:val="32"/>
          <w:highlight w:val="none"/>
          <w:lang w:val="en-US" w:eastAsia="zh-CN"/>
        </w:rPr>
        <w:t>和等额发票</w:t>
      </w:r>
      <w:r>
        <w:rPr>
          <w:rFonts w:hint="eastAsia" w:ascii="仿宋_GB2312" w:hAnsi="Times New Roman" w:eastAsia="仿宋_GB2312" w:cs="Times New Roman"/>
          <w:color w:val="auto"/>
          <w:sz w:val="32"/>
          <w:szCs w:val="32"/>
          <w:highlight w:val="none"/>
        </w:rPr>
        <w:t>，采购人在收到请款函后10个工作日内支付款项。</w:t>
      </w:r>
    </w:p>
    <w:p>
      <w:pPr>
        <w:pStyle w:val="16"/>
        <w:keepNext w:val="0"/>
        <w:keepLines w:val="0"/>
        <w:pageBreakBefore w:val="0"/>
        <w:widowControl w:val="0"/>
        <w:numPr>
          <w:ilvl w:val="0"/>
          <w:numId w:val="2"/>
        </w:numPr>
        <w:kinsoku/>
        <w:wordWrap/>
        <w:overflowPunct/>
        <w:topLinePunct w:val="0"/>
        <w:bidi w:val="0"/>
        <w:spacing w:line="579"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合同</w:t>
      </w:r>
      <w:r>
        <w:rPr>
          <w:rFonts w:hint="eastAsia" w:ascii="仿宋_GB2312" w:hAnsi="Times New Roman" w:eastAsia="仿宋_GB2312" w:cs="Times New Roman"/>
          <w:color w:val="auto"/>
          <w:sz w:val="32"/>
          <w:szCs w:val="32"/>
          <w:highlight w:val="none"/>
          <w:lang w:val="en-US" w:eastAsia="zh-CN"/>
        </w:rPr>
        <w:t>约定服务期</w:t>
      </w:r>
      <w:r>
        <w:rPr>
          <w:rFonts w:hint="eastAsia" w:ascii="仿宋_GB2312" w:hAnsi="Times New Roman" w:eastAsia="仿宋_GB2312" w:cs="Times New Roman"/>
          <w:color w:val="auto"/>
          <w:sz w:val="32"/>
          <w:szCs w:val="32"/>
          <w:highlight w:val="none"/>
        </w:rPr>
        <w:t>满后</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个月后，</w:t>
      </w:r>
      <w:r>
        <w:rPr>
          <w:rFonts w:hint="eastAsia" w:ascii="仿宋_GB2312" w:hAnsi="Times New Roman" w:eastAsia="仿宋_GB2312" w:cs="Times New Roman"/>
          <w:color w:val="auto"/>
          <w:sz w:val="32"/>
          <w:szCs w:val="32"/>
          <w:highlight w:val="none"/>
          <w:lang w:val="en-US" w:eastAsia="zh-CN"/>
        </w:rPr>
        <w:t>中标人</w:t>
      </w:r>
      <w:r>
        <w:rPr>
          <w:rFonts w:hint="eastAsia" w:ascii="仿宋_GB2312" w:hAnsi="Times New Roman" w:eastAsia="仿宋_GB2312" w:cs="Times New Roman"/>
          <w:color w:val="auto"/>
          <w:sz w:val="32"/>
          <w:szCs w:val="32"/>
          <w:highlight w:val="none"/>
        </w:rPr>
        <w:t>无违约或服务质量不合格等情况，</w:t>
      </w:r>
      <w:r>
        <w:rPr>
          <w:rFonts w:hint="eastAsia" w:ascii="仿宋_GB2312" w:hAnsi="Times New Roman" w:eastAsia="仿宋_GB2312" w:cs="Times New Roman"/>
          <w:color w:val="auto"/>
          <w:sz w:val="32"/>
          <w:szCs w:val="32"/>
          <w:highlight w:val="none"/>
          <w:lang w:val="en-US" w:eastAsia="zh-CN"/>
        </w:rPr>
        <w:t>采购人</w:t>
      </w:r>
      <w:r>
        <w:rPr>
          <w:rFonts w:hint="eastAsia" w:ascii="仿宋_GB2312" w:hAnsi="Times New Roman" w:eastAsia="仿宋_GB2312" w:cs="Times New Roman"/>
          <w:color w:val="auto"/>
          <w:sz w:val="32"/>
          <w:szCs w:val="32"/>
          <w:highlight w:val="none"/>
        </w:rPr>
        <w:t>在10个工作日内支付合同总额的</w:t>
      </w:r>
      <w:r>
        <w:rPr>
          <w:rFonts w:hint="eastAsia" w:ascii="仿宋_GB2312" w:hAnsi="Times New Roman" w:eastAsia="仿宋_GB2312" w:cs="Times New Roman"/>
          <w:color w:val="auto"/>
          <w:sz w:val="32"/>
          <w:szCs w:val="32"/>
          <w:highlight w:val="none"/>
          <w:lang w:val="en-US" w:eastAsia="zh-CN"/>
        </w:rPr>
        <w:t>50</w:t>
      </w:r>
      <w:r>
        <w:rPr>
          <w:rFonts w:hint="eastAsia" w:ascii="仿宋_GB2312" w:hAnsi="Times New Roman" w:eastAsia="仿宋_GB2312" w:cs="Times New Roman"/>
          <w:color w:val="auto"/>
          <w:sz w:val="32"/>
          <w:szCs w:val="32"/>
          <w:highlight w:val="none"/>
        </w:rPr>
        <w:t>%给中标人</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付款前，中标方应提供请款函</w:t>
      </w:r>
      <w:r>
        <w:rPr>
          <w:rFonts w:hint="eastAsia" w:ascii="仿宋_GB2312" w:hAnsi="Times New Roman" w:eastAsia="仿宋_GB2312" w:cs="Times New Roman"/>
          <w:color w:val="auto"/>
          <w:sz w:val="32"/>
          <w:szCs w:val="32"/>
          <w:highlight w:val="none"/>
          <w:lang w:val="en-US" w:eastAsia="zh-CN"/>
        </w:rPr>
        <w:t>和等额发票</w:t>
      </w:r>
      <w:r>
        <w:rPr>
          <w:rFonts w:hint="eastAsia" w:ascii="仿宋_GB2312" w:hAnsi="Times New Roman" w:eastAsia="仿宋_GB2312" w:cs="Times New Roman"/>
          <w:color w:val="auto"/>
          <w:sz w:val="32"/>
          <w:szCs w:val="32"/>
          <w:highlight w:val="none"/>
        </w:rPr>
        <w:t>，采购人在收到请款函后10个工作日内支付款项。</w:t>
      </w:r>
    </w:p>
    <w:p>
      <w:pPr>
        <w:pStyle w:val="16"/>
        <w:keepNext w:val="0"/>
        <w:keepLines w:val="0"/>
        <w:pageBreakBefore w:val="0"/>
        <w:widowControl w:val="0"/>
        <w:numPr>
          <w:ilvl w:val="0"/>
          <w:numId w:val="2"/>
        </w:numPr>
        <w:kinsoku/>
        <w:wordWrap/>
        <w:overflowPunct/>
        <w:topLinePunct w:val="0"/>
        <w:bidi w:val="0"/>
        <w:spacing w:line="579"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合同</w:t>
      </w:r>
      <w:r>
        <w:rPr>
          <w:rFonts w:hint="eastAsia" w:ascii="仿宋_GB2312" w:hAnsi="Times New Roman" w:eastAsia="仿宋_GB2312" w:cs="Times New Roman"/>
          <w:color w:val="auto"/>
          <w:sz w:val="32"/>
          <w:szCs w:val="32"/>
          <w:highlight w:val="none"/>
          <w:lang w:val="en-US" w:eastAsia="zh-CN"/>
        </w:rPr>
        <w:t>约定服务期</w:t>
      </w:r>
      <w:r>
        <w:rPr>
          <w:rFonts w:hint="eastAsia" w:ascii="仿宋_GB2312" w:hAnsi="Times New Roman" w:eastAsia="仿宋_GB2312" w:cs="Times New Roman"/>
          <w:color w:val="auto"/>
          <w:sz w:val="32"/>
          <w:szCs w:val="32"/>
          <w:highlight w:val="none"/>
        </w:rPr>
        <w:t>满</w:t>
      </w:r>
      <w:r>
        <w:rPr>
          <w:rFonts w:hint="eastAsia" w:ascii="仿宋_GB2312" w:hAnsi="Times New Roman" w:eastAsia="仿宋_GB2312" w:cs="Times New Roman"/>
          <w:color w:val="auto"/>
          <w:sz w:val="32"/>
          <w:szCs w:val="32"/>
          <w:highlight w:val="none"/>
          <w:lang w:val="en-US" w:eastAsia="zh-CN"/>
        </w:rPr>
        <w:t>9</w:t>
      </w:r>
      <w:r>
        <w:rPr>
          <w:rFonts w:hint="eastAsia" w:ascii="仿宋_GB2312" w:hAnsi="Times New Roman" w:eastAsia="仿宋_GB2312" w:cs="Times New Roman"/>
          <w:color w:val="auto"/>
          <w:sz w:val="32"/>
          <w:szCs w:val="32"/>
          <w:highlight w:val="none"/>
        </w:rPr>
        <w:t>个月后，经采购人组织验收合格后，</w:t>
      </w:r>
      <w:r>
        <w:rPr>
          <w:rFonts w:hint="eastAsia" w:ascii="仿宋_GB2312" w:hAnsi="Times New Roman" w:eastAsia="仿宋_GB2312" w:cs="Times New Roman"/>
          <w:color w:val="auto"/>
          <w:sz w:val="32"/>
          <w:szCs w:val="32"/>
          <w:highlight w:val="none"/>
          <w:lang w:val="en-US" w:eastAsia="zh-CN"/>
        </w:rPr>
        <w:t>中标人</w:t>
      </w:r>
      <w:r>
        <w:rPr>
          <w:rFonts w:hint="eastAsia" w:ascii="仿宋_GB2312" w:hAnsi="Times New Roman" w:eastAsia="仿宋_GB2312" w:cs="Times New Roman"/>
          <w:color w:val="auto"/>
          <w:sz w:val="32"/>
          <w:szCs w:val="32"/>
          <w:highlight w:val="none"/>
        </w:rPr>
        <w:t>无违约或服务质量不合格等情况，</w:t>
      </w:r>
      <w:r>
        <w:rPr>
          <w:rFonts w:hint="eastAsia" w:ascii="仿宋_GB2312" w:hAnsi="Times New Roman" w:eastAsia="仿宋_GB2312" w:cs="Times New Roman"/>
          <w:color w:val="auto"/>
          <w:sz w:val="32"/>
          <w:szCs w:val="32"/>
          <w:highlight w:val="none"/>
          <w:lang w:val="en-US" w:eastAsia="zh-CN"/>
        </w:rPr>
        <w:t>采购人</w:t>
      </w:r>
      <w:r>
        <w:rPr>
          <w:rFonts w:hint="eastAsia" w:ascii="仿宋_GB2312" w:hAnsi="Times New Roman" w:eastAsia="仿宋_GB2312" w:cs="Times New Roman"/>
          <w:color w:val="auto"/>
          <w:sz w:val="32"/>
          <w:szCs w:val="32"/>
          <w:highlight w:val="none"/>
        </w:rPr>
        <w:t>在10个工作日内支付合同总额的</w:t>
      </w:r>
      <w:r>
        <w:rPr>
          <w:rFonts w:hint="eastAsia" w:ascii="仿宋_GB2312" w:hAnsi="Times New Roman" w:eastAsia="仿宋_GB2312" w:cs="Times New Roman"/>
          <w:color w:val="auto"/>
          <w:sz w:val="32"/>
          <w:szCs w:val="32"/>
          <w:highlight w:val="none"/>
          <w:lang w:val="en-US" w:eastAsia="zh-CN"/>
        </w:rPr>
        <w:t>20</w:t>
      </w:r>
      <w:r>
        <w:rPr>
          <w:rFonts w:hint="eastAsia" w:ascii="仿宋_GB2312" w:hAnsi="Times New Roman" w:eastAsia="仿宋_GB2312" w:cs="Times New Roman"/>
          <w:color w:val="auto"/>
          <w:sz w:val="32"/>
          <w:szCs w:val="32"/>
          <w:highlight w:val="none"/>
        </w:rPr>
        <w:t>%给中标人</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付款前，中标方应提供请款函</w:t>
      </w:r>
      <w:r>
        <w:rPr>
          <w:rFonts w:hint="eastAsia" w:ascii="仿宋_GB2312" w:hAnsi="Times New Roman" w:eastAsia="仿宋_GB2312" w:cs="Times New Roman"/>
          <w:color w:val="auto"/>
          <w:sz w:val="32"/>
          <w:szCs w:val="32"/>
          <w:highlight w:val="none"/>
          <w:lang w:val="en-US" w:eastAsia="zh-CN"/>
        </w:rPr>
        <w:t>和等额发票</w:t>
      </w:r>
      <w:r>
        <w:rPr>
          <w:rFonts w:hint="eastAsia" w:ascii="仿宋_GB2312" w:hAnsi="Times New Roman" w:eastAsia="仿宋_GB2312" w:cs="Times New Roman"/>
          <w:color w:val="auto"/>
          <w:sz w:val="32"/>
          <w:szCs w:val="32"/>
          <w:highlight w:val="none"/>
        </w:rPr>
        <w:t>，采购人在收到请款函后10个工作日内支付款项。</w:t>
      </w:r>
    </w:p>
    <w:p>
      <w:pPr>
        <w:keepNext w:val="0"/>
        <w:keepLines w:val="0"/>
        <w:pageBreakBefore w:val="0"/>
        <w:widowControl w:val="0"/>
        <w:numPr>
          <w:ilvl w:val="0"/>
          <w:numId w:val="2"/>
        </w:numPr>
        <w:kinsoku/>
        <w:wordWrap/>
        <w:overflowPunct/>
        <w:topLinePunct w:val="0"/>
        <w:bidi w:val="0"/>
        <w:spacing w:line="579" w:lineRule="exact"/>
        <w:ind w:left="0" w:leftChars="0" w:firstLine="640" w:firstLineChars="200"/>
        <w:textAlignment w:val="auto"/>
        <w:rPr>
          <w:rFonts w:ascii="Times New Roman" w:hAnsi="Times New Roman"/>
        </w:rPr>
      </w:pPr>
      <w:r>
        <w:rPr>
          <w:rFonts w:hint="eastAsia" w:ascii="仿宋_GB2312" w:hAnsi="Times New Roman" w:eastAsia="仿宋_GB2312" w:cs="Times New Roman"/>
          <w:color w:val="auto"/>
          <w:sz w:val="32"/>
          <w:szCs w:val="32"/>
          <w:highlight w:val="none"/>
        </w:rPr>
        <w:t>合同</w:t>
      </w:r>
      <w:r>
        <w:rPr>
          <w:rFonts w:hint="eastAsia" w:ascii="仿宋_GB2312" w:hAnsi="Times New Roman" w:eastAsia="仿宋_GB2312" w:cs="Times New Roman"/>
          <w:color w:val="auto"/>
          <w:sz w:val="32"/>
          <w:szCs w:val="32"/>
          <w:highlight w:val="none"/>
          <w:lang w:val="en-US" w:eastAsia="zh-CN"/>
        </w:rPr>
        <w:t>约定服务期</w:t>
      </w:r>
      <w:r>
        <w:rPr>
          <w:rFonts w:hint="eastAsia" w:ascii="仿宋_GB2312" w:hAnsi="Times New Roman" w:eastAsia="仿宋_GB2312" w:cs="Times New Roman"/>
          <w:color w:val="auto"/>
          <w:sz w:val="32"/>
          <w:szCs w:val="32"/>
          <w:highlight w:val="none"/>
        </w:rPr>
        <w:t>满后，经采购人组织验收合格后，无违约或服务质量不合格等情况，</w:t>
      </w:r>
      <w:r>
        <w:rPr>
          <w:rFonts w:hint="eastAsia" w:ascii="仿宋_GB2312" w:hAnsi="Times New Roman" w:eastAsia="仿宋_GB2312" w:cs="Times New Roman"/>
          <w:color w:val="auto"/>
          <w:sz w:val="32"/>
          <w:szCs w:val="32"/>
          <w:highlight w:val="none"/>
          <w:lang w:val="en-US" w:eastAsia="zh-CN"/>
        </w:rPr>
        <w:t>采购人</w:t>
      </w:r>
      <w:r>
        <w:rPr>
          <w:rFonts w:hint="eastAsia" w:ascii="仿宋_GB2312" w:hAnsi="Times New Roman" w:eastAsia="仿宋_GB2312" w:cs="Times New Roman"/>
          <w:color w:val="auto"/>
          <w:sz w:val="32"/>
          <w:szCs w:val="32"/>
          <w:highlight w:val="none"/>
        </w:rPr>
        <w:t>在10个工作日内支付合同总额的</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给中标人</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付款前，中标方应提供请款函</w:t>
      </w:r>
      <w:r>
        <w:rPr>
          <w:rFonts w:hint="eastAsia" w:ascii="仿宋_GB2312" w:hAnsi="Times New Roman" w:eastAsia="仿宋_GB2312" w:cs="Times New Roman"/>
          <w:color w:val="auto"/>
          <w:sz w:val="32"/>
          <w:szCs w:val="32"/>
          <w:highlight w:val="none"/>
          <w:lang w:val="en-US" w:eastAsia="zh-CN"/>
        </w:rPr>
        <w:t>和等额发票</w:t>
      </w:r>
      <w:r>
        <w:rPr>
          <w:rFonts w:hint="eastAsia" w:ascii="仿宋_GB2312" w:hAnsi="Times New Roman" w:eastAsia="仿宋_GB2312" w:cs="Times New Roman"/>
          <w:color w:val="auto"/>
          <w:sz w:val="32"/>
          <w:szCs w:val="32"/>
          <w:highlight w:val="none"/>
        </w:rPr>
        <w:t>，采购人在收到请款函后10个工作日内支付款项。</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Arial Unicode MS"/>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42629"/>
    <w:multiLevelType w:val="multilevel"/>
    <w:tmpl w:val="09642629"/>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lang w:val="en-US"/>
      </w:rPr>
    </w:lvl>
    <w:lvl w:ilvl="2" w:tentative="0">
      <w:start w:val="1"/>
      <w:numFmt w:val="decimal"/>
      <w:suff w:val="nothing"/>
      <w:lvlText w:val="%3．"/>
      <w:lvlJc w:val="left"/>
      <w:pPr>
        <w:ind w:left="0" w:firstLine="400"/>
      </w:pPr>
      <w:rPr>
        <w:rFonts w:hint="default" w:ascii="宋体" w:hAnsi="宋体" w:eastAsia="宋体" w:cs="宋体"/>
        <w:sz w:val="28"/>
        <w:szCs w:val="28"/>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6DA1F46"/>
    <w:multiLevelType w:val="singleLevel"/>
    <w:tmpl w:val="76DA1F4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jMTg3MzJlMjljOWUxNTE5Y2YxZGU3MmEyMTA5MjgifQ=="/>
  </w:docVars>
  <w:rsids>
    <w:rsidRoot w:val="005D7A84"/>
    <w:rsid w:val="00047EBA"/>
    <w:rsid w:val="001153C8"/>
    <w:rsid w:val="001459B1"/>
    <w:rsid w:val="001E1BEB"/>
    <w:rsid w:val="0037089E"/>
    <w:rsid w:val="00374E85"/>
    <w:rsid w:val="00386302"/>
    <w:rsid w:val="003D1DFE"/>
    <w:rsid w:val="004A653D"/>
    <w:rsid w:val="005154C9"/>
    <w:rsid w:val="00527653"/>
    <w:rsid w:val="005648F4"/>
    <w:rsid w:val="005B3241"/>
    <w:rsid w:val="005B4D00"/>
    <w:rsid w:val="005B7899"/>
    <w:rsid w:val="005D7A84"/>
    <w:rsid w:val="005E68FB"/>
    <w:rsid w:val="005F2E76"/>
    <w:rsid w:val="005F77C3"/>
    <w:rsid w:val="00664AE7"/>
    <w:rsid w:val="00666ED8"/>
    <w:rsid w:val="006B3051"/>
    <w:rsid w:val="00704F14"/>
    <w:rsid w:val="00792810"/>
    <w:rsid w:val="00980D88"/>
    <w:rsid w:val="00A34E70"/>
    <w:rsid w:val="00AE504D"/>
    <w:rsid w:val="00BB08A0"/>
    <w:rsid w:val="00C305FF"/>
    <w:rsid w:val="00C842F5"/>
    <w:rsid w:val="00CD037E"/>
    <w:rsid w:val="00D87D59"/>
    <w:rsid w:val="00E71F50"/>
    <w:rsid w:val="00EF2AB8"/>
    <w:rsid w:val="00FB2A6D"/>
    <w:rsid w:val="00FD305A"/>
    <w:rsid w:val="00FF2281"/>
    <w:rsid w:val="01620176"/>
    <w:rsid w:val="0A532ED9"/>
    <w:rsid w:val="0AEA0280"/>
    <w:rsid w:val="0BF63A87"/>
    <w:rsid w:val="16360DBD"/>
    <w:rsid w:val="1D946105"/>
    <w:rsid w:val="1FE92A54"/>
    <w:rsid w:val="21611D4D"/>
    <w:rsid w:val="23735CE2"/>
    <w:rsid w:val="249C21D3"/>
    <w:rsid w:val="25B969B9"/>
    <w:rsid w:val="266C18FE"/>
    <w:rsid w:val="28AA269B"/>
    <w:rsid w:val="2D202B82"/>
    <w:rsid w:val="2D3E35CA"/>
    <w:rsid w:val="2F48105A"/>
    <w:rsid w:val="2FF7B57B"/>
    <w:rsid w:val="31E05F1C"/>
    <w:rsid w:val="32A65B01"/>
    <w:rsid w:val="32E81305"/>
    <w:rsid w:val="39C0342E"/>
    <w:rsid w:val="3BF7B455"/>
    <w:rsid w:val="3DAA6087"/>
    <w:rsid w:val="3DDFF6EC"/>
    <w:rsid w:val="3F612B9A"/>
    <w:rsid w:val="4181683C"/>
    <w:rsid w:val="429D2651"/>
    <w:rsid w:val="43351DAF"/>
    <w:rsid w:val="468D40F0"/>
    <w:rsid w:val="4AB24511"/>
    <w:rsid w:val="4BBFA48A"/>
    <w:rsid w:val="4CA837AB"/>
    <w:rsid w:val="4D6E51E0"/>
    <w:rsid w:val="500B71A4"/>
    <w:rsid w:val="524A0110"/>
    <w:rsid w:val="58FB260D"/>
    <w:rsid w:val="5AFDE804"/>
    <w:rsid w:val="5C524817"/>
    <w:rsid w:val="5DF35AB3"/>
    <w:rsid w:val="5F7291E3"/>
    <w:rsid w:val="623FF59E"/>
    <w:rsid w:val="62A863D2"/>
    <w:rsid w:val="65CB7F31"/>
    <w:rsid w:val="6F341A7D"/>
    <w:rsid w:val="6F78F265"/>
    <w:rsid w:val="6FC77776"/>
    <w:rsid w:val="73BB51F8"/>
    <w:rsid w:val="73CB22DD"/>
    <w:rsid w:val="742D1F05"/>
    <w:rsid w:val="7BD4F24D"/>
    <w:rsid w:val="7DD54DE6"/>
    <w:rsid w:val="7E6FC4E3"/>
    <w:rsid w:val="7EFBB885"/>
    <w:rsid w:val="7F5D289E"/>
    <w:rsid w:val="9F5C7263"/>
    <w:rsid w:val="A7FED374"/>
    <w:rsid w:val="B5D99C75"/>
    <w:rsid w:val="F9DDE3E8"/>
    <w:rsid w:val="FF376C1C"/>
    <w:rsid w:val="FFFDE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eastAsia="仿宋_GB2312" w:hAnsiTheme="minorHAnsi" w:cstheme="minorBidi"/>
      <w:kern w:val="2"/>
      <w:sz w:val="32"/>
      <w:szCs w:val="32"/>
      <w:lang w:val="en-US" w:eastAsia="zh-CN" w:bidi="ar-SA"/>
    </w:rPr>
  </w:style>
  <w:style w:type="paragraph" w:styleId="3">
    <w:name w:val="heading 1"/>
    <w:basedOn w:val="1"/>
    <w:next w:val="1"/>
    <w:qFormat/>
    <w:uiPriority w:val="0"/>
    <w:pPr>
      <w:pageBreakBefore w:val="0"/>
      <w:spacing w:beforeAutospacing="0" w:afterAutospacing="0"/>
      <w:ind w:firstLine="0" w:firstLineChars="0"/>
      <w:jc w:val="left"/>
      <w:outlineLvl w:val="0"/>
    </w:pPr>
    <w:rPr>
      <w:rFonts w:hint="eastAsia" w:ascii="宋体" w:hAnsi="宋体" w:eastAsia="黑体" w:cs="宋体"/>
      <w:bCs/>
      <w:sz w:val="32"/>
      <w:szCs w:val="48"/>
      <w:lang w:bidi="ar"/>
    </w:rPr>
  </w:style>
  <w:style w:type="paragraph" w:styleId="4">
    <w:name w:val="heading 2"/>
    <w:basedOn w:val="1"/>
    <w:next w:val="1"/>
    <w:qFormat/>
    <w:uiPriority w:val="9"/>
    <w:pPr>
      <w:pageBreakBefore/>
      <w:numPr>
        <w:ilvl w:val="1"/>
        <w:numId w:val="1"/>
      </w:numPr>
      <w:ind w:firstLine="0" w:firstLineChars="0"/>
      <w:outlineLvl w:val="1"/>
    </w:pPr>
    <w:rPr>
      <w:rFonts w:ascii="方正楷体_GBK" w:hAnsi="方正楷体_GBK" w:eastAsia="方正楷体_GBK"/>
      <w:bCs/>
      <w:sz w:val="32"/>
    </w:rPr>
  </w:style>
  <w:style w:type="character" w:default="1" w:styleId="11">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5">
    <w:name w:val="Body Text"/>
    <w:basedOn w:val="1"/>
    <w:next w:val="6"/>
    <w:qFormat/>
    <w:uiPriority w:val="1"/>
    <w:rPr>
      <w:rFonts w:ascii="仿宋_GB2312" w:hAnsi="仿宋_GB2312" w:eastAsia="仿宋_GB2312" w:cs="仿宋_GB2312"/>
      <w:sz w:val="32"/>
      <w:szCs w:val="32"/>
      <w:lang w:val="zh-CN" w:eastAsia="zh-CN" w:bidi="zh-CN"/>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7">
    <w:name w:val="Plain Text"/>
    <w:basedOn w:val="1"/>
    <w:autoRedefine/>
    <w:unhideWhenUsed/>
    <w:qFormat/>
    <w:uiPriority w:val="99"/>
    <w:rPr>
      <w:rFonts w:ascii="宋体" w:hAnsi="Courier New"/>
      <w:szCs w:val="20"/>
    </w:rPr>
  </w:style>
  <w:style w:type="paragraph" w:styleId="8">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9"/>
    <w:basedOn w:val="1"/>
    <w:next w:val="1"/>
    <w:autoRedefine/>
    <w:unhideWhenUsed/>
    <w:qFormat/>
    <w:uiPriority w:val="39"/>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customStyle="1" w:styleId="12">
    <w:name w:val="页眉 字符"/>
    <w:basedOn w:val="11"/>
    <w:link w:val="8"/>
    <w:qFormat/>
    <w:uiPriority w:val="99"/>
    <w:rPr>
      <w:sz w:val="18"/>
      <w:szCs w:val="18"/>
    </w:rPr>
  </w:style>
  <w:style w:type="character" w:customStyle="1" w:styleId="13">
    <w:name w:val="页脚 字符"/>
    <w:basedOn w:val="11"/>
    <w:link w:val="2"/>
    <w:qFormat/>
    <w:uiPriority w:val="99"/>
    <w:rPr>
      <w:sz w:val="18"/>
      <w:szCs w:val="18"/>
    </w:rPr>
  </w:style>
  <w:style w:type="paragraph" w:customStyle="1" w:styleId="14">
    <w:name w:val="p16"/>
    <w:basedOn w:val="1"/>
    <w:autoRedefine/>
    <w:qFormat/>
    <w:uiPriority w:val="0"/>
    <w:pPr>
      <w:widowControl/>
    </w:pPr>
    <w:rPr>
      <w:rFonts w:ascii="宋体" w:hAnsi="宋体" w:cs="宋体"/>
      <w:kern w:val="0"/>
    </w:rPr>
  </w:style>
  <w:style w:type="paragraph" w:customStyle="1" w:styleId="15">
    <w:name w:val="Revision"/>
    <w:autoRedefine/>
    <w:hidden/>
    <w:unhideWhenUsed/>
    <w:qFormat/>
    <w:uiPriority w:val="99"/>
    <w:rPr>
      <w:rFonts w:ascii="仿宋_GB2312" w:eastAsia="仿宋_GB2312" w:hAnsiTheme="minorHAnsi" w:cstheme="minorBidi"/>
      <w:kern w:val="2"/>
      <w:sz w:val="32"/>
      <w:szCs w:val="32"/>
      <w:lang w:val="en-US" w:eastAsia="zh-CN" w:bidi="ar-SA"/>
    </w:rPr>
  </w:style>
  <w:style w:type="paragraph" w:customStyle="1" w:styleId="16">
    <w:name w:val="Table Paragraph"/>
    <w:basedOn w:val="1"/>
    <w:qFormat/>
    <w:uiPriority w:val="1"/>
    <w:pPr>
      <w:autoSpaceDE w:val="0"/>
      <w:autoSpaceDN w:val="0"/>
      <w:jc w:val="left"/>
    </w:pPr>
    <w:rPr>
      <w:rFonts w:ascii="方正仿宋_GBK" w:hAnsi="方正仿宋_GBK" w:eastAsia="方正仿宋_GBK" w:cs="方正仿宋_GBK"/>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14850</Words>
  <Characters>15318</Characters>
  <Lines>39</Lines>
  <Paragraphs>11</Paragraphs>
  <TotalTime>744</TotalTime>
  <ScaleCrop>false</ScaleCrop>
  <LinksUpToDate>false</LinksUpToDate>
  <CharactersWithSpaces>15438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2024-04-29T09:23:00Z</dcterms:created>
  <dc:creator>Administrator</dc:creator>
  <cp:lastModifiedBy>萌与朦</cp:lastModifiedBy>
  <cp:lastPrinted>2022-03-18T11:57:00Z</cp:lastPrinted>
  <dcterms:modified xsi:type="dcterms:W3CDTF">2024-06-19T08:35:05Z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629BAC64F98C4D8282D9DA16FAC7AC1C_13</vt:lpwstr>
  </property>
</Properties>
</file>