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478DD">
      <w:pPr>
        <w:spacing w:line="520" w:lineRule="exact"/>
        <w:jc w:val="center"/>
        <w:rPr>
          <w:rFonts w:ascii="方正小标宋_GBK" w:hAnsi="方正小标宋_GBK" w:eastAsia="方正小标宋_GBK" w:cs="方正小标宋_GBK"/>
          <w:sz w:val="44"/>
          <w:szCs w:val="44"/>
        </w:rPr>
      </w:pPr>
      <w:bookmarkStart w:id="1" w:name="_GoBack"/>
      <w:bookmarkEnd w:id="1"/>
      <w:r>
        <w:rPr>
          <w:rFonts w:hint="eastAsia" w:ascii="方正小标宋_GBK" w:hAnsi="方正小标宋_GBK" w:eastAsia="方正小标宋_GBK" w:cs="方正小标宋_GBK"/>
          <w:sz w:val="44"/>
          <w:szCs w:val="44"/>
          <w:lang w:val="en-US" w:eastAsia="zh-CN"/>
        </w:rPr>
        <w:t>2024年</w:t>
      </w:r>
      <w:r>
        <w:rPr>
          <w:rFonts w:hint="eastAsia" w:ascii="方正小标宋_GBK" w:hAnsi="方正小标宋_GBK" w:eastAsia="方正小标宋_GBK" w:cs="方正小标宋_GBK"/>
          <w:sz w:val="44"/>
          <w:szCs w:val="44"/>
        </w:rPr>
        <w:t>广西壮族自治区人民政府公报</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电子</w:t>
      </w:r>
      <w:r>
        <w:rPr>
          <w:rFonts w:hint="eastAsia" w:ascii="方正小标宋_GBK" w:hAnsi="方正小标宋_GBK" w:eastAsia="方正小标宋_GBK" w:cs="方正小标宋_GBK"/>
          <w:sz w:val="44"/>
          <w:szCs w:val="44"/>
          <w:lang w:val="en-US" w:eastAsia="zh-CN"/>
        </w:rPr>
        <w:t>排</w:t>
      </w:r>
      <w:r>
        <w:rPr>
          <w:rFonts w:hint="eastAsia" w:ascii="方正小标宋_GBK" w:hAnsi="方正小标宋_GBK" w:eastAsia="方正小标宋_GBK" w:cs="方正小标宋_GBK"/>
          <w:sz w:val="44"/>
          <w:szCs w:val="44"/>
        </w:rPr>
        <w:t>版</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采购方案</w:t>
      </w:r>
    </w:p>
    <w:p w14:paraId="33F0E886">
      <w:pPr>
        <w:spacing w:line="520" w:lineRule="exact"/>
        <w:rPr>
          <w:sz w:val="32"/>
          <w:szCs w:val="32"/>
        </w:rPr>
      </w:pPr>
    </w:p>
    <w:p w14:paraId="37F958C9">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一、依据</w:t>
      </w:r>
    </w:p>
    <w:p w14:paraId="6FFE7493">
      <w:pPr>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国务院办公厅关于做好政府公报工作的通知》（国办发〔2018〕22号）和《广西壮族自治区人民政府办公厅关于进一步做好政府公报工作的通知》（桂政办发〔2018〕153号）规定，各级政府要充分发挥互联网优势，着力办好政府公报电子版，扩大政府公报受众面。</w:t>
      </w:r>
    </w:p>
    <w:p w14:paraId="1DC14A89">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二、项目名称</w:t>
      </w:r>
    </w:p>
    <w:p w14:paraId="06E4188D">
      <w:pPr>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2024年</w:t>
      </w:r>
      <w:r>
        <w:rPr>
          <w:rFonts w:hint="eastAsia" w:ascii="仿宋_GB2312" w:hAnsi="Times New Roman" w:eastAsia="仿宋_GB2312" w:cs="Times New Roman"/>
          <w:sz w:val="30"/>
          <w:szCs w:val="30"/>
        </w:rPr>
        <w:t>广西壮族自治区人民政府公报电子</w:t>
      </w:r>
      <w:r>
        <w:rPr>
          <w:rFonts w:hint="eastAsia" w:ascii="仿宋_GB2312" w:hAnsi="Times New Roman" w:eastAsia="仿宋_GB2312" w:cs="Times New Roman"/>
          <w:sz w:val="30"/>
          <w:szCs w:val="30"/>
          <w:lang w:val="en-US" w:eastAsia="zh-CN"/>
        </w:rPr>
        <w:t>排</w:t>
      </w:r>
      <w:r>
        <w:rPr>
          <w:rFonts w:hint="eastAsia" w:ascii="仿宋_GB2312" w:hAnsi="Times New Roman" w:eastAsia="仿宋_GB2312" w:cs="Times New Roman"/>
          <w:sz w:val="30"/>
          <w:szCs w:val="30"/>
        </w:rPr>
        <w:t>版。</w:t>
      </w:r>
    </w:p>
    <w:p w14:paraId="24B69554">
      <w:pPr>
        <w:spacing w:line="520" w:lineRule="exact"/>
        <w:ind w:firstLine="600" w:firstLineChars="200"/>
        <w:rPr>
          <w:rFonts w:hint="default" w:ascii="Times New Roman" w:hAnsi="Times New Roman" w:eastAsia="方正黑体_GBK" w:cs="Times New Roman"/>
          <w:sz w:val="30"/>
          <w:szCs w:val="30"/>
          <w:lang w:val="en-US" w:eastAsia="zh-CN"/>
        </w:rPr>
      </w:pPr>
      <w:r>
        <w:rPr>
          <w:rFonts w:ascii="Times New Roman" w:hAnsi="Times New Roman" w:eastAsia="方正黑体_GBK" w:cs="Times New Roman"/>
          <w:sz w:val="30"/>
          <w:szCs w:val="30"/>
        </w:rPr>
        <w:t>三、</w:t>
      </w:r>
      <w:r>
        <w:rPr>
          <w:rFonts w:hint="eastAsia" w:ascii="Times New Roman" w:hAnsi="Times New Roman" w:eastAsia="方正黑体_GBK" w:cs="Times New Roman"/>
          <w:sz w:val="30"/>
          <w:szCs w:val="30"/>
          <w:lang w:val="en-US" w:eastAsia="zh-CN"/>
        </w:rPr>
        <w:t>预算金额（招标上控价）</w:t>
      </w:r>
    </w:p>
    <w:p w14:paraId="2BF452A2">
      <w:pPr>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26.194万元</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lang w:val="en-US" w:eastAsia="zh-CN"/>
        </w:rPr>
        <w:t>报价超过此金额的无效</w:t>
      </w:r>
      <w:r>
        <w:rPr>
          <w:rFonts w:hint="eastAsia" w:ascii="仿宋_GB2312" w:hAnsi="Times New Roman" w:eastAsia="仿宋_GB2312" w:cs="Times New Roman"/>
          <w:sz w:val="30"/>
          <w:szCs w:val="30"/>
        </w:rPr>
        <w:t>。</w:t>
      </w:r>
    </w:p>
    <w:p w14:paraId="58505058">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四、采购方式</w:t>
      </w:r>
    </w:p>
    <w:p w14:paraId="1950BE15">
      <w:pPr>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竞争性磋商</w:t>
      </w:r>
      <w:r>
        <w:rPr>
          <w:rFonts w:hint="eastAsia" w:ascii="仿宋_GB2312" w:hAnsi="Times New Roman" w:eastAsia="仿宋_GB2312" w:cs="Times New Roman"/>
          <w:sz w:val="30"/>
          <w:szCs w:val="30"/>
        </w:rPr>
        <w:t>。</w:t>
      </w:r>
    </w:p>
    <w:p w14:paraId="49102046">
      <w:pPr>
        <w:spacing w:line="520" w:lineRule="exact"/>
        <w:ind w:firstLine="600" w:firstLineChars="200"/>
        <w:rPr>
          <w:rFonts w:ascii="Times New Roman" w:hAnsi="Times New Roman" w:eastAsia="方正黑体_GBK" w:cs="Times New Roman"/>
          <w:sz w:val="30"/>
          <w:szCs w:val="30"/>
        </w:rPr>
      </w:pPr>
      <w:r>
        <w:rPr>
          <w:rFonts w:ascii="Times New Roman" w:hAnsi="Times New Roman" w:eastAsia="方正黑体_GBK" w:cs="Times New Roman"/>
          <w:sz w:val="30"/>
          <w:szCs w:val="30"/>
        </w:rPr>
        <w:t>五、采购需求</w:t>
      </w:r>
    </w:p>
    <w:p w14:paraId="636C55FA">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采 购 需 求</w:t>
      </w:r>
    </w:p>
    <w:tbl>
      <w:tblPr>
        <w:tblStyle w:val="10"/>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736"/>
        <w:gridCol w:w="1125"/>
        <w:gridCol w:w="5750"/>
      </w:tblGrid>
      <w:tr w14:paraId="651A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gridSpan w:val="4"/>
            <w:noWrap w:val="0"/>
            <w:vAlign w:val="top"/>
          </w:tcPr>
          <w:p w14:paraId="4B3543C0">
            <w:pPr>
              <w:spacing w:line="420" w:lineRule="exact"/>
              <w:jc w:val="left"/>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一、项目要求及技术需求</w:t>
            </w:r>
          </w:p>
        </w:tc>
      </w:tr>
      <w:tr w14:paraId="34F4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14:paraId="3A1E932C">
            <w:pPr>
              <w:spacing w:line="420" w:lineRule="exact"/>
              <w:jc w:val="center"/>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采购内容</w:t>
            </w:r>
          </w:p>
        </w:tc>
        <w:tc>
          <w:tcPr>
            <w:tcW w:w="736" w:type="dxa"/>
            <w:noWrap w:val="0"/>
            <w:vAlign w:val="top"/>
          </w:tcPr>
          <w:p w14:paraId="75B5A2B0">
            <w:pPr>
              <w:spacing w:line="420" w:lineRule="exact"/>
              <w:jc w:val="center"/>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单位</w:t>
            </w:r>
          </w:p>
        </w:tc>
        <w:tc>
          <w:tcPr>
            <w:tcW w:w="1125" w:type="dxa"/>
            <w:noWrap w:val="0"/>
            <w:vAlign w:val="top"/>
          </w:tcPr>
          <w:p w14:paraId="1F626079">
            <w:pPr>
              <w:spacing w:line="420" w:lineRule="exact"/>
              <w:jc w:val="center"/>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数量</w:t>
            </w:r>
          </w:p>
        </w:tc>
        <w:tc>
          <w:tcPr>
            <w:tcW w:w="5750" w:type="dxa"/>
            <w:noWrap w:val="0"/>
            <w:vAlign w:val="top"/>
          </w:tcPr>
          <w:p w14:paraId="5E11387C">
            <w:pPr>
              <w:spacing w:line="420" w:lineRule="exact"/>
              <w:jc w:val="center"/>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项目要求及技术需求</w:t>
            </w:r>
          </w:p>
        </w:tc>
      </w:tr>
      <w:tr w14:paraId="3999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14:paraId="631D583D">
            <w:pPr>
              <w:spacing w:line="420" w:lineRule="exact"/>
              <w:jc w:val="center"/>
              <w:rPr>
                <w:rFonts w:ascii="仿宋_GB2312" w:hAnsi="方正书宋_GBK" w:eastAsia="仿宋_GB2312" w:cs="方正书宋_GBK"/>
                <w:kern w:val="0"/>
                <w:sz w:val="24"/>
                <w:szCs w:val="24"/>
              </w:rPr>
            </w:pPr>
            <w:r>
              <w:rPr>
                <w:rFonts w:hint="eastAsia" w:ascii="仿宋_GB2312" w:hAnsi="Times New Roman" w:eastAsia="仿宋_GB2312" w:cs="Times New Roman"/>
                <w:kern w:val="0"/>
                <w:sz w:val="24"/>
                <w:szCs w:val="24"/>
              </w:rPr>
              <w:t>广西壮族自治区人民政府公报电子</w:t>
            </w:r>
            <w:r>
              <w:rPr>
                <w:rFonts w:hint="eastAsia" w:ascii="仿宋_GB2312" w:hAnsi="Times New Roman" w:eastAsia="仿宋_GB2312" w:cs="Times New Roman"/>
                <w:kern w:val="0"/>
                <w:sz w:val="24"/>
                <w:szCs w:val="24"/>
                <w:lang w:val="en-US" w:eastAsia="zh-CN"/>
              </w:rPr>
              <w:t>排</w:t>
            </w:r>
            <w:r>
              <w:rPr>
                <w:rFonts w:hint="eastAsia" w:ascii="仿宋_GB2312" w:hAnsi="Times New Roman" w:eastAsia="仿宋_GB2312" w:cs="Times New Roman"/>
                <w:kern w:val="0"/>
                <w:sz w:val="24"/>
                <w:szCs w:val="24"/>
              </w:rPr>
              <w:t>版</w:t>
            </w:r>
          </w:p>
        </w:tc>
        <w:tc>
          <w:tcPr>
            <w:tcW w:w="736" w:type="dxa"/>
            <w:noWrap w:val="0"/>
            <w:vAlign w:val="center"/>
          </w:tcPr>
          <w:p w14:paraId="641D3D26">
            <w:pPr>
              <w:spacing w:line="420" w:lineRule="exact"/>
              <w:jc w:val="center"/>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期</w:t>
            </w:r>
          </w:p>
        </w:tc>
        <w:tc>
          <w:tcPr>
            <w:tcW w:w="1125" w:type="dxa"/>
            <w:noWrap w:val="0"/>
            <w:vAlign w:val="center"/>
          </w:tcPr>
          <w:p w14:paraId="20E39A9C">
            <w:pPr>
              <w:spacing w:line="420" w:lineRule="exact"/>
              <w:jc w:val="center"/>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24期/年</w:t>
            </w:r>
          </w:p>
        </w:tc>
        <w:tc>
          <w:tcPr>
            <w:tcW w:w="5750" w:type="dxa"/>
            <w:noWrap w:val="0"/>
            <w:vAlign w:val="top"/>
          </w:tcPr>
          <w:p w14:paraId="45E71B0F">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b/>
                <w:bCs/>
                <w:kern w:val="0"/>
                <w:sz w:val="24"/>
                <w:szCs w:val="24"/>
              </w:rPr>
              <w:t>一、材料及制作要求</w:t>
            </w:r>
          </w:p>
          <w:p w14:paraId="646AF578">
            <w:pPr>
              <w:spacing w:line="420" w:lineRule="exact"/>
              <w:ind w:firstLine="480" w:firstLineChars="200"/>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封面2码，内页32码。投标时投标人须标明所用技术参数、规格等。</w:t>
            </w:r>
          </w:p>
          <w:p w14:paraId="565B8CCA">
            <w:pPr>
              <w:spacing w:line="420" w:lineRule="exact"/>
              <w:jc w:val="left"/>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二、排版、设计技术要求</w:t>
            </w:r>
          </w:p>
          <w:p w14:paraId="21833C73">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（一）刊物内文排版要求。</w:t>
            </w:r>
          </w:p>
          <w:p w14:paraId="636AA251">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1.页面设置：</w:t>
            </w:r>
          </w:p>
          <w:p w14:paraId="6FF34E8C">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成品尺寸：210mm×285mm</w:t>
            </w:r>
          </w:p>
          <w:p w14:paraId="221B3B7F">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页边距设置：上35mm、下30mm、左25mm、右18mm。</w:t>
            </w:r>
          </w:p>
          <w:p w14:paraId="4E6EE95C">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页眉设置：15mm</w:t>
            </w:r>
          </w:p>
          <w:p w14:paraId="09BF525B">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页脚设置：24mm</w:t>
            </w:r>
          </w:p>
          <w:p w14:paraId="7548C7A1">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2.排版版式：</w:t>
            </w:r>
          </w:p>
          <w:p w14:paraId="373A7C09">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通知类：一级标题、文号、二级标题、表格排通栏：通知排通栏，转发的通知排双栏。</w:t>
            </w:r>
          </w:p>
          <w:p w14:paraId="22B9E9B5">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非通知类：一级标题、文号、二级标题、表格排通栏；正文排双栏。</w:t>
            </w:r>
          </w:p>
          <w:p w14:paraId="7865BC17">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人事任免：排通栏 。</w:t>
            </w:r>
          </w:p>
          <w:p w14:paraId="2D81FDCD">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3.目录字号字体：</w:t>
            </w:r>
          </w:p>
          <w:p w14:paraId="43EAF5ED">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大标题：字号21磅；字体方正小标宋_GBK。</w:t>
            </w:r>
          </w:p>
          <w:p w14:paraId="7254F577">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主办单位、日期、期号等：字号小四号；字体方正黑体_GBK。</w:t>
            </w:r>
          </w:p>
          <w:p w14:paraId="60F16ECA">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目录标题：字号四号；字体方正黑体_GBK。</w:t>
            </w:r>
          </w:p>
          <w:p w14:paraId="75CE2C04">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栏目名：字号11.5磅；字体方正黑体_GBK。</w:t>
            </w:r>
          </w:p>
          <w:p w14:paraId="41BDDD6F">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目录正文：字号11.5磅；字体方正书宋_GBK。</w:t>
            </w:r>
          </w:p>
          <w:p w14:paraId="3ECA80D7">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4.目录行距设置：</w:t>
            </w:r>
          </w:p>
          <w:p w14:paraId="79A03ABD">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大标题：左右缩进0.2字符，固定值28磅。</w:t>
            </w:r>
          </w:p>
          <w:p w14:paraId="4EB0EC29">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主办单位、日期、期号等：固定值16磅。</w:t>
            </w:r>
          </w:p>
          <w:p w14:paraId="3E639B30">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目录标题：段前空1行，固定值16磅。</w:t>
            </w:r>
          </w:p>
          <w:p w14:paraId="1B01E053">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栏目名：首行缩进0.5字符，固定值18.3磅。</w:t>
            </w:r>
          </w:p>
          <w:p w14:paraId="6FF1747F">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目录正文：悬挂缩进1字符，固定值18.3磅。</w:t>
            </w:r>
          </w:p>
          <w:p w14:paraId="6540E629">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5.文件字体字号：</w:t>
            </w:r>
          </w:p>
          <w:p w14:paraId="79D46DF9">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书 眉：字号10.5磅；字体方正黑体_GBK。</w:t>
            </w:r>
          </w:p>
          <w:p w14:paraId="5BC7175B">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文件大标题：字号21磅；字体方正小标宋_GBK。</w:t>
            </w:r>
          </w:p>
          <w:p w14:paraId="3D575D52">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文 号：字号14磅；字体方正楷体_GBK。</w:t>
            </w:r>
          </w:p>
          <w:p w14:paraId="4B6AE85E">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转发文标题（或附件标题）：字号16磅；字体方正小标宋_GBK。</w:t>
            </w:r>
          </w:p>
          <w:p w14:paraId="1302CC27">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正文一级标题：字号11.5磅；字体方正黑体_GBK。</w:t>
            </w:r>
          </w:p>
          <w:p w14:paraId="09B1D0E0">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正文二级标题：字号11.5磅；字体方正楷体_GBK。</w:t>
            </w:r>
          </w:p>
          <w:p w14:paraId="39E2ADF2">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正 文：字号11.5磅；字体方正书宋_GBK。</w:t>
            </w:r>
          </w:p>
          <w:p w14:paraId="521E2090">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其中：通知字号11.5磅；字体方正楷体_GBK。</w:t>
            </w:r>
          </w:p>
          <w:p w14:paraId="245BAF0C">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正文表格：字号10.5磅；字体方正书宋_GBK。</w:t>
            </w:r>
          </w:p>
          <w:p w14:paraId="2AF1C956">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页码（左右码）：字号10.5磅；字体Times New Roman。</w:t>
            </w:r>
          </w:p>
          <w:p w14:paraId="7E295987">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6.正文行距设置：</w:t>
            </w:r>
          </w:p>
          <w:p w14:paraId="43B0A214">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书 眉：固定值13磅。</w:t>
            </w:r>
          </w:p>
          <w:p w14:paraId="6BB5216A">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文件大标题：固定值23-28磅（可根据版面调整）。</w:t>
            </w:r>
          </w:p>
          <w:p w14:paraId="2C5D310B">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文 号：固定值18.3磅。</w:t>
            </w:r>
          </w:p>
          <w:p w14:paraId="731A7602">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转发文标题（或附件标题）：固定值17.8-18.3磅（可根据版面调整）。</w:t>
            </w:r>
          </w:p>
          <w:p w14:paraId="7CD52931">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正    文：固定值18.3磅（可根据版面调整）。</w:t>
            </w:r>
          </w:p>
          <w:p w14:paraId="1A771003">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表    格：固定值14.5-15磅（可根据版面调整）。</w:t>
            </w:r>
          </w:p>
          <w:p w14:paraId="22FFF7BF">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（二）封面、封底设计。</w:t>
            </w:r>
          </w:p>
          <w:p w14:paraId="129A5422">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整体底色为白色。</w:t>
            </w:r>
          </w:p>
          <w:p w14:paraId="0FC54022">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1.封面设计：</w:t>
            </w:r>
          </w:p>
          <w:p w14:paraId="173514E2">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页面上方居中放置标准国徽图形，大小为52mm</w:t>
            </w:r>
            <w:r>
              <w:rPr>
                <w:rFonts w:hint="eastAsia" w:ascii="仿宋_GB2312" w:hAnsi="Arial" w:eastAsia="仿宋_GB2312" w:cs="Arial"/>
                <w:kern w:val="0"/>
                <w:sz w:val="24"/>
                <w:szCs w:val="24"/>
              </w:rPr>
              <w:t>×</w:t>
            </w:r>
            <w:r>
              <w:rPr>
                <w:rFonts w:hint="eastAsia" w:ascii="仿宋_GB2312" w:hAnsi="方正书宋_GBK" w:eastAsia="仿宋_GB2312" w:cs="方正书宋_GBK"/>
                <w:kern w:val="0"/>
                <w:sz w:val="24"/>
                <w:szCs w:val="24"/>
              </w:rPr>
              <w:t>46.6mm，国徽图形要求轮廓清晰完整，不可变形，颜色为金红二色，浮雕效果。</w:t>
            </w:r>
          </w:p>
          <w:p w14:paraId="2B94989E">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国徽下方放置“广西壮族自治区人民政府公报”字样，字体为经典特宋简，58磅，红色。</w:t>
            </w:r>
          </w:p>
          <w:p w14:paraId="33D9BC44">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页面下方放置年份，字体为方正粗倩简体，69.3磅，红色。</w:t>
            </w:r>
          </w:p>
          <w:p w14:paraId="4CE75226">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年份下方放置期数及总期数，字体为汉仪中黑简，14磅，黑色。</w:t>
            </w:r>
          </w:p>
          <w:p w14:paraId="07D49DA9">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2.封底设计：</w:t>
            </w:r>
          </w:p>
          <w:p w14:paraId="1EBF8C44">
            <w:pPr>
              <w:spacing w:line="400" w:lineRule="exact"/>
              <w:jc w:val="left"/>
              <w:rPr>
                <w:rFonts w:ascii="仿宋_GB2312" w:hAnsi="方正书宋_GBK" w:eastAsia="仿宋_GB2312" w:cs="方正书宋_GBK"/>
                <w:b/>
                <w:bCs/>
                <w:kern w:val="0"/>
                <w:sz w:val="24"/>
                <w:szCs w:val="24"/>
              </w:rPr>
            </w:pPr>
            <w:r>
              <w:rPr>
                <w:rFonts w:hint="eastAsia" w:ascii="仿宋_GB2312" w:hAnsi="方正书宋_GBK" w:eastAsia="仿宋_GB2312" w:cs="方正书宋_GBK"/>
                <w:kern w:val="0"/>
                <w:sz w:val="24"/>
                <w:szCs w:val="24"/>
              </w:rPr>
              <w:t>封底下方设置深绿色底纹，210mm</w:t>
            </w:r>
            <w:r>
              <w:rPr>
                <w:rFonts w:hint="eastAsia" w:ascii="仿宋_GB2312" w:hAnsi="Arial" w:eastAsia="仿宋_GB2312" w:cs="Arial"/>
                <w:kern w:val="0"/>
                <w:sz w:val="24"/>
                <w:szCs w:val="24"/>
              </w:rPr>
              <w:t>×</w:t>
            </w:r>
            <w:r>
              <w:rPr>
                <w:rFonts w:hint="eastAsia" w:ascii="仿宋_GB2312" w:hAnsi="方正书宋_GBK" w:eastAsia="仿宋_GB2312" w:cs="方正书宋_GBK"/>
                <w:kern w:val="0"/>
                <w:sz w:val="24"/>
                <w:szCs w:val="24"/>
              </w:rPr>
              <w:t>27mm，底纹上方左边放置条码，条码旁边放置刊物信息等，字体为汉仪中圆简，9磅，反白字。</w:t>
            </w:r>
          </w:p>
          <w:p w14:paraId="08AF2058">
            <w:pPr>
              <w:spacing w:line="400" w:lineRule="exact"/>
              <w:jc w:val="left"/>
              <w:rPr>
                <w:rFonts w:ascii="仿宋_GB2312" w:hAnsi="方正书宋_GBK" w:eastAsia="仿宋_GB2312" w:cs="方正书宋_GBK"/>
                <w:b/>
                <w:bCs/>
                <w:kern w:val="0"/>
                <w:sz w:val="24"/>
                <w:szCs w:val="24"/>
              </w:rPr>
            </w:pPr>
            <w:r>
              <w:rPr>
                <w:rFonts w:hint="eastAsia" w:ascii="仿宋_GB2312" w:hAnsi="方正书宋_GBK" w:eastAsia="仿宋_GB2312" w:cs="方正书宋_GBK"/>
                <w:b/>
                <w:bCs/>
                <w:kern w:val="0"/>
                <w:sz w:val="24"/>
                <w:szCs w:val="24"/>
              </w:rPr>
              <w:t>三、服务要求：</w:t>
            </w:r>
          </w:p>
          <w:p w14:paraId="660DDC48">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（一）稿件来源服务：</w:t>
            </w:r>
          </w:p>
          <w:p w14:paraId="4FED1B0E">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1.政府印发的文件稿由中标供应商按采购单位提出的渠道负责联系收集汇总送采购方选用，或根据采购方收集的文件稿汇总。</w:t>
            </w:r>
          </w:p>
          <w:p w14:paraId="2D5C7D5A">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2.部门印发的文件稿由中标供应商按采购单位提出的渠道负责自行收集，汇总后送采购方选用。</w:t>
            </w:r>
          </w:p>
          <w:p w14:paraId="2BAF218C">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（二）编辑制作服务：</w:t>
            </w:r>
          </w:p>
          <w:p w14:paraId="7CFD025F">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按网站设计目标分为两块内容。</w:t>
            </w:r>
          </w:p>
          <w:p w14:paraId="4798FE08">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1.提供《广西壮族自治区人民政府公报》电子版：</w:t>
            </w:r>
          </w:p>
          <w:p w14:paraId="32F019D0">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lang w:eastAsia="zh-CN"/>
              </w:rPr>
              <w:t>2024</w:t>
            </w:r>
            <w:r>
              <w:rPr>
                <w:rFonts w:hint="eastAsia" w:ascii="仿宋_GB2312" w:hAnsi="方正书宋_GBK" w:eastAsia="仿宋_GB2312" w:cs="方正书宋_GBK"/>
                <w:kern w:val="0"/>
                <w:sz w:val="24"/>
                <w:szCs w:val="24"/>
              </w:rPr>
              <w:t>年24期排版，每月制作《广西壮族自治区人民政府公报》电子版两期，每月中旬、下旬各制作一期。中标供应商负责按采购单位提供的材料和要求进行每期版面设计（含彩色封面设计和内页排版等，每期不超过32个页码，版面要适合PC客户端、手机客户端等多媒体阅读），一般情况下排版在1天内将样稿提供给采购单位审定。</w:t>
            </w:r>
          </w:p>
          <w:p w14:paraId="49DBABBA">
            <w:pPr>
              <w:numPr>
                <w:ilvl w:val="0"/>
                <w:numId w:val="1"/>
              </w:num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每期公报的终稿，目录设置页面跳转功能，生成带电子水印、电子签章等的PDF文件，要求做到安全可信、不可篡改，阅读页面需同时具备网页展示和手机展示的功能。定稿后1个工作日内按照指定文件格式上传至指定网络数据平台（包括自治区人民政府门户网站政府公报专栏、中国广西政府网微信公众号微发布平台，以及其他指定的官网和APP等）发布。</w:t>
            </w:r>
          </w:p>
          <w:p w14:paraId="1B15A74C">
            <w:pPr>
              <w:numPr>
                <w:ilvl w:val="0"/>
                <w:numId w:val="1"/>
              </w:num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配合网站在发布页面设置醒目的目录导航和便利的内容检索功能，便于用户检索和查找，确保达到指定的点击量。配合网站对发布页面进行后台数据运营管理维护，确保该网页信息内容管理安全、规范、高效，要定期对网站进行安全扫描巡检，对检测发现的漏洞进行技术修复和处理，防止链接故障，页面应具备防网络攻击、防广告跳转以及防内容篡改等功能，保障网页信息内容安全。做好该页面的整体规划和策划工作，加强其他省份同类网页的学习分析，收集公报发布的最新政策、案例，提供完善的运营工作方案给采购人。</w:t>
            </w:r>
          </w:p>
          <w:p w14:paraId="12D1D104">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c.配合网站对发布的网络页面进行日常检查，为该页面提供内容动态更新的监测巡查、内容纠错等服务，要定期巡检该网页站点、栏目、链接的可用性，要定期对用户评论区域进行舆情监测，重点巡查敏感观点、敏感词条等，提升网站组织回应社会热点问题的效率。</w:t>
            </w:r>
          </w:p>
          <w:p w14:paraId="04A9BA61">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d.配合采购人建立完善政府公报数据库并向公众开放，每期电子公报终稿上传至指定数据库，对已存储的历年电子公报链接进行巡检，提供文件检索功能。</w:t>
            </w:r>
          </w:p>
          <w:p w14:paraId="26E8D8DA">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对电子公报数据库进行定期备份，建立公报数据光盘库，达到30年数据可复原要求，在发生灾难需要恢复数据时能及时恢复。</w:t>
            </w:r>
          </w:p>
          <w:p w14:paraId="6590E368">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e.必须承诺按采购单位的要求随时修改刊物内容和版面，无条件提供发给网站的电子版（不包括按照不同印刷企业工艺进行的排版、制作、拼版、打样等工作）给公开中标纸质版公报的企业印制。</w:t>
            </w:r>
          </w:p>
          <w:p w14:paraId="4079FAF2">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2.提供《广西壮族自治区人民政府公报》电子书目录所对应的《广西壮族自治区人民政府办公厅公文管理系统》发文版的电子原文件、附件，原文件与《广西党政机关综合办公平台》和《广西壮族自治区人民政府办公厅公文管理系统》同步，原文件版面、格式严格按国家《党政机关公文格式》GB-T 9704-2012及《自治区人民政府及自治区人民政府办公厅常用公文格式样本》2017年10月修订版标准执行排版，由专门排版人员与自治区政府办公厅、政府相关部门进行对接收集、整理，收集到的文件由专门排版人员进行归档，提供上传公报网站服务。</w:t>
            </w:r>
          </w:p>
          <w:p w14:paraId="31BA9F54">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（三）校对服务要求：</w:t>
            </w:r>
          </w:p>
          <w:p w14:paraId="391F0931">
            <w:pPr>
              <w:spacing w:line="40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校对方面，排版完后必须经过黑马校对软件进行初校，初校无误后输出完整打印稿，进行人工二校、三校（核校），最终将校对无误的纸质样稿送客户确认签字。</w:t>
            </w:r>
          </w:p>
          <w:p w14:paraId="54E74215">
            <w:pPr>
              <w:spacing w:line="400" w:lineRule="exact"/>
              <w:jc w:val="left"/>
              <w:rPr>
                <w:rFonts w:ascii="仿宋_GB2312" w:hAnsi="方正书宋_GBK" w:eastAsia="仿宋_GB2312" w:cs="方正书宋_GBK"/>
                <w:bCs/>
                <w:kern w:val="0"/>
                <w:sz w:val="24"/>
                <w:szCs w:val="24"/>
              </w:rPr>
            </w:pPr>
            <w:r>
              <w:rPr>
                <w:rFonts w:hint="eastAsia" w:ascii="仿宋_GB2312" w:hAnsi="方正书宋_GBK" w:eastAsia="仿宋_GB2312" w:cs="方正书宋_GBK"/>
                <w:bCs/>
                <w:kern w:val="0"/>
                <w:sz w:val="24"/>
                <w:szCs w:val="24"/>
              </w:rPr>
              <w:t>校对差错率：零差错。</w:t>
            </w:r>
          </w:p>
          <w:p w14:paraId="0439F215">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（四）现场驻点服务要求：</w:t>
            </w:r>
          </w:p>
          <w:p w14:paraId="2F7BD092">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政府公报是政府机关发布政令的权威渠道，必须确保数据完整、准确、权威、安全、无差错，中标供应商应在采购单位至少安排专职人员一名（必须是保密人员</w:t>
            </w:r>
            <w:r>
              <w:rPr>
                <w:rFonts w:ascii="仿宋_GB2312" w:hAnsi="方正书宋_GBK" w:eastAsia="仿宋_GB2312" w:cs="方正书宋_GBK"/>
                <w:kern w:val="0"/>
                <w:sz w:val="24"/>
                <w:szCs w:val="24"/>
              </w:rPr>
              <w:t>）</w:t>
            </w:r>
            <w:r>
              <w:rPr>
                <w:rFonts w:hint="eastAsia" w:ascii="仿宋_GB2312" w:hAnsi="方正书宋_GBK" w:eastAsia="仿宋_GB2312" w:cs="方正书宋_GBK"/>
                <w:kern w:val="0"/>
                <w:sz w:val="24"/>
                <w:szCs w:val="24"/>
              </w:rPr>
              <w:t>负责排版设计，同时在采购单位配置排版设计专用图形工作站，以及电脑、打印机、扫描仪、复印机等设备现场服务，确保高质量制作服务。</w:t>
            </w:r>
          </w:p>
          <w:p w14:paraId="2C9CEC55">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（五）特别服务需求：</w:t>
            </w:r>
          </w:p>
          <w:p w14:paraId="49ACFF22">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kern w:val="0"/>
                <w:sz w:val="24"/>
                <w:szCs w:val="24"/>
              </w:rPr>
              <w:t>采购服务期满之际，应当协助采购单位延续次年度《广西壮族自治区人民政府公报》电子版编排工作，保证编排工作不停顿，直至下一中标商接手任务后再终止任务。采购服务期满后所延期的服务工作，采购单位要另外付费，按照每增加一期公报所产生的费用</w:t>
            </w:r>
            <w:r>
              <w:rPr>
                <w:rFonts w:hint="eastAsia" w:ascii="仿宋_GB2312" w:hAnsi="方正书宋_GBK" w:eastAsia="仿宋_GB2312" w:cs="方正书宋_GBK"/>
                <w:kern w:val="0"/>
                <w:sz w:val="24"/>
                <w:szCs w:val="24"/>
                <w:lang w:val="en-US" w:eastAsia="zh-CN"/>
              </w:rPr>
              <w:t>支付</w:t>
            </w:r>
            <w:r>
              <w:rPr>
                <w:rFonts w:hint="eastAsia" w:ascii="仿宋_GB2312" w:hAnsi="方正书宋_GBK" w:eastAsia="仿宋_GB2312" w:cs="方正书宋_GBK"/>
                <w:kern w:val="0"/>
                <w:sz w:val="24"/>
                <w:szCs w:val="24"/>
              </w:rPr>
              <w:t>（</w:t>
            </w:r>
            <w:r>
              <w:rPr>
                <w:rFonts w:hint="eastAsia" w:ascii="仿宋_GB2312" w:hAnsi="方正书宋_GBK" w:eastAsia="仿宋_GB2312" w:cs="方正书宋_GBK"/>
                <w:kern w:val="0"/>
                <w:sz w:val="24"/>
                <w:szCs w:val="24"/>
                <w:lang w:val="en-US" w:eastAsia="zh-CN"/>
              </w:rPr>
              <w:t>本次</w:t>
            </w:r>
            <w:r>
              <w:rPr>
                <w:rFonts w:hint="eastAsia" w:ascii="仿宋_GB2312" w:hAnsi="方正书宋_GBK" w:eastAsia="仿宋_GB2312" w:cs="方正书宋_GBK"/>
                <w:kern w:val="0"/>
                <w:sz w:val="24"/>
                <w:szCs w:val="24"/>
              </w:rPr>
              <w:t>中标总金额每期平均数），由新的中标供应商负责支付。如原服务单位继续中标，按新采购服务合同执行。</w:t>
            </w:r>
          </w:p>
          <w:p w14:paraId="703E8006">
            <w:pPr>
              <w:spacing w:line="420" w:lineRule="exact"/>
              <w:jc w:val="left"/>
              <w:rPr>
                <w:rFonts w:ascii="仿宋_GB2312" w:hAnsi="方正书宋_GBK" w:eastAsia="仿宋_GB2312" w:cs="方正书宋_GBK"/>
                <w:kern w:val="0"/>
                <w:sz w:val="24"/>
                <w:szCs w:val="24"/>
              </w:rPr>
            </w:pPr>
          </w:p>
        </w:tc>
      </w:tr>
      <w:tr w14:paraId="5924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1" w:type="dxa"/>
            <w:gridSpan w:val="4"/>
            <w:noWrap w:val="0"/>
            <w:vAlign w:val="center"/>
          </w:tcPr>
          <w:p w14:paraId="4A76D748">
            <w:pPr>
              <w:spacing w:line="420" w:lineRule="exact"/>
              <w:jc w:val="left"/>
              <w:rPr>
                <w:rFonts w:ascii="仿宋_GB2312" w:hAnsi="方正书宋_GBK" w:eastAsia="仿宋_GB2312" w:cs="方正书宋_GBK"/>
                <w:kern w:val="0"/>
                <w:sz w:val="24"/>
                <w:szCs w:val="24"/>
              </w:rPr>
            </w:pPr>
            <w:r>
              <w:rPr>
                <w:rFonts w:hint="eastAsia" w:ascii="宋体" w:hAnsi="宋体"/>
                <w:lang w:val="en-US" w:eastAsia="zh-CN"/>
              </w:rPr>
              <w:t>二、</w:t>
            </w:r>
            <w:r>
              <w:rPr>
                <w:rFonts w:hint="eastAsia" w:ascii="宋体" w:hAnsi="宋体"/>
              </w:rPr>
              <w:t>商务要求表</w:t>
            </w:r>
          </w:p>
        </w:tc>
      </w:tr>
      <w:tr w14:paraId="29BA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gridSpan w:val="3"/>
            <w:noWrap w:val="0"/>
            <w:vAlign w:val="center"/>
          </w:tcPr>
          <w:p w14:paraId="6DC23D09">
            <w:pPr>
              <w:spacing w:line="420" w:lineRule="exact"/>
              <w:jc w:val="center"/>
              <w:rPr>
                <w:rFonts w:hint="eastAsia" w:ascii="仿宋_GB2312" w:hAnsi="方正书宋_GBK" w:eastAsia="仿宋_GB2312" w:cs="方正书宋_GBK"/>
                <w:kern w:val="0"/>
                <w:sz w:val="24"/>
                <w:szCs w:val="24"/>
              </w:rPr>
            </w:pPr>
            <w:r>
              <w:rPr>
                <w:rFonts w:hint="eastAsia" w:ascii="宋体" w:hAnsi="宋体"/>
              </w:rPr>
              <w:t>提交服务成果时间及服务地点：</w:t>
            </w:r>
          </w:p>
        </w:tc>
        <w:tc>
          <w:tcPr>
            <w:tcW w:w="5750" w:type="dxa"/>
            <w:noWrap w:val="0"/>
            <w:vAlign w:val="top"/>
          </w:tcPr>
          <w:p w14:paraId="59143273">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color w:val="auto"/>
                <w:kern w:val="0"/>
                <w:sz w:val="24"/>
                <w:szCs w:val="24"/>
                <w:lang w:val="en-US" w:eastAsia="zh-CN"/>
              </w:rPr>
              <w:t>2024年24期《政府公报》电子版终稿需在政府公报纸质版印刷后5个工作日内上传至指定数据库（政府门户网站、广西政府网微信公众号等），对已存储的历年电子公报链接进行巡检，提供文件检索功能。直至下一中标商接手任务后再终止任务。采购服务期满后所延期的服务工作，采购单位要另外付费，按照每增加一期公报所产生的费用支付（本次中标总金额每期平均数），由新的中标供应商负责支付。如原服务单位继续中标，按新采购服务合同执行。</w:t>
            </w:r>
          </w:p>
        </w:tc>
      </w:tr>
      <w:tr w14:paraId="6484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gridSpan w:val="3"/>
            <w:noWrap w:val="0"/>
            <w:vAlign w:val="center"/>
          </w:tcPr>
          <w:p w14:paraId="31DF4BBF">
            <w:pPr>
              <w:spacing w:line="420" w:lineRule="exact"/>
              <w:jc w:val="center"/>
              <w:rPr>
                <w:rFonts w:hint="eastAsia" w:ascii="仿宋_GB2312" w:hAnsi="方正书宋_GBK" w:eastAsia="仿宋_GB2312" w:cs="方正书宋_GBK"/>
                <w:kern w:val="0"/>
                <w:sz w:val="24"/>
                <w:szCs w:val="24"/>
              </w:rPr>
            </w:pPr>
            <w:r>
              <w:rPr>
                <w:rFonts w:hint="eastAsia" w:ascii="宋体" w:hAnsi="宋体"/>
              </w:rPr>
              <w:t>付款条件</w:t>
            </w:r>
          </w:p>
        </w:tc>
        <w:tc>
          <w:tcPr>
            <w:tcW w:w="5750" w:type="dxa"/>
            <w:noWrap w:val="0"/>
            <w:vAlign w:val="top"/>
          </w:tcPr>
          <w:p w14:paraId="2B5AF2B7">
            <w:pPr>
              <w:spacing w:line="420" w:lineRule="exact"/>
              <w:jc w:val="left"/>
              <w:rPr>
                <w:rFonts w:hint="default" w:ascii="仿宋_GB2312" w:hAnsi="方正书宋_GBK" w:eastAsia="仿宋_GB2312" w:cs="方正书宋_GBK"/>
                <w:kern w:val="0"/>
                <w:sz w:val="24"/>
                <w:szCs w:val="24"/>
                <w:lang w:val="en"/>
              </w:rPr>
            </w:pPr>
            <w:r>
              <w:rPr>
                <w:rFonts w:hint="eastAsia" w:ascii="仿宋_GB2312" w:hAnsi="方正书宋_GBK" w:eastAsia="仿宋_GB2312" w:cs="方正书宋_GBK"/>
                <w:color w:val="auto"/>
                <w:kern w:val="0"/>
                <w:sz w:val="24"/>
                <w:szCs w:val="24"/>
                <w:lang w:val="en-US" w:eastAsia="zh-CN"/>
              </w:rPr>
              <w:t>甲方在签订合同后10个工作日内将50%款项支付给乙方；2024年11月将47%款项支付给乙方；2024年度《广西壮族自治区人民政府公报》电子版全部制作完成，并交付甲方，经甲方验收合格后支付3%尾款给乙方。每次付款前请提供发票和请款函。</w:t>
            </w:r>
          </w:p>
        </w:tc>
      </w:tr>
      <w:tr w14:paraId="7E2F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gridSpan w:val="3"/>
            <w:noWrap w:val="0"/>
            <w:vAlign w:val="center"/>
          </w:tcPr>
          <w:p w14:paraId="55D04D56">
            <w:pPr>
              <w:spacing w:line="420" w:lineRule="exact"/>
              <w:jc w:val="center"/>
              <w:rPr>
                <w:rFonts w:hint="eastAsia" w:ascii="仿宋_GB2312" w:hAnsi="方正书宋_GBK" w:eastAsia="仿宋_GB2312" w:cs="方正书宋_GBK"/>
                <w:kern w:val="0"/>
                <w:sz w:val="24"/>
                <w:szCs w:val="24"/>
              </w:rPr>
            </w:pPr>
            <w:r>
              <w:rPr>
                <w:rFonts w:hint="eastAsia" w:ascii="宋体" w:hAnsi="宋体"/>
              </w:rPr>
              <w:t>其他要求</w:t>
            </w:r>
          </w:p>
        </w:tc>
        <w:tc>
          <w:tcPr>
            <w:tcW w:w="5750" w:type="dxa"/>
            <w:noWrap w:val="0"/>
            <w:vAlign w:val="top"/>
          </w:tcPr>
          <w:p w14:paraId="0CC5B1B7">
            <w:pPr>
              <w:spacing w:line="420" w:lineRule="exact"/>
              <w:jc w:val="left"/>
              <w:rPr>
                <w:rFonts w:ascii="仿宋_GB2312" w:hAnsi="方正书宋_GBK" w:eastAsia="仿宋_GB2312" w:cs="方正书宋_GBK"/>
                <w:kern w:val="0"/>
                <w:sz w:val="24"/>
                <w:szCs w:val="24"/>
              </w:rPr>
            </w:pPr>
            <w:r>
              <w:rPr>
                <w:rFonts w:hint="eastAsia" w:ascii="仿宋_GB2312" w:hAnsi="方正书宋_GBK" w:eastAsia="仿宋_GB2312" w:cs="方正书宋_GBK"/>
                <w:color w:val="auto"/>
                <w:kern w:val="0"/>
                <w:sz w:val="24"/>
                <w:szCs w:val="24"/>
                <w:lang w:val="en-US" w:eastAsia="zh-CN"/>
              </w:rPr>
              <w:t>完成有关《政府公报》电子版其他要求事项。</w:t>
            </w:r>
          </w:p>
        </w:tc>
      </w:tr>
    </w:tbl>
    <w:p w14:paraId="64A8541B">
      <w:pPr>
        <w:adjustRightInd w:val="0"/>
        <w:snapToGrid w:val="0"/>
        <w:spacing w:line="52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六、报价人资格要求</w:t>
      </w:r>
    </w:p>
    <w:p w14:paraId="0993AA0D">
      <w:pPr>
        <w:adjustRightInd w:val="0"/>
        <w:snapToGrid w:val="0"/>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1.符合《中华人民共和国政府采购法》第二十二条的规定。</w:t>
      </w:r>
    </w:p>
    <w:p w14:paraId="2B2FB34A">
      <w:pPr>
        <w:adjustRightInd w:val="0"/>
        <w:snapToGrid w:val="0"/>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2</w:t>
      </w:r>
      <w:r>
        <w:rPr>
          <w:rFonts w:hint="eastAsia" w:ascii="仿宋_GB2312" w:hAnsi="Times New Roman" w:eastAsia="仿宋_GB2312" w:cs="Times New Roman"/>
          <w:sz w:val="30"/>
          <w:szCs w:val="30"/>
        </w:rPr>
        <w:t>.本项目不接受联合体报价。</w:t>
      </w:r>
    </w:p>
    <w:p w14:paraId="71C6583C">
      <w:pPr>
        <w:adjustRightInd w:val="0"/>
        <w:snapToGrid w:val="0"/>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3</w:t>
      </w:r>
      <w:r>
        <w:rPr>
          <w:rFonts w:hint="eastAsia" w:ascii="仿宋_GB2312" w:hAnsi="Times New Roman" w:eastAsia="仿宋_GB2312" w:cs="Times New Roman"/>
          <w:sz w:val="30"/>
          <w:szCs w:val="30"/>
        </w:rPr>
        <w:t>.对在“信用中国”网站(www.creditchina.gov.cn)、中国政府采购网(www.ccgp.gov.cn)等渠道列入失信被执行人、政府采购严重违法失信行为记录名单及其他不符合《中华人民共和国政府采购法》第二十二条规定条件的供应商，将被拒绝参与本次采购活动。</w:t>
      </w:r>
    </w:p>
    <w:p w14:paraId="566CC886">
      <w:pPr>
        <w:adjustRightInd w:val="0"/>
        <w:snapToGrid w:val="0"/>
        <w:spacing w:line="52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七、采购预算询价文件的获取</w:t>
      </w:r>
    </w:p>
    <w:p w14:paraId="642D4E81">
      <w:pPr>
        <w:adjustRightInd w:val="0"/>
        <w:snapToGrid w:val="0"/>
        <w:spacing w:line="520" w:lineRule="exact"/>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获取方式：请联系项目联系人</w:t>
      </w:r>
      <w:r>
        <w:rPr>
          <w:rFonts w:hint="eastAsia" w:ascii="仿宋_GB2312" w:hAnsi="Times New Roman" w:eastAsia="仿宋_GB2312" w:cs="Times New Roman"/>
          <w:sz w:val="30"/>
          <w:szCs w:val="30"/>
          <w:lang w:val="en-US" w:eastAsia="zh-CN"/>
        </w:rPr>
        <w:t>雷娴婷（</w:t>
      </w:r>
      <w:r>
        <w:rPr>
          <w:rFonts w:hint="eastAsia" w:ascii="仿宋_GB2312" w:hAnsi="Times New Roman" w:eastAsia="仿宋_GB2312" w:cs="Times New Roman"/>
          <w:sz w:val="30"/>
          <w:szCs w:val="30"/>
          <w:lang w:val="en" w:eastAsia="zh-CN"/>
        </w:rPr>
        <w:t>联系电话：</w:t>
      </w:r>
      <w:r>
        <w:rPr>
          <w:rFonts w:hint="eastAsia" w:ascii="仿宋_GB2312" w:hAnsi="Times New Roman" w:eastAsia="仿宋_GB2312" w:cs="Times New Roman"/>
          <w:sz w:val="30"/>
          <w:szCs w:val="30"/>
          <w:lang w:val="en-US" w:eastAsia="zh-CN"/>
        </w:rPr>
        <w:t>6116982）</w:t>
      </w:r>
      <w:r>
        <w:rPr>
          <w:rFonts w:hint="eastAsia" w:ascii="仿宋_GB2312" w:hAnsi="Times New Roman" w:eastAsia="仿宋_GB2312" w:cs="Times New Roman"/>
          <w:sz w:val="30"/>
          <w:szCs w:val="30"/>
        </w:rPr>
        <w:t>免费获取或自行下载；</w:t>
      </w:r>
    </w:p>
    <w:p w14:paraId="2FD08F0C">
      <w:pPr>
        <w:adjustRightInd w:val="0"/>
        <w:snapToGrid w:val="0"/>
        <w:spacing w:line="52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八、报价文件递交截止时间和地点</w:t>
      </w:r>
    </w:p>
    <w:p w14:paraId="70E3FAE0">
      <w:pPr>
        <w:adjustRightInd w:val="0"/>
        <w:snapToGrid w:val="0"/>
        <w:spacing w:line="52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报价人应于</w:t>
      </w:r>
      <w:r>
        <w:rPr>
          <w:rFonts w:hint="eastAsia" w:ascii="仿宋_GB2312" w:hAnsi="Times New Roman" w:eastAsia="仿宋_GB2312" w:cs="Times New Roman"/>
          <w:sz w:val="30"/>
          <w:szCs w:val="30"/>
          <w:lang w:eastAsia="zh-CN"/>
        </w:rPr>
        <w:t>2024</w:t>
      </w:r>
      <w:r>
        <w:rPr>
          <w:rFonts w:hint="eastAsia" w:ascii="仿宋_GB2312" w:hAnsi="Times New Roman" w:eastAsia="仿宋_GB2312" w:cs="Times New Roman"/>
          <w:sz w:val="30"/>
          <w:szCs w:val="30"/>
        </w:rPr>
        <w:t>年</w:t>
      </w:r>
      <w:r>
        <w:rPr>
          <w:rFonts w:hint="eastAsia" w:ascii="仿宋_GB2312" w:hAnsi="Times New Roman" w:eastAsia="仿宋_GB2312" w:cs="Times New Roman"/>
          <w:sz w:val="30"/>
          <w:szCs w:val="30"/>
          <w:lang w:val="en-US" w:eastAsia="zh-CN"/>
        </w:rPr>
        <w:t>7</w:t>
      </w:r>
      <w:r>
        <w:rPr>
          <w:rFonts w:hint="eastAsia" w:ascii="仿宋_GB2312" w:hAnsi="Times New Roman" w:eastAsia="仿宋_GB2312" w:cs="Times New Roman"/>
          <w:sz w:val="30"/>
          <w:szCs w:val="30"/>
        </w:rPr>
        <w:t>月</w:t>
      </w:r>
      <w:r>
        <w:rPr>
          <w:rFonts w:hint="eastAsia" w:ascii="仿宋_GB2312" w:hAnsi="Times New Roman" w:eastAsia="仿宋_GB2312" w:cs="Times New Roman"/>
          <w:sz w:val="30"/>
          <w:szCs w:val="30"/>
          <w:lang w:val="en-US" w:eastAsia="zh-CN"/>
        </w:rPr>
        <w:t>31</w:t>
      </w:r>
      <w:r>
        <w:rPr>
          <w:rFonts w:hint="eastAsia" w:ascii="仿宋_GB2312" w:hAnsi="Times New Roman" w:eastAsia="仿宋_GB2312" w:cs="Times New Roman"/>
          <w:sz w:val="30"/>
          <w:szCs w:val="30"/>
        </w:rPr>
        <w:t>日18时前，将报价文件密封提交或邮寄到广西壮族自治区大数据发展局办公室，逾期送达的将作无效报价文件处理。</w:t>
      </w:r>
    </w:p>
    <w:p w14:paraId="6CB453E5">
      <w:pPr>
        <w:jc w:val="right"/>
        <w:rPr>
          <w:rFonts w:ascii="仿宋_GB2312" w:eastAsia="仿宋_GB2312"/>
          <w:sz w:val="32"/>
          <w:szCs w:val="32"/>
        </w:rPr>
      </w:pPr>
      <w:r>
        <w:rPr>
          <w:rFonts w:hint="eastAsia" w:ascii="仿宋_GB2312" w:eastAsia="仿宋_GB2312"/>
          <w:sz w:val="32"/>
          <w:szCs w:val="32"/>
        </w:rPr>
        <w:t>广西壮族自治区大数据发展局</w:t>
      </w:r>
    </w:p>
    <w:p w14:paraId="3C9D3B61">
      <w:pPr>
        <w:jc w:val="center"/>
        <w:rPr>
          <w:rFonts w:ascii="仿宋_GB2312" w:hAnsi="Times New Roman" w:eastAsia="仿宋_GB2312" w:cs="Times New Roman"/>
          <w:sz w:val="30"/>
          <w:szCs w:val="30"/>
        </w:rPr>
      </w:pPr>
      <w:r>
        <w:rPr>
          <w:rFonts w:hint="eastAsia" w:ascii="仿宋_GB2312" w:eastAsia="仿宋_GB2312"/>
          <w:sz w:val="32"/>
          <w:szCs w:val="32"/>
        </w:rPr>
        <w:t xml:space="preserve">                               </w:t>
      </w:r>
      <w:r>
        <w:rPr>
          <w:rFonts w:hint="eastAsia" w:ascii="仿宋_GB2312" w:hAnsi="Times New Roman" w:eastAsia="仿宋_GB2312" w:cs="Times New Roman"/>
          <w:sz w:val="30"/>
          <w:szCs w:val="30"/>
        </w:rPr>
        <w:t xml:space="preserve"> </w:t>
      </w:r>
      <w:r>
        <w:rPr>
          <w:rFonts w:hint="eastAsia" w:ascii="仿宋_GB2312" w:hAnsi="Times New Roman" w:eastAsia="仿宋_GB2312" w:cs="Times New Roman"/>
          <w:sz w:val="30"/>
          <w:szCs w:val="30"/>
          <w:lang w:eastAsia="zh-CN"/>
        </w:rPr>
        <w:t>2024</w:t>
      </w:r>
      <w:r>
        <w:rPr>
          <w:rFonts w:hint="eastAsia" w:ascii="仿宋_GB2312" w:hAnsi="Times New Roman" w:eastAsia="仿宋_GB2312" w:cs="Times New Roman"/>
          <w:sz w:val="30"/>
          <w:szCs w:val="30"/>
        </w:rPr>
        <w:t>年月  日</w:t>
      </w:r>
    </w:p>
    <w:p w14:paraId="637ED3D8">
      <w:pPr>
        <w:rPr>
          <w:rFonts w:ascii="仿宋_GB2312" w:hAnsi="Times New Roman" w:eastAsia="仿宋_GB2312" w:cs="Times New Roman"/>
          <w:sz w:val="30"/>
          <w:szCs w:val="30"/>
        </w:rPr>
      </w:pPr>
    </w:p>
    <w:p w14:paraId="7738D7F1">
      <w:pPr>
        <w:rPr>
          <w:rFonts w:ascii="仿宋_GB2312" w:hAnsi="Times New Roman" w:eastAsia="仿宋_GB2312" w:cs="Times New Roman"/>
          <w:sz w:val="30"/>
          <w:szCs w:val="30"/>
        </w:rPr>
      </w:pPr>
    </w:p>
    <w:p w14:paraId="7CD79F8A">
      <w:pPr>
        <w:rPr>
          <w:rFonts w:ascii="仿宋_GB2312" w:hAnsi="Times New Roman" w:eastAsia="仿宋_GB2312" w:cs="Times New Roman"/>
          <w:sz w:val="30"/>
          <w:szCs w:val="30"/>
        </w:rPr>
      </w:pPr>
    </w:p>
    <w:p w14:paraId="034AA20E">
      <w:pPr>
        <w:rPr>
          <w:rFonts w:ascii="仿宋_GB2312" w:hAnsi="Times New Roman" w:eastAsia="仿宋_GB2312" w:cs="Times New Roman"/>
          <w:sz w:val="30"/>
          <w:szCs w:val="30"/>
        </w:rPr>
      </w:pPr>
    </w:p>
    <w:p w14:paraId="766AE685">
      <w:pPr>
        <w:rPr>
          <w:rFonts w:ascii="仿宋_GB2312" w:hAnsi="Times New Roman" w:eastAsia="仿宋_GB2312" w:cs="Times New Roman"/>
          <w:sz w:val="30"/>
          <w:szCs w:val="30"/>
        </w:rPr>
      </w:pPr>
    </w:p>
    <w:p w14:paraId="5A9959CF">
      <w:pPr>
        <w:rPr>
          <w:rFonts w:ascii="仿宋_GB2312" w:hAnsi="Times New Roman" w:eastAsia="仿宋_GB2312" w:cs="Times New Roman"/>
          <w:sz w:val="30"/>
          <w:szCs w:val="30"/>
        </w:rPr>
      </w:pPr>
    </w:p>
    <w:p w14:paraId="49AE772A">
      <w:pPr>
        <w:rPr>
          <w:rFonts w:ascii="仿宋_GB2312" w:hAnsi="Times New Roman" w:eastAsia="仿宋_GB2312" w:cs="Times New Roman"/>
          <w:sz w:val="30"/>
          <w:szCs w:val="30"/>
        </w:rPr>
      </w:pPr>
    </w:p>
    <w:p w14:paraId="4FC64D6B">
      <w:pPr>
        <w:rPr>
          <w:rFonts w:ascii="仿宋_GB2312" w:hAnsi="Times New Roman" w:eastAsia="仿宋_GB2312" w:cs="Times New Roman"/>
          <w:sz w:val="30"/>
          <w:szCs w:val="30"/>
        </w:rPr>
      </w:pPr>
    </w:p>
    <w:p w14:paraId="3287816E">
      <w:pPr>
        <w:rPr>
          <w:rFonts w:ascii="仿宋_GB2312" w:hAnsi="Times New Roman" w:eastAsia="仿宋_GB2312" w:cs="Times New Roman"/>
          <w:sz w:val="30"/>
          <w:szCs w:val="30"/>
        </w:rPr>
      </w:pPr>
    </w:p>
    <w:p w14:paraId="2D5C6EAF">
      <w:pPr>
        <w:rPr>
          <w:rFonts w:ascii="仿宋_GB2312" w:hAnsi="Times New Roman" w:eastAsia="仿宋_GB2312" w:cs="Times New Roman"/>
          <w:sz w:val="30"/>
          <w:szCs w:val="30"/>
        </w:rPr>
      </w:pPr>
    </w:p>
    <w:p w14:paraId="4638D365">
      <w:pPr>
        <w:rPr>
          <w:rFonts w:ascii="仿宋_GB2312" w:hAnsi="Times New Roman" w:eastAsia="仿宋_GB2312" w:cs="Times New Roman"/>
          <w:sz w:val="30"/>
          <w:szCs w:val="30"/>
        </w:rPr>
      </w:pPr>
    </w:p>
    <w:p w14:paraId="64188940">
      <w:pPr>
        <w:rPr>
          <w:rFonts w:ascii="仿宋_GB2312" w:hAnsi="Times New Roman" w:eastAsia="仿宋_GB2312" w:cs="Times New Roman"/>
          <w:sz w:val="30"/>
          <w:szCs w:val="30"/>
        </w:rPr>
      </w:pPr>
    </w:p>
    <w:p w14:paraId="5DDF967E">
      <w:pPr>
        <w:pStyle w:val="3"/>
        <w:adjustRightInd w:val="0"/>
        <w:snapToGrid w:val="0"/>
        <w:spacing w:line="570" w:lineRule="exact"/>
        <w:jc w:val="center"/>
        <w:rPr>
          <w:rFonts w:ascii="方正小标宋_GBK" w:hAnsi="宋体" w:eastAsia="方正小标宋_GBK"/>
          <w:b w:val="0"/>
        </w:rPr>
      </w:pPr>
      <w:r>
        <w:rPr>
          <w:rFonts w:hint="eastAsia" w:ascii="方正小标宋_GBK" w:hAnsi="宋体" w:eastAsia="方正小标宋_GBK"/>
          <w:b w:val="0"/>
        </w:rPr>
        <w:t>评标办法及评分标准</w:t>
      </w:r>
    </w:p>
    <w:p w14:paraId="21614F50">
      <w:pPr>
        <w:spacing w:line="400" w:lineRule="exact"/>
        <w:rPr>
          <w:rFonts w:ascii="宋体" w:hAnsi="宋体" w:eastAsia="宋体"/>
          <w:b/>
          <w:sz w:val="24"/>
          <w:szCs w:val="24"/>
        </w:rPr>
      </w:pPr>
    </w:p>
    <w:p w14:paraId="386AAC98">
      <w:pPr>
        <w:spacing w:line="500" w:lineRule="exact"/>
        <w:ind w:firstLine="560" w:firstLineChars="200"/>
        <w:rPr>
          <w:rFonts w:ascii="宋体" w:hAnsi="Courier New"/>
          <w:sz w:val="28"/>
          <w:szCs w:val="28"/>
        </w:rPr>
      </w:pPr>
      <w:r>
        <w:rPr>
          <w:rFonts w:hint="eastAsia" w:ascii="宋体" w:hAnsi="宋体"/>
          <w:sz w:val="28"/>
          <w:szCs w:val="28"/>
        </w:rPr>
        <w:t>本项目采用综合评分法。评标小组按照报价文件的有关规定和有关法律法规的规定，本着公正、科学、择优的原则，对初步审查合格的投标进行综合评议。评委评分</w:t>
      </w:r>
      <w:r>
        <w:rPr>
          <w:rFonts w:hint="eastAsia" w:ascii="宋体" w:hAnsi="宋体"/>
          <w:sz w:val="28"/>
          <w:szCs w:val="28"/>
          <w:lang w:eastAsia="zh-CN"/>
        </w:rPr>
        <w:t>、</w:t>
      </w:r>
      <w:r>
        <w:rPr>
          <w:rFonts w:hint="eastAsia" w:ascii="宋体" w:hAnsi="宋体"/>
          <w:sz w:val="28"/>
          <w:szCs w:val="28"/>
        </w:rPr>
        <w:t>评标最终得分</w:t>
      </w:r>
      <w:r>
        <w:rPr>
          <w:rFonts w:hint="eastAsia" w:ascii="宋体" w:hAnsi="宋体"/>
          <w:sz w:val="28"/>
          <w:szCs w:val="28"/>
          <w:lang w:val="en-US" w:eastAsia="zh-CN"/>
        </w:rPr>
        <w:t>均</w:t>
      </w:r>
      <w:r>
        <w:rPr>
          <w:rFonts w:hint="eastAsia" w:ascii="宋体" w:hAnsi="宋体"/>
          <w:sz w:val="28"/>
          <w:szCs w:val="28"/>
        </w:rPr>
        <w:t>保留2位小数。</w:t>
      </w:r>
    </w:p>
    <w:p w14:paraId="36D7A43B">
      <w:pPr>
        <w:spacing w:line="500" w:lineRule="exact"/>
        <w:ind w:firstLine="562" w:firstLineChars="200"/>
        <w:rPr>
          <w:rFonts w:ascii="宋体" w:hAnsi="宋体"/>
          <w:b/>
          <w:sz w:val="28"/>
          <w:szCs w:val="28"/>
        </w:rPr>
      </w:pPr>
      <w:r>
        <w:rPr>
          <w:rFonts w:hint="eastAsia" w:ascii="宋体" w:hAnsi="宋体"/>
          <w:b/>
          <w:sz w:val="28"/>
          <w:szCs w:val="28"/>
        </w:rPr>
        <w:t>1.价格分……………………………………………………20分</w:t>
      </w:r>
    </w:p>
    <w:p w14:paraId="18C85B17">
      <w:pPr>
        <w:ind w:firstLine="420" w:firstLineChars="150"/>
        <w:rPr>
          <w:rFonts w:hint="eastAsia" w:ascii="宋体" w:hAnsi="宋体" w:cs="宋体"/>
          <w:sz w:val="28"/>
          <w:szCs w:val="28"/>
        </w:rPr>
      </w:pPr>
      <w:r>
        <w:rPr>
          <w:rFonts w:hint="eastAsia" w:ascii="宋体" w:hAnsi="宋体"/>
          <w:sz w:val="28"/>
          <w:szCs w:val="28"/>
        </w:rPr>
        <w:t>（</w:t>
      </w:r>
      <w:r>
        <w:rPr>
          <w:sz w:val="28"/>
          <w:szCs w:val="28"/>
        </w:rPr>
        <w:t>1</w:t>
      </w:r>
      <w:r>
        <w:rPr>
          <w:rFonts w:hint="eastAsia" w:ascii="宋体" w:hAnsi="宋体"/>
          <w:sz w:val="28"/>
          <w:szCs w:val="28"/>
        </w:rPr>
        <w:t>）以进入综合评分环节的最低的投标报价为基准价，基准价报价得分为</w:t>
      </w:r>
      <w:r>
        <w:rPr>
          <w:sz w:val="28"/>
          <w:szCs w:val="28"/>
        </w:rPr>
        <w:t>20</w:t>
      </w:r>
      <w:r>
        <w:rPr>
          <w:rFonts w:hint="eastAsia" w:ascii="宋体" w:hAnsi="宋体"/>
          <w:sz w:val="28"/>
          <w:szCs w:val="28"/>
        </w:rPr>
        <w:t>分</w:t>
      </w:r>
      <w:r>
        <w:rPr>
          <w:rFonts w:hint="eastAsia" w:ascii="宋体" w:hAnsi="宋体"/>
          <w:sz w:val="28"/>
          <w:szCs w:val="28"/>
        </w:rPr>
        <w:br w:type="textWrapping"/>
      </w:r>
      <w:r>
        <w:rPr>
          <w:rFonts w:hint="default" w:ascii="宋体" w:hAnsi="宋体"/>
          <w:sz w:val="28"/>
          <w:szCs w:val="28"/>
          <w:lang w:val="en"/>
        </w:rPr>
        <w:t xml:space="preserve">  </w:t>
      </w:r>
      <w:r>
        <w:rPr>
          <w:rFonts w:hint="eastAsia" w:ascii="宋体" w:hAnsi="宋体" w:cs="宋体"/>
          <w:sz w:val="28"/>
          <w:szCs w:val="28"/>
        </w:rPr>
        <w:t>（</w:t>
      </w:r>
      <w:r>
        <w:rPr>
          <w:rFonts w:hint="default" w:ascii="宋体" w:hAnsi="宋体" w:cs="宋体"/>
          <w:sz w:val="28"/>
          <w:szCs w:val="28"/>
          <w:lang w:val="en"/>
        </w:rPr>
        <w:t>2</w:t>
      </w:r>
      <w:r>
        <w:rPr>
          <w:rFonts w:hint="eastAsia" w:ascii="宋体" w:hAnsi="宋体" w:cs="宋体"/>
          <w:sz w:val="28"/>
          <w:szCs w:val="28"/>
        </w:rPr>
        <w:t>）评标报价为投标人的投标报价进行政策性扣除后的价格，评标报价只是作为评标时使用。最终中标人的中标金额等于投标报价。</w:t>
      </w:r>
    </w:p>
    <w:p w14:paraId="089F6600">
      <w:pPr>
        <w:ind w:firstLine="280" w:firstLineChars="100"/>
        <w:rPr>
          <w:rFonts w:hint="eastAsia" w:ascii="宋体" w:hAnsi="宋体" w:cs="宋体"/>
          <w:sz w:val="28"/>
          <w:szCs w:val="28"/>
        </w:rPr>
      </w:pPr>
      <w:r>
        <w:rPr>
          <w:rFonts w:hint="eastAsia" w:ascii="宋体" w:hAnsi="宋体" w:cs="宋体"/>
          <w:sz w:val="28"/>
          <w:szCs w:val="28"/>
        </w:rPr>
        <w:t>（</w:t>
      </w:r>
      <w:r>
        <w:rPr>
          <w:rFonts w:hint="default" w:ascii="宋体" w:hAnsi="宋体" w:cs="宋体"/>
          <w:sz w:val="28"/>
          <w:szCs w:val="28"/>
          <w:lang w:val="en"/>
        </w:rPr>
        <w:t>3</w:t>
      </w:r>
      <w:r>
        <w:rPr>
          <w:rFonts w:hint="eastAsia" w:ascii="宋体" w:hAnsi="宋体" w:cs="宋体"/>
          <w:sz w:val="28"/>
          <w:szCs w:val="28"/>
        </w:rPr>
        <w:t>）按照《政府采购促进中小企业发展管理办法》（财库〔2020〕46号）的规定及《财政部关于进一步加大政府采购支持中小企业力度的通知》（财库〔2022〕19号）的规定，投标人为小型和微型企业，并在其投标文件中按财库〔2020〕46号规定的格式提供《中小企业声明函》，且其所投标产品全部为小型和微型企业产品的，对其投标价格给予10%的扣除。</w:t>
      </w:r>
    </w:p>
    <w:p w14:paraId="4A781FEF">
      <w:pPr>
        <w:ind w:firstLine="280" w:firstLineChars="100"/>
        <w:rPr>
          <w:rFonts w:hint="eastAsia" w:ascii="宋体" w:hAnsi="宋体" w:cs="宋体"/>
          <w:sz w:val="28"/>
          <w:szCs w:val="28"/>
        </w:rPr>
      </w:pPr>
      <w:r>
        <w:rPr>
          <w:rFonts w:hint="eastAsia" w:ascii="宋体" w:hAnsi="宋体" w:cs="宋体"/>
          <w:sz w:val="28"/>
          <w:szCs w:val="28"/>
        </w:rPr>
        <w:t>（</w:t>
      </w:r>
      <w:r>
        <w:rPr>
          <w:rFonts w:hint="default" w:ascii="宋体" w:hAnsi="宋体" w:cs="宋体"/>
          <w:sz w:val="28"/>
          <w:szCs w:val="28"/>
          <w:lang w:val="en"/>
        </w:rPr>
        <w:t>4</w:t>
      </w:r>
      <w:r>
        <w:rPr>
          <w:rFonts w:hint="eastAsia" w:ascii="宋体" w:hAnsi="宋体" w:cs="宋体"/>
          <w:sz w:val="28"/>
          <w:szCs w:val="28"/>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9F2D5F4">
      <w:pPr>
        <w:ind w:firstLine="280" w:firstLineChars="100"/>
        <w:rPr>
          <w:rFonts w:hint="eastAsia" w:ascii="宋体" w:hAnsi="宋体" w:cs="宋体"/>
          <w:sz w:val="28"/>
          <w:szCs w:val="28"/>
        </w:rPr>
      </w:pPr>
      <w:r>
        <w:rPr>
          <w:rFonts w:hint="eastAsia" w:ascii="宋体" w:hAnsi="宋体" w:cs="宋体"/>
          <w:sz w:val="28"/>
          <w:szCs w:val="28"/>
        </w:rPr>
        <w:t>（</w:t>
      </w:r>
      <w:r>
        <w:rPr>
          <w:rFonts w:hint="default" w:ascii="宋体" w:hAnsi="宋体" w:cs="宋体"/>
          <w:sz w:val="28"/>
          <w:szCs w:val="28"/>
          <w:lang w:val="en"/>
        </w:rPr>
        <w:t>5</w:t>
      </w:r>
      <w:r>
        <w:rPr>
          <w:rFonts w:hint="eastAsia" w:ascii="宋体" w:hAnsi="宋体" w:cs="宋体"/>
          <w:sz w:val="28"/>
          <w:szCs w:val="28"/>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41C7043">
      <w:pPr>
        <w:spacing w:line="240" w:lineRule="auto"/>
        <w:ind w:firstLine="280" w:firstLineChars="100"/>
        <w:rPr>
          <w:rFonts w:ascii="宋体" w:hAnsi="宋体"/>
          <w:sz w:val="28"/>
          <w:szCs w:val="28"/>
        </w:rPr>
      </w:pPr>
      <w:r>
        <w:rPr>
          <w:rFonts w:hint="eastAsia" w:ascii="宋体" w:hAnsi="宋体" w:cs="宋体"/>
          <w:sz w:val="28"/>
          <w:szCs w:val="28"/>
        </w:rPr>
        <w:t>（</w:t>
      </w:r>
      <w:r>
        <w:rPr>
          <w:rFonts w:hint="default" w:ascii="宋体" w:hAnsi="宋体" w:cs="宋体"/>
          <w:sz w:val="28"/>
          <w:szCs w:val="28"/>
          <w:lang w:val="en"/>
        </w:rPr>
        <w:t>6</w:t>
      </w:r>
      <w:r>
        <w:rPr>
          <w:rFonts w:hint="eastAsia" w:ascii="宋体" w:hAnsi="宋体" w:cs="宋体"/>
          <w:sz w:val="28"/>
          <w:szCs w:val="28"/>
        </w:rPr>
        <w:t>）政策性扣除计算方法。投标人被评定为监狱企业或残疾人福利性单位或小型和微型企业且其所投标全部产品为小型和微型企业产品的，该投标人的投标报价给予10%的扣除，扣除后的价格为评标报价，即评标报价=投标报价×（1-10%）；大中型企业和其他自然人、法人或者其他组织与小型、微型企业组成投标，且协议中约定小型、微型企业的协议合同金额占到联合体协议合同总金额 30%以上的，联合体投标价给予4%的扣除，扣除后的价格为评标价，即评标报价=投标报价×（1-4%）；除上述情况外，评标报价=投标报价。</w:t>
      </w:r>
    </w:p>
    <w:p w14:paraId="6DDA244F">
      <w:pPr>
        <w:spacing w:line="500" w:lineRule="exact"/>
        <w:ind w:firstLine="560" w:firstLineChars="200"/>
        <w:rPr>
          <w:rFonts w:ascii="Times New Roman" w:hAnsi="宋体"/>
          <w:sz w:val="28"/>
          <w:szCs w:val="28"/>
        </w:rPr>
      </w:pPr>
      <w:r>
        <w:rPr>
          <w:rFonts w:hint="eastAsia" w:ascii="宋体" w:hAnsi="宋体"/>
          <w:sz w:val="28"/>
          <w:szCs w:val="28"/>
        </w:rPr>
        <w:t>（</w:t>
      </w:r>
      <w:r>
        <w:rPr>
          <w:rFonts w:hint="default"/>
          <w:sz w:val="28"/>
          <w:szCs w:val="28"/>
          <w:lang w:val="en"/>
        </w:rPr>
        <w:t>7</w:t>
      </w:r>
      <w:r>
        <w:rPr>
          <w:rFonts w:hint="eastAsia" w:ascii="宋体" w:hAnsi="宋体"/>
          <w:sz w:val="28"/>
          <w:szCs w:val="28"/>
        </w:rPr>
        <w:t>）价格分计算公式：</w:t>
      </w:r>
    </w:p>
    <w:tbl>
      <w:tblPr>
        <w:tblStyle w:val="9"/>
        <w:tblW w:w="9570" w:type="dxa"/>
        <w:tblInd w:w="0" w:type="dxa"/>
        <w:tblLayout w:type="fixed"/>
        <w:tblCellMar>
          <w:top w:w="0" w:type="dxa"/>
          <w:left w:w="108" w:type="dxa"/>
          <w:bottom w:w="0" w:type="dxa"/>
          <w:right w:w="108" w:type="dxa"/>
        </w:tblCellMar>
      </w:tblPr>
      <w:tblGrid>
        <w:gridCol w:w="3190"/>
        <w:gridCol w:w="3190"/>
        <w:gridCol w:w="3190"/>
      </w:tblGrid>
      <w:tr w14:paraId="3E87371D">
        <w:tblPrEx>
          <w:tblCellMar>
            <w:top w:w="0" w:type="dxa"/>
            <w:left w:w="108" w:type="dxa"/>
            <w:bottom w:w="0" w:type="dxa"/>
            <w:right w:w="108" w:type="dxa"/>
          </w:tblCellMar>
        </w:tblPrEx>
        <w:tc>
          <w:tcPr>
            <w:tcW w:w="3190" w:type="dxa"/>
            <w:vMerge w:val="restart"/>
            <w:noWrap w:val="0"/>
            <w:vAlign w:val="center"/>
          </w:tcPr>
          <w:p w14:paraId="24865FA9">
            <w:pPr>
              <w:spacing w:line="500" w:lineRule="exact"/>
              <w:jc w:val="right"/>
              <w:rPr>
                <w:rFonts w:hAnsi="宋体"/>
                <w:sz w:val="28"/>
                <w:szCs w:val="28"/>
              </w:rPr>
            </w:pPr>
            <w:r>
              <w:rPr>
                <w:rFonts w:hint="eastAsia" w:ascii="宋体" w:hAnsi="宋体"/>
                <w:sz w:val="28"/>
                <w:szCs w:val="28"/>
              </w:rPr>
              <w:t>投标人价格分＝</w:t>
            </w:r>
          </w:p>
        </w:tc>
        <w:tc>
          <w:tcPr>
            <w:tcW w:w="3190" w:type="dxa"/>
            <w:tcBorders>
              <w:top w:val="nil"/>
              <w:left w:val="nil"/>
              <w:bottom w:val="single" w:color="auto" w:sz="4" w:space="0"/>
              <w:right w:val="nil"/>
            </w:tcBorders>
            <w:noWrap w:val="0"/>
            <w:vAlign w:val="top"/>
          </w:tcPr>
          <w:p w14:paraId="1816485B">
            <w:pPr>
              <w:spacing w:line="500" w:lineRule="exact"/>
              <w:jc w:val="center"/>
              <w:rPr>
                <w:rFonts w:hAnsi="宋体"/>
                <w:sz w:val="28"/>
                <w:szCs w:val="28"/>
              </w:rPr>
            </w:pPr>
            <w:r>
              <w:rPr>
                <w:rFonts w:hint="eastAsia" w:ascii="宋体" w:hAnsi="宋体"/>
                <w:sz w:val="28"/>
                <w:szCs w:val="28"/>
              </w:rPr>
              <w:t>基准价</w:t>
            </w:r>
          </w:p>
        </w:tc>
        <w:tc>
          <w:tcPr>
            <w:tcW w:w="3190" w:type="dxa"/>
            <w:vMerge w:val="restart"/>
            <w:noWrap w:val="0"/>
            <w:vAlign w:val="center"/>
          </w:tcPr>
          <w:p w14:paraId="30D5B315">
            <w:pPr>
              <w:spacing w:line="500" w:lineRule="exact"/>
              <w:rPr>
                <w:rFonts w:hAnsi="宋体"/>
                <w:sz w:val="28"/>
                <w:szCs w:val="28"/>
              </w:rPr>
            </w:pPr>
            <w:r>
              <w:rPr>
                <w:rFonts w:hint="eastAsia" w:ascii="宋体" w:hAnsi="宋体"/>
                <w:sz w:val="28"/>
                <w:szCs w:val="28"/>
              </w:rPr>
              <w:t>×2</w:t>
            </w:r>
            <w:r>
              <w:rPr>
                <w:sz w:val="28"/>
                <w:szCs w:val="28"/>
              </w:rPr>
              <w:t>0</w:t>
            </w:r>
            <w:r>
              <w:rPr>
                <w:rFonts w:hint="eastAsia" w:ascii="宋体" w:hAnsi="宋体"/>
                <w:sz w:val="28"/>
                <w:szCs w:val="28"/>
              </w:rPr>
              <w:t>分</w:t>
            </w:r>
          </w:p>
        </w:tc>
      </w:tr>
      <w:tr w14:paraId="3FE629AC">
        <w:tblPrEx>
          <w:tblCellMar>
            <w:top w:w="0" w:type="dxa"/>
            <w:left w:w="108" w:type="dxa"/>
            <w:bottom w:w="0" w:type="dxa"/>
            <w:right w:w="108" w:type="dxa"/>
          </w:tblCellMar>
        </w:tblPrEx>
        <w:tc>
          <w:tcPr>
            <w:tcW w:w="3190" w:type="dxa"/>
            <w:vMerge w:val="continue"/>
            <w:noWrap w:val="0"/>
            <w:vAlign w:val="center"/>
          </w:tcPr>
          <w:p w14:paraId="1388BF99">
            <w:pPr>
              <w:widowControl/>
              <w:jc w:val="left"/>
              <w:rPr>
                <w:rFonts w:hAnsi="宋体"/>
                <w:sz w:val="28"/>
                <w:szCs w:val="28"/>
              </w:rPr>
            </w:pPr>
          </w:p>
        </w:tc>
        <w:tc>
          <w:tcPr>
            <w:tcW w:w="3190" w:type="dxa"/>
            <w:tcBorders>
              <w:top w:val="single" w:color="auto" w:sz="4" w:space="0"/>
              <w:left w:val="nil"/>
              <w:bottom w:val="nil"/>
              <w:right w:val="nil"/>
            </w:tcBorders>
            <w:noWrap w:val="0"/>
            <w:vAlign w:val="top"/>
          </w:tcPr>
          <w:p w14:paraId="634F54D2">
            <w:pPr>
              <w:spacing w:line="500" w:lineRule="exact"/>
              <w:jc w:val="center"/>
              <w:rPr>
                <w:rFonts w:hAnsi="宋体"/>
                <w:sz w:val="28"/>
                <w:szCs w:val="28"/>
              </w:rPr>
            </w:pPr>
            <w:r>
              <w:rPr>
                <w:rFonts w:hint="eastAsia" w:ascii="宋体" w:hAnsi="宋体"/>
                <w:sz w:val="28"/>
                <w:szCs w:val="28"/>
              </w:rPr>
              <w:t>投标人投标报价金额</w:t>
            </w:r>
          </w:p>
        </w:tc>
        <w:tc>
          <w:tcPr>
            <w:tcW w:w="3190" w:type="dxa"/>
            <w:vMerge w:val="continue"/>
            <w:noWrap w:val="0"/>
            <w:vAlign w:val="center"/>
          </w:tcPr>
          <w:p w14:paraId="645B1F30">
            <w:pPr>
              <w:widowControl/>
              <w:jc w:val="left"/>
              <w:rPr>
                <w:rFonts w:hAnsi="宋体"/>
                <w:sz w:val="28"/>
                <w:szCs w:val="28"/>
              </w:rPr>
            </w:pPr>
          </w:p>
        </w:tc>
      </w:tr>
    </w:tbl>
    <w:p w14:paraId="4D0AE453">
      <w:pPr>
        <w:pStyle w:val="5"/>
        <w:spacing w:line="500" w:lineRule="exact"/>
        <w:ind w:firstLine="562" w:firstLineChars="200"/>
        <w:jc w:val="left"/>
        <w:outlineLvl w:val="0"/>
        <w:rPr>
          <w:rFonts w:hAnsi="宋体"/>
          <w:b/>
          <w:sz w:val="28"/>
          <w:szCs w:val="28"/>
        </w:rPr>
      </w:pPr>
    </w:p>
    <w:p w14:paraId="393928B1">
      <w:pPr>
        <w:spacing w:line="440" w:lineRule="exact"/>
        <w:ind w:firstLine="420" w:firstLineChars="200"/>
        <w:rPr>
          <w:rFonts w:ascii="宋体" w:hAnsi="宋体"/>
          <w:b/>
          <w:sz w:val="24"/>
          <w:szCs w:val="24"/>
        </w:rPr>
      </w:pPr>
      <w:r>
        <w:rPr>
          <w:rFonts w:hint="eastAsia" w:ascii="宋体" w:hAnsi="宋体"/>
          <w:bCs/>
        </w:rPr>
        <w:t>特别说明：评标委员会认为投标人的投标报价明显低于其他通过符合性审查投标人的投标报价，有可能影响产品质量或者不能诚信履约的，应当要求其在评标现场合理的时间内提供书面说明，必要时提交相关证明材料（相关证明材料为</w:t>
      </w:r>
      <w:r>
        <w:rPr>
          <w:rFonts w:hint="eastAsia" w:ascii="宋体" w:hAnsi="宋体"/>
          <w:bCs/>
          <w:lang w:val="en-US" w:eastAsia="zh-CN"/>
        </w:rPr>
        <w:t>下列材料之一</w:t>
      </w:r>
      <w:r>
        <w:rPr>
          <w:rFonts w:hint="eastAsia" w:ascii="宋体" w:hAnsi="宋体"/>
          <w:bCs/>
        </w:rPr>
        <w:t>：①行政机构税务部门开具的拟派项目人员的《依法缴纳个人所得税或依法免缴个人所得税的凭证</w:t>
      </w:r>
      <w:r>
        <w:rPr>
          <w:rFonts w:hint="eastAsia"/>
          <w:bCs/>
        </w:rPr>
        <w:t>(</w:t>
      </w:r>
      <w:r>
        <w:rPr>
          <w:rFonts w:hint="eastAsia" w:ascii="宋体" w:hAnsi="宋体"/>
          <w:bCs/>
        </w:rPr>
        <w:t>与本次投标拟派项目人员所提供社保同月份</w:t>
      </w:r>
      <w:r>
        <w:rPr>
          <w:rFonts w:hint="eastAsia"/>
          <w:bCs/>
        </w:rPr>
        <w:t>)</w:t>
      </w:r>
      <w:r>
        <w:rPr>
          <w:rFonts w:hint="eastAsia" w:ascii="宋体" w:hAnsi="宋体"/>
          <w:bCs/>
        </w:rPr>
        <w:t>》；②</w:t>
      </w:r>
      <w:bookmarkStart w:id="0" w:name="_Hlk127825101"/>
      <w:r>
        <w:rPr>
          <w:rFonts w:hint="eastAsia"/>
          <w:bCs/>
        </w:rPr>
        <w:t>202</w:t>
      </w:r>
      <w:r>
        <w:rPr>
          <w:rFonts w:hint="eastAsia"/>
          <w:bCs/>
          <w:lang w:val="en-US" w:eastAsia="zh-CN"/>
        </w:rPr>
        <w:t>2</w:t>
      </w:r>
      <w:r>
        <w:rPr>
          <w:rFonts w:hint="eastAsia" w:ascii="宋体" w:hAnsi="宋体"/>
          <w:bCs/>
        </w:rPr>
        <w:t>年度</w:t>
      </w:r>
      <w:r>
        <w:rPr>
          <w:rFonts w:hint="eastAsia" w:ascii="宋体" w:hAnsi="宋体"/>
          <w:bCs/>
          <w:lang w:val="en-US" w:eastAsia="zh-CN"/>
        </w:rPr>
        <w:t>或2023年度</w:t>
      </w:r>
      <w:r>
        <w:rPr>
          <w:rFonts w:hint="eastAsia" w:ascii="宋体" w:hAnsi="宋体"/>
          <w:bCs/>
        </w:rPr>
        <w:t>经第三方具备审计资质的机构出具的审计报告</w:t>
      </w:r>
      <w:bookmarkEnd w:id="0"/>
      <w:r>
        <w:rPr>
          <w:rFonts w:hint="eastAsia" w:ascii="宋体" w:hAnsi="宋体"/>
          <w:bCs/>
        </w:rPr>
        <w:t>（包括其固定资产成本及折旧、管理成本、人工费成本（如人员工资、奖金、福利及差旅等费用）、税收等所有成本及利润）复印件（原件现场核查）；③投标人在</w:t>
      </w:r>
      <w:r>
        <w:rPr>
          <w:rFonts w:hint="eastAsia" w:ascii="宋体" w:hAnsi="宋体"/>
          <w:bCs/>
          <w:lang w:eastAsia="zh-CN"/>
        </w:rPr>
        <w:t>近三年内</w:t>
      </w:r>
      <w:r>
        <w:rPr>
          <w:rFonts w:hint="eastAsia" w:ascii="宋体" w:hAnsi="宋体"/>
          <w:bCs/>
        </w:rPr>
        <w:t>至少承接过三个类似服务业绩</w:t>
      </w:r>
      <w:r>
        <w:rPr>
          <w:rFonts w:hint="eastAsia"/>
          <w:bCs/>
        </w:rPr>
        <w:t>(</w:t>
      </w:r>
      <w:r>
        <w:rPr>
          <w:rFonts w:hint="eastAsia" w:ascii="宋体" w:hAnsi="宋体"/>
          <w:bCs/>
        </w:rPr>
        <w:t>已通过合格验收的项目</w:t>
      </w:r>
      <w:r>
        <w:rPr>
          <w:rFonts w:hint="eastAsia"/>
          <w:bCs/>
        </w:rPr>
        <w:t>)</w:t>
      </w:r>
      <w:r>
        <w:rPr>
          <w:rFonts w:hint="eastAsia" w:ascii="宋体" w:hAnsi="宋体"/>
          <w:bCs/>
        </w:rPr>
        <w:t>的费用成本组成明细（并提供该中标通知书原件及合同原件进行现场核查）；</w:t>
      </w:r>
      <w:r>
        <w:rPr>
          <w:rFonts w:hint="eastAsia" w:ascii="宋体" w:hAnsi="宋体"/>
          <w:bCs/>
          <w:lang w:eastAsia="zh-CN"/>
        </w:rPr>
        <w:t>；</w:t>
      </w:r>
      <w:r>
        <w:rPr>
          <w:rFonts w:hint="default" w:ascii="Calibri" w:hAnsi="Calibri" w:cs="Calibri"/>
          <w:bCs/>
          <w:lang w:eastAsia="zh-CN"/>
        </w:rPr>
        <w:t>④</w:t>
      </w:r>
      <w:r>
        <w:rPr>
          <w:rFonts w:hint="eastAsia" w:ascii="宋体" w:hAnsi="宋体"/>
          <w:bCs/>
          <w:lang w:val="en-US" w:eastAsia="zh-CN"/>
        </w:rPr>
        <w:t>其他可以证明报价合理性的材料。</w:t>
      </w:r>
      <w:r>
        <w:rPr>
          <w:rFonts w:hint="eastAsia" w:ascii="宋体" w:hAnsi="宋体"/>
          <w:bCs/>
        </w:rPr>
        <w:t>投标人不能证明其投标报价合理性的，评标委员会应当将其作为无效投标处理。</w:t>
      </w:r>
    </w:p>
    <w:p w14:paraId="5E3746B5">
      <w:pPr>
        <w:pStyle w:val="5"/>
        <w:spacing w:line="500" w:lineRule="exact"/>
        <w:ind w:firstLine="562" w:firstLineChars="200"/>
        <w:jc w:val="left"/>
        <w:outlineLvl w:val="0"/>
        <w:rPr>
          <w:rFonts w:hAnsi="宋体"/>
          <w:b/>
          <w:sz w:val="28"/>
          <w:szCs w:val="28"/>
        </w:rPr>
      </w:pPr>
    </w:p>
    <w:p w14:paraId="06E544D3">
      <w:pPr>
        <w:pStyle w:val="5"/>
        <w:spacing w:line="500" w:lineRule="exact"/>
        <w:ind w:firstLine="562" w:firstLineChars="200"/>
        <w:jc w:val="left"/>
        <w:outlineLvl w:val="0"/>
        <w:rPr>
          <w:rFonts w:hAnsi="宋体"/>
          <w:b/>
          <w:sz w:val="28"/>
          <w:szCs w:val="28"/>
        </w:rPr>
      </w:pPr>
      <w:r>
        <w:rPr>
          <w:rFonts w:hint="eastAsia" w:hAnsi="宋体"/>
          <w:b/>
          <w:sz w:val="28"/>
          <w:szCs w:val="28"/>
        </w:rPr>
        <w:t>2.技术</w:t>
      </w:r>
      <w:r>
        <w:rPr>
          <w:rFonts w:hint="eastAsia" w:hAnsi="宋体"/>
          <w:b/>
          <w:sz w:val="28"/>
          <w:szCs w:val="28"/>
          <w:lang w:val="en-US" w:eastAsia="zh-CN"/>
        </w:rPr>
        <w:t>实施方案</w:t>
      </w:r>
      <w:r>
        <w:rPr>
          <w:rFonts w:hint="eastAsia" w:hAnsi="宋体"/>
          <w:b/>
          <w:sz w:val="28"/>
          <w:szCs w:val="28"/>
        </w:rPr>
        <w:t>……………………………………………………50分</w:t>
      </w:r>
    </w:p>
    <w:p w14:paraId="50EDE65C">
      <w:pPr>
        <w:pStyle w:val="5"/>
        <w:spacing w:line="500" w:lineRule="exact"/>
        <w:ind w:firstLine="560" w:firstLineChars="200"/>
        <w:rPr>
          <w:rFonts w:hAnsi="宋体"/>
          <w:sz w:val="28"/>
          <w:szCs w:val="28"/>
        </w:rPr>
      </w:pPr>
      <w:r>
        <w:rPr>
          <w:rFonts w:hint="eastAsia" w:hAnsi="宋体"/>
          <w:bCs/>
          <w:sz w:val="28"/>
          <w:szCs w:val="28"/>
        </w:rPr>
        <w:t>由评委在打分前根据招标文件中技术性能要求，在相应档次内独立打分。</w:t>
      </w:r>
    </w:p>
    <w:p w14:paraId="697495A4">
      <w:pPr>
        <w:pStyle w:val="5"/>
        <w:spacing w:line="500" w:lineRule="exact"/>
        <w:ind w:firstLine="560" w:firstLineChars="200"/>
        <w:rPr>
          <w:rFonts w:hAnsi="宋体"/>
          <w:sz w:val="28"/>
          <w:szCs w:val="28"/>
        </w:rPr>
      </w:pPr>
      <w:r>
        <w:rPr>
          <w:rFonts w:hint="eastAsia" w:hAnsi="宋体"/>
          <w:sz w:val="28"/>
          <w:szCs w:val="28"/>
        </w:rPr>
        <w:t>一档（</w:t>
      </w:r>
      <w:r>
        <w:rPr>
          <w:rFonts w:hint="eastAsia" w:hAnsi="宋体"/>
          <w:bCs/>
          <w:sz w:val="28"/>
          <w:szCs w:val="28"/>
        </w:rPr>
        <w:t>10</w:t>
      </w:r>
      <w:r>
        <w:rPr>
          <w:rFonts w:hint="eastAsia" w:hAnsi="宋体"/>
          <w:sz w:val="28"/>
          <w:szCs w:val="28"/>
        </w:rPr>
        <w:t>分）：技术响应基本满足招标文件要求的。</w:t>
      </w:r>
    </w:p>
    <w:p w14:paraId="01F35D98">
      <w:pPr>
        <w:pStyle w:val="5"/>
        <w:spacing w:line="500" w:lineRule="exact"/>
        <w:ind w:firstLine="560" w:firstLineChars="200"/>
        <w:rPr>
          <w:rFonts w:hAnsi="宋体"/>
          <w:bCs/>
          <w:sz w:val="28"/>
          <w:szCs w:val="28"/>
        </w:rPr>
      </w:pPr>
      <w:r>
        <w:rPr>
          <w:rFonts w:hint="eastAsia" w:hAnsi="宋体"/>
          <w:bCs/>
          <w:sz w:val="28"/>
          <w:szCs w:val="28"/>
        </w:rPr>
        <w:t>二档：（20分）针对招标服务内容及要求提供技术实施方案，且方案可以</w:t>
      </w:r>
      <w:r>
        <w:rPr>
          <w:rFonts w:hint="eastAsia" w:hAnsi="宋体"/>
          <w:bCs/>
          <w:sz w:val="28"/>
          <w:szCs w:val="28"/>
          <w:lang w:val="en-US" w:eastAsia="zh-CN"/>
        </w:rPr>
        <w:t>较好地</w:t>
      </w:r>
      <w:r>
        <w:rPr>
          <w:rFonts w:hint="eastAsia" w:hAnsi="宋体"/>
          <w:bCs/>
          <w:sz w:val="28"/>
          <w:szCs w:val="28"/>
        </w:rPr>
        <w:t>满足采购需求。</w:t>
      </w:r>
    </w:p>
    <w:p w14:paraId="23A93B5B">
      <w:pPr>
        <w:pStyle w:val="5"/>
        <w:spacing w:line="500" w:lineRule="exact"/>
        <w:ind w:firstLine="560" w:firstLineChars="200"/>
        <w:rPr>
          <w:rFonts w:hAnsi="宋体"/>
          <w:bCs/>
          <w:sz w:val="28"/>
          <w:szCs w:val="28"/>
        </w:rPr>
      </w:pPr>
      <w:r>
        <w:rPr>
          <w:rFonts w:hint="eastAsia" w:hAnsi="宋体"/>
          <w:bCs/>
          <w:sz w:val="28"/>
          <w:szCs w:val="28"/>
        </w:rPr>
        <w:t>三档：（</w:t>
      </w:r>
      <w:r>
        <w:rPr>
          <w:rFonts w:hint="eastAsia" w:hAnsi="宋体"/>
          <w:sz w:val="28"/>
          <w:szCs w:val="28"/>
        </w:rPr>
        <w:t>30</w:t>
      </w:r>
      <w:r>
        <w:rPr>
          <w:rFonts w:hint="eastAsia" w:hAnsi="宋体"/>
          <w:bCs/>
          <w:sz w:val="28"/>
          <w:szCs w:val="28"/>
        </w:rPr>
        <w:t>分）针对招标服务内容及要求提供技术实施方案，</w:t>
      </w:r>
      <w:r>
        <w:rPr>
          <w:rFonts w:hint="eastAsia" w:hAnsi="宋体"/>
          <w:bCs/>
          <w:sz w:val="28"/>
          <w:szCs w:val="28"/>
          <w:lang w:val="en-US" w:eastAsia="zh-CN"/>
        </w:rPr>
        <w:t>且方案满足采购需求，</w:t>
      </w:r>
      <w:r>
        <w:rPr>
          <w:rFonts w:hint="eastAsia" w:hAnsi="宋体"/>
          <w:bCs/>
          <w:sz w:val="28"/>
          <w:szCs w:val="28"/>
        </w:rPr>
        <w:t>电子公报目录设置页面跳转功能，生成带电子水印、电子签章等的PDF文件，按要求做到安全可信、不可篡改方案。并提供项目组织实施计划安排和人员安排。</w:t>
      </w:r>
    </w:p>
    <w:p w14:paraId="276DE72D">
      <w:pPr>
        <w:pStyle w:val="5"/>
        <w:spacing w:line="500" w:lineRule="exact"/>
        <w:ind w:firstLine="560" w:firstLineChars="200"/>
        <w:rPr>
          <w:rFonts w:hAnsi="宋体"/>
          <w:bCs/>
          <w:sz w:val="28"/>
          <w:szCs w:val="28"/>
        </w:rPr>
      </w:pPr>
      <w:r>
        <w:rPr>
          <w:rFonts w:hint="eastAsia" w:hAnsi="宋体"/>
          <w:bCs/>
          <w:sz w:val="28"/>
          <w:szCs w:val="28"/>
        </w:rPr>
        <w:t>四档：（50分）</w:t>
      </w:r>
      <w:r>
        <w:rPr>
          <w:rFonts w:hint="eastAsia" w:hAnsi="宋体"/>
          <w:bCs/>
          <w:sz w:val="28"/>
          <w:szCs w:val="28"/>
          <w:lang w:val="en-US" w:eastAsia="zh-CN"/>
        </w:rPr>
        <w:t>在第三档的基础上</w:t>
      </w:r>
      <w:r>
        <w:rPr>
          <w:rFonts w:hint="eastAsia" w:hAnsi="宋体"/>
          <w:bCs/>
          <w:sz w:val="28"/>
          <w:szCs w:val="28"/>
        </w:rPr>
        <w:t>针对招标服务内容及要求提供技术实施方案，方案根据目前政府机关单位公文处理情况和准确获取文件来源情况详细描述落实内容；原文件版面、格式严格按国家《党政机关公文格式》GB-T 9704-2012及《自治区人民政府及自治区人民政府办公厅常用公文格式样本》；电子公报目录设置页面跳转功能，生成带电子水印、电子签章等的PDF文件，按要求做到安全可信、不可篡改方案。并提供项目组织实施计划安排和人员安排。</w:t>
      </w:r>
    </w:p>
    <w:p w14:paraId="26D5ACD1">
      <w:pPr>
        <w:pStyle w:val="5"/>
        <w:spacing w:line="500" w:lineRule="exact"/>
        <w:ind w:firstLine="560" w:firstLineChars="200"/>
        <w:outlineLvl w:val="0"/>
        <w:rPr>
          <w:rFonts w:hAnsi="宋体"/>
          <w:b/>
          <w:sz w:val="28"/>
          <w:szCs w:val="28"/>
        </w:rPr>
      </w:pPr>
      <w:r>
        <w:rPr>
          <w:rFonts w:hint="eastAsia" w:hAnsi="宋体"/>
          <w:bCs/>
          <w:sz w:val="28"/>
          <w:szCs w:val="28"/>
        </w:rPr>
        <w:t>3.商务分</w:t>
      </w:r>
      <w:r>
        <w:rPr>
          <w:rFonts w:hint="eastAsia" w:hAnsi="宋体"/>
          <w:b/>
          <w:sz w:val="28"/>
          <w:szCs w:val="28"/>
        </w:rPr>
        <w:t>………………………………………………10分</w:t>
      </w:r>
    </w:p>
    <w:p w14:paraId="361E42A0">
      <w:pPr>
        <w:pStyle w:val="5"/>
        <w:spacing w:line="500" w:lineRule="exact"/>
        <w:ind w:firstLine="560" w:firstLineChars="200"/>
        <w:rPr>
          <w:rFonts w:hAnsi="宋体"/>
          <w:bCs/>
          <w:sz w:val="28"/>
          <w:szCs w:val="28"/>
        </w:rPr>
      </w:pPr>
      <w:r>
        <w:rPr>
          <w:rFonts w:hint="eastAsia" w:hAnsi="宋体"/>
          <w:bCs/>
          <w:sz w:val="28"/>
          <w:szCs w:val="28"/>
        </w:rPr>
        <w:t>所有证明材料均须在投标文件中提供复印件并加盖供应商公章，原件备查。</w:t>
      </w:r>
    </w:p>
    <w:p w14:paraId="3D25463E">
      <w:pPr>
        <w:pStyle w:val="5"/>
        <w:spacing w:line="500" w:lineRule="exact"/>
        <w:ind w:firstLine="560" w:firstLineChars="200"/>
        <w:rPr>
          <w:rFonts w:hint="eastAsia" w:hAnsi="宋体"/>
          <w:color w:val="auto"/>
          <w:sz w:val="28"/>
          <w:szCs w:val="28"/>
        </w:rPr>
      </w:pPr>
      <w:r>
        <w:rPr>
          <w:rFonts w:hint="eastAsia" w:hAnsi="宋体"/>
          <w:color w:val="auto"/>
          <w:sz w:val="28"/>
          <w:szCs w:val="28"/>
          <w:lang w:eastAsia="zh-CN"/>
        </w:rPr>
        <w:t>（</w:t>
      </w:r>
      <w:r>
        <w:rPr>
          <w:rFonts w:hint="eastAsia" w:hAnsi="宋体"/>
          <w:color w:val="auto"/>
          <w:sz w:val="28"/>
          <w:szCs w:val="28"/>
          <w:lang w:val="en-US" w:eastAsia="zh-CN"/>
        </w:rPr>
        <w:t>1</w:t>
      </w:r>
      <w:r>
        <w:rPr>
          <w:rFonts w:hint="eastAsia" w:hAnsi="宋体"/>
          <w:color w:val="auto"/>
          <w:sz w:val="28"/>
          <w:szCs w:val="28"/>
          <w:lang w:eastAsia="zh-CN"/>
        </w:rPr>
        <w:t>）</w:t>
      </w:r>
      <w:r>
        <w:rPr>
          <w:rFonts w:hint="eastAsia" w:hAnsi="宋体"/>
          <w:color w:val="auto"/>
          <w:sz w:val="28"/>
          <w:szCs w:val="28"/>
        </w:rPr>
        <w:t>20</w:t>
      </w:r>
      <w:r>
        <w:rPr>
          <w:rFonts w:hint="eastAsia" w:hAnsi="宋体"/>
          <w:color w:val="auto"/>
          <w:sz w:val="28"/>
          <w:szCs w:val="28"/>
          <w:lang w:val="en-US" w:eastAsia="zh-CN"/>
        </w:rPr>
        <w:t>20</w:t>
      </w:r>
      <w:r>
        <w:rPr>
          <w:rFonts w:hint="eastAsia" w:hAnsi="宋体"/>
          <w:color w:val="auto"/>
          <w:sz w:val="28"/>
          <w:szCs w:val="28"/>
        </w:rPr>
        <w:t>年以来，曾经服务过党政机关单位正式对社会发行的期刊</w:t>
      </w:r>
      <w:r>
        <w:rPr>
          <w:rFonts w:hint="eastAsia" w:hAnsi="宋体"/>
          <w:color w:val="auto"/>
          <w:sz w:val="28"/>
          <w:szCs w:val="28"/>
          <w:lang w:val="en-US" w:eastAsia="zh-CN"/>
        </w:rPr>
        <w:t>及电子版制作服务</w:t>
      </w:r>
      <w:r>
        <w:rPr>
          <w:rFonts w:hint="eastAsia" w:hAnsi="宋体"/>
          <w:color w:val="auto"/>
          <w:sz w:val="28"/>
          <w:szCs w:val="28"/>
        </w:rPr>
        <w:t>（以刊物获得出版局核发的准印手续为准，同时提供合同复印件或中标通知书或其他证明</w:t>
      </w:r>
      <w:r>
        <w:rPr>
          <w:rFonts w:hint="eastAsia" w:hAnsi="宋体"/>
          <w:color w:val="auto"/>
          <w:sz w:val="28"/>
          <w:szCs w:val="28"/>
          <w:lang w:val="en-US" w:eastAsia="zh-CN"/>
        </w:rPr>
        <w:t>材料</w:t>
      </w:r>
      <w:r>
        <w:rPr>
          <w:rFonts w:hint="eastAsia" w:hAnsi="宋体"/>
          <w:color w:val="auto"/>
          <w:sz w:val="28"/>
          <w:szCs w:val="28"/>
        </w:rPr>
        <w:t>），每提供一个给</w:t>
      </w:r>
      <w:r>
        <w:rPr>
          <w:rFonts w:hint="eastAsia" w:hAnsi="宋体"/>
          <w:color w:val="auto"/>
          <w:sz w:val="28"/>
          <w:szCs w:val="28"/>
          <w:lang w:val="en-US" w:eastAsia="zh-CN"/>
        </w:rPr>
        <w:t>1</w:t>
      </w:r>
      <w:r>
        <w:rPr>
          <w:rFonts w:hint="eastAsia" w:hAnsi="宋体"/>
          <w:color w:val="auto"/>
          <w:sz w:val="28"/>
          <w:szCs w:val="28"/>
        </w:rPr>
        <w:t>分，满分</w:t>
      </w:r>
      <w:r>
        <w:rPr>
          <w:rFonts w:hint="eastAsia" w:hAnsi="宋体"/>
          <w:color w:val="auto"/>
          <w:sz w:val="28"/>
          <w:szCs w:val="28"/>
          <w:lang w:val="en-US" w:eastAsia="zh-CN"/>
        </w:rPr>
        <w:t>3</w:t>
      </w:r>
      <w:r>
        <w:rPr>
          <w:rFonts w:hint="eastAsia" w:hAnsi="宋体"/>
          <w:color w:val="auto"/>
          <w:sz w:val="28"/>
          <w:szCs w:val="28"/>
        </w:rPr>
        <w:t>分。</w:t>
      </w:r>
    </w:p>
    <w:p w14:paraId="46C8DD7A">
      <w:pPr>
        <w:pStyle w:val="5"/>
        <w:spacing w:line="500" w:lineRule="exact"/>
        <w:ind w:firstLine="560" w:firstLineChars="200"/>
        <w:rPr>
          <w:rFonts w:hint="default" w:hAnsi="宋体" w:eastAsia="仿宋_GB2312"/>
          <w:color w:val="auto"/>
          <w:sz w:val="28"/>
          <w:szCs w:val="28"/>
          <w:lang w:val="en-US" w:eastAsia="zh-CN"/>
        </w:rPr>
      </w:pPr>
      <w:r>
        <w:rPr>
          <w:rFonts w:hint="eastAsia" w:hAnsi="宋体"/>
          <w:color w:val="auto"/>
          <w:sz w:val="28"/>
          <w:szCs w:val="28"/>
          <w:lang w:val="en-US" w:eastAsia="zh-CN"/>
        </w:rPr>
        <w:t>（2）项目服务团队中，项目负责人具有国家认证认可的相关领域高级职称的，给2分。项目人员具有国家认证认可的相关领域中级以上（含中级）职称的（以上人员需在响应文件中提供证书复印件），</w:t>
      </w:r>
      <w:r>
        <w:rPr>
          <w:rFonts w:hint="eastAsia" w:hAnsi="宋体"/>
          <w:color w:val="auto"/>
          <w:sz w:val="28"/>
          <w:szCs w:val="28"/>
        </w:rPr>
        <w:t>每提供一个给</w:t>
      </w:r>
      <w:r>
        <w:rPr>
          <w:rFonts w:hint="eastAsia" w:hAnsi="宋体"/>
          <w:color w:val="auto"/>
          <w:sz w:val="28"/>
          <w:szCs w:val="28"/>
          <w:lang w:val="en-US" w:eastAsia="zh-CN"/>
        </w:rPr>
        <w:t>1</w:t>
      </w:r>
      <w:r>
        <w:rPr>
          <w:rFonts w:hint="eastAsia" w:hAnsi="宋体"/>
          <w:color w:val="auto"/>
          <w:sz w:val="28"/>
          <w:szCs w:val="28"/>
        </w:rPr>
        <w:t>分，满分</w:t>
      </w:r>
      <w:r>
        <w:rPr>
          <w:rFonts w:hint="default" w:hAnsi="宋体"/>
          <w:color w:val="auto"/>
          <w:sz w:val="28"/>
          <w:szCs w:val="28"/>
          <w:lang w:val="en-US" w:eastAsia="zh-CN"/>
        </w:rPr>
        <w:t>3</w:t>
      </w:r>
      <w:r>
        <w:rPr>
          <w:rFonts w:hint="eastAsia" w:hAnsi="宋体"/>
          <w:color w:val="auto"/>
          <w:sz w:val="28"/>
          <w:szCs w:val="28"/>
        </w:rPr>
        <w:t>分。</w:t>
      </w:r>
      <w:r>
        <w:rPr>
          <w:rFonts w:hint="eastAsia" w:hAnsi="宋体"/>
          <w:color w:val="auto"/>
          <w:sz w:val="28"/>
          <w:szCs w:val="28"/>
          <w:lang w:val="en-US" w:eastAsia="zh-CN"/>
        </w:rPr>
        <w:t>本项满分5分。</w:t>
      </w:r>
    </w:p>
    <w:p w14:paraId="617534D6">
      <w:pPr>
        <w:pStyle w:val="5"/>
        <w:spacing w:line="500" w:lineRule="exact"/>
        <w:ind w:firstLine="560" w:firstLineChars="200"/>
        <w:rPr>
          <w:rFonts w:hAnsi="宋体"/>
          <w:bCs/>
          <w:sz w:val="28"/>
          <w:szCs w:val="28"/>
        </w:rPr>
      </w:pPr>
      <w:r>
        <w:rPr>
          <w:rFonts w:hint="eastAsia" w:hAnsi="宋体"/>
          <w:color w:val="auto"/>
          <w:sz w:val="28"/>
          <w:szCs w:val="28"/>
          <w:lang w:eastAsia="zh-CN"/>
        </w:rPr>
        <w:t>（</w:t>
      </w:r>
      <w:r>
        <w:rPr>
          <w:rFonts w:hint="eastAsia" w:hAnsi="宋体"/>
          <w:color w:val="auto"/>
          <w:sz w:val="28"/>
          <w:szCs w:val="28"/>
          <w:lang w:val="en-US" w:eastAsia="zh-CN"/>
        </w:rPr>
        <w:t>3</w:t>
      </w:r>
      <w:r>
        <w:rPr>
          <w:rFonts w:hint="eastAsia" w:hAnsi="宋体"/>
          <w:color w:val="auto"/>
          <w:sz w:val="28"/>
          <w:szCs w:val="28"/>
          <w:lang w:eastAsia="zh-CN"/>
        </w:rPr>
        <w:t>）</w:t>
      </w:r>
      <w:r>
        <w:rPr>
          <w:rFonts w:hint="eastAsia" w:hAnsi="宋体"/>
          <w:color w:val="auto"/>
          <w:sz w:val="28"/>
          <w:szCs w:val="28"/>
          <w:lang w:val="en-US" w:eastAsia="zh-CN"/>
        </w:rPr>
        <w:t>投标人具有专业</w:t>
      </w:r>
      <w:r>
        <w:rPr>
          <w:rFonts w:hint="eastAsia" w:hAnsi="宋体"/>
          <w:color w:val="FF0000"/>
          <w:sz w:val="28"/>
          <w:szCs w:val="28"/>
          <w:lang w:val="en-US" w:eastAsia="zh-CN"/>
        </w:rPr>
        <w:t>正版</w:t>
      </w:r>
      <w:r>
        <w:rPr>
          <w:rFonts w:hint="eastAsia" w:hAnsi="宋体"/>
          <w:color w:val="auto"/>
          <w:sz w:val="28"/>
          <w:szCs w:val="28"/>
          <w:lang w:val="en-US" w:eastAsia="zh-CN"/>
        </w:rPr>
        <w:t>排版软件、版式相关软件的，每提供一个给1分，满分2分</w:t>
      </w:r>
      <w:r>
        <w:rPr>
          <w:rFonts w:hint="eastAsia" w:hAnsi="宋体"/>
          <w:color w:val="auto"/>
          <w:sz w:val="28"/>
          <w:szCs w:val="28"/>
        </w:rPr>
        <w:t>（</w:t>
      </w:r>
      <w:r>
        <w:rPr>
          <w:rFonts w:hint="eastAsia" w:hAnsi="宋体"/>
          <w:color w:val="auto"/>
          <w:sz w:val="28"/>
          <w:szCs w:val="28"/>
          <w:lang w:val="en-US" w:eastAsia="zh-CN"/>
        </w:rPr>
        <w:t>提供</w:t>
      </w:r>
      <w:r>
        <w:rPr>
          <w:rFonts w:hint="eastAsia" w:hAnsi="宋体"/>
          <w:color w:val="auto"/>
          <w:sz w:val="28"/>
          <w:szCs w:val="28"/>
        </w:rPr>
        <w:t>扫描复印件或截图证明）；</w:t>
      </w:r>
    </w:p>
    <w:p w14:paraId="03D82897">
      <w:pPr>
        <w:pStyle w:val="5"/>
        <w:spacing w:line="500" w:lineRule="exact"/>
        <w:ind w:firstLine="562" w:firstLineChars="200"/>
        <w:outlineLvl w:val="0"/>
        <w:rPr>
          <w:rFonts w:hAnsi="宋体"/>
          <w:b/>
          <w:sz w:val="28"/>
          <w:szCs w:val="28"/>
        </w:rPr>
      </w:pPr>
      <w:r>
        <w:rPr>
          <w:rFonts w:hint="eastAsia" w:hAnsi="宋体"/>
          <w:b/>
          <w:sz w:val="28"/>
          <w:szCs w:val="28"/>
        </w:rPr>
        <w:t>4.售后服务分………………………………………………20分</w:t>
      </w:r>
    </w:p>
    <w:p w14:paraId="77E35F26">
      <w:pPr>
        <w:spacing w:line="500" w:lineRule="exact"/>
        <w:ind w:firstLine="560" w:firstLineChars="200"/>
        <w:outlineLvl w:val="0"/>
        <w:rPr>
          <w:rFonts w:ascii="宋体" w:hAnsi="宋体" w:cs="Courier New"/>
          <w:sz w:val="28"/>
          <w:szCs w:val="28"/>
          <w:shd w:val="clear" w:color="auto" w:fill="FFFFFF"/>
        </w:rPr>
      </w:pPr>
      <w:r>
        <w:rPr>
          <w:rFonts w:hint="eastAsia" w:ascii="宋体" w:hAnsi="宋体" w:cs="Courier New"/>
          <w:sz w:val="28"/>
          <w:szCs w:val="28"/>
        </w:rPr>
        <w:t>由评委根据投标人的售后服务方案，从定期回访、服务人员、接投诉通知到达现场的时间、出现质量问题承诺改正时间、相关实质性优惠措施等条件，</w:t>
      </w:r>
      <w:r>
        <w:rPr>
          <w:rFonts w:hint="eastAsia" w:hAnsi="宋体"/>
          <w:bCs/>
          <w:sz w:val="28"/>
          <w:szCs w:val="28"/>
        </w:rPr>
        <w:t>在相应档次内独立打分</w:t>
      </w:r>
      <w:r>
        <w:rPr>
          <w:rFonts w:hint="eastAsia" w:ascii="宋体" w:hAnsi="宋体" w:cs="Courier New"/>
          <w:sz w:val="28"/>
          <w:szCs w:val="28"/>
        </w:rPr>
        <w:t>。</w:t>
      </w:r>
    </w:p>
    <w:p w14:paraId="4CF59E7D">
      <w:pPr>
        <w:spacing w:line="500" w:lineRule="exact"/>
        <w:ind w:firstLine="560" w:firstLineChars="200"/>
        <w:outlineLvl w:val="0"/>
        <w:rPr>
          <w:rFonts w:ascii="宋体" w:hAnsi="宋体" w:cs="Courier New"/>
          <w:sz w:val="28"/>
          <w:szCs w:val="28"/>
          <w:shd w:val="clear" w:color="auto" w:fill="FFFFFF"/>
        </w:rPr>
      </w:pPr>
      <w:r>
        <w:rPr>
          <w:rFonts w:hint="eastAsia" w:ascii="宋体" w:hAnsi="宋体" w:cs="Courier New"/>
          <w:sz w:val="28"/>
          <w:szCs w:val="28"/>
          <w:shd w:val="clear" w:color="auto" w:fill="FFFFFF"/>
        </w:rPr>
        <w:t>一档（4分）：</w:t>
      </w:r>
      <w:r>
        <w:rPr>
          <w:rFonts w:hint="eastAsia" w:ascii="宋体" w:hAnsi="宋体"/>
          <w:sz w:val="28"/>
          <w:szCs w:val="28"/>
        </w:rPr>
        <w:t>售后服务方案一般，内容描述简单，可操作性不强。</w:t>
      </w:r>
    </w:p>
    <w:p w14:paraId="4A39A1A9">
      <w:pPr>
        <w:spacing w:line="500" w:lineRule="exact"/>
        <w:ind w:firstLine="560" w:firstLineChars="200"/>
        <w:outlineLvl w:val="0"/>
        <w:rPr>
          <w:rFonts w:ascii="宋体" w:hAnsi="宋体" w:cs="Courier New"/>
          <w:sz w:val="28"/>
          <w:szCs w:val="28"/>
          <w:shd w:val="clear" w:color="auto" w:fill="FFFFFF"/>
        </w:rPr>
      </w:pPr>
      <w:r>
        <w:rPr>
          <w:rFonts w:hint="eastAsia" w:ascii="宋体" w:hAnsi="宋体" w:cs="Courier New"/>
          <w:sz w:val="28"/>
          <w:szCs w:val="28"/>
          <w:shd w:val="clear" w:color="auto" w:fill="FFFFFF"/>
        </w:rPr>
        <w:t>二档（8分）：</w:t>
      </w:r>
      <w:r>
        <w:rPr>
          <w:rFonts w:hint="eastAsia" w:ascii="宋体" w:hAnsi="宋体"/>
          <w:sz w:val="28"/>
          <w:szCs w:val="28"/>
        </w:rPr>
        <w:t>售后服务方案较详细，有售后服务承诺，售后服务流程、应急预案、质量保障，但未能很好的</w:t>
      </w:r>
      <w:r>
        <w:rPr>
          <w:rFonts w:hint="eastAsia" w:ascii="宋体" w:hAnsi="宋体"/>
          <w:sz w:val="28"/>
          <w:szCs w:val="28"/>
          <w:lang w:val="en-US" w:eastAsia="zh-CN"/>
        </w:rPr>
        <w:t>满足</w:t>
      </w:r>
      <w:r>
        <w:rPr>
          <w:rFonts w:hint="eastAsia" w:ascii="宋体" w:hAnsi="宋体"/>
          <w:sz w:val="28"/>
          <w:szCs w:val="28"/>
        </w:rPr>
        <w:t>采购人需求。</w:t>
      </w:r>
    </w:p>
    <w:p w14:paraId="48910CD0">
      <w:pPr>
        <w:pStyle w:val="5"/>
        <w:adjustRightInd w:val="0"/>
        <w:snapToGrid w:val="0"/>
        <w:spacing w:line="500" w:lineRule="exact"/>
        <w:ind w:firstLine="560" w:firstLineChars="200"/>
        <w:rPr>
          <w:rFonts w:hAnsi="宋体"/>
          <w:sz w:val="28"/>
          <w:szCs w:val="28"/>
        </w:rPr>
      </w:pPr>
      <w:r>
        <w:rPr>
          <w:rFonts w:hint="eastAsia" w:hAnsi="宋体" w:cs="Courier New"/>
          <w:sz w:val="28"/>
          <w:szCs w:val="28"/>
          <w:shd w:val="clear" w:color="auto" w:fill="FFFFFF"/>
        </w:rPr>
        <w:t>三档（12分）：</w:t>
      </w:r>
      <w:r>
        <w:rPr>
          <w:rFonts w:hint="eastAsia" w:hAnsi="宋体"/>
          <w:sz w:val="28"/>
          <w:szCs w:val="28"/>
        </w:rPr>
        <w:t>售后服务方案较详细，能够结合采购人需求提供详细的售后服务承诺，售后服务流程、应急预案、质量保障、响应时间、响应方式等。</w:t>
      </w:r>
    </w:p>
    <w:p w14:paraId="23BD8BF5">
      <w:pPr>
        <w:spacing w:line="360" w:lineRule="auto"/>
        <w:ind w:firstLine="560" w:firstLineChars="200"/>
        <w:outlineLvl w:val="1"/>
        <w:rPr>
          <w:rFonts w:ascii="宋体" w:hAnsi="宋体" w:eastAsia="宋体" w:cs="宋体"/>
          <w:sz w:val="28"/>
          <w:szCs w:val="28"/>
        </w:rPr>
      </w:pPr>
      <w:r>
        <w:rPr>
          <w:rFonts w:hint="eastAsia" w:hAnsi="宋体" w:cs="Courier New"/>
          <w:sz w:val="28"/>
          <w:szCs w:val="28"/>
          <w:shd w:val="clear" w:color="auto" w:fill="FFFFFF"/>
        </w:rPr>
        <w:t>四</w:t>
      </w:r>
      <w:r>
        <w:rPr>
          <w:rFonts w:hint="eastAsia" w:ascii="宋体" w:hAnsi="宋体" w:cs="Courier New"/>
          <w:sz w:val="28"/>
          <w:szCs w:val="28"/>
          <w:shd w:val="clear" w:color="auto" w:fill="FFFFFF"/>
        </w:rPr>
        <w:t>档（</w:t>
      </w:r>
      <w:r>
        <w:rPr>
          <w:rFonts w:hint="eastAsia" w:hAnsi="宋体" w:cs="Courier New"/>
          <w:sz w:val="28"/>
          <w:szCs w:val="28"/>
          <w:shd w:val="clear" w:color="auto" w:fill="FFFFFF"/>
        </w:rPr>
        <w:t>16</w:t>
      </w:r>
      <w:r>
        <w:rPr>
          <w:rFonts w:hint="eastAsia" w:ascii="宋体" w:hAnsi="宋体" w:cs="Courier New"/>
          <w:sz w:val="28"/>
          <w:szCs w:val="28"/>
          <w:shd w:val="clear" w:color="auto" w:fill="FFFFFF"/>
        </w:rPr>
        <w:t>分）：</w:t>
      </w:r>
      <w:r>
        <w:rPr>
          <w:rFonts w:hint="eastAsia" w:ascii="宋体" w:hAnsi="宋体"/>
          <w:sz w:val="28"/>
          <w:szCs w:val="28"/>
        </w:rPr>
        <w:t>售后服务方案</w:t>
      </w:r>
      <w:r>
        <w:rPr>
          <w:rFonts w:hint="eastAsia" w:hAnsi="宋体"/>
          <w:sz w:val="28"/>
          <w:szCs w:val="28"/>
        </w:rPr>
        <w:t>较详细、完善</w:t>
      </w:r>
      <w:r>
        <w:rPr>
          <w:rFonts w:hint="eastAsia" w:ascii="宋体" w:hAnsi="宋体"/>
          <w:sz w:val="28"/>
          <w:szCs w:val="28"/>
        </w:rPr>
        <w:t>，能够结合采购人需求提供详细的售后服务承诺，</w:t>
      </w:r>
      <w:r>
        <w:rPr>
          <w:rFonts w:hint="eastAsia" w:hAnsi="宋体"/>
          <w:sz w:val="28"/>
          <w:szCs w:val="28"/>
        </w:rPr>
        <w:t>为采购人提供专业的建设性建议和改进方案，建议符合国家、自治区的有关政策导向，有完善的</w:t>
      </w:r>
      <w:r>
        <w:rPr>
          <w:rFonts w:hint="eastAsia" w:ascii="宋体" w:hAnsi="宋体"/>
          <w:sz w:val="28"/>
          <w:szCs w:val="28"/>
        </w:rPr>
        <w:t>售后服务流程、应急</w:t>
      </w:r>
      <w:r>
        <w:rPr>
          <w:rFonts w:hint="eastAsia" w:hAnsi="宋体"/>
          <w:sz w:val="28"/>
          <w:szCs w:val="28"/>
        </w:rPr>
        <w:t>响应服务</w:t>
      </w:r>
      <w:r>
        <w:rPr>
          <w:rFonts w:hint="eastAsia" w:ascii="宋体" w:hAnsi="宋体"/>
          <w:sz w:val="28"/>
          <w:szCs w:val="28"/>
        </w:rPr>
        <w:t>、</w:t>
      </w:r>
      <w:r>
        <w:rPr>
          <w:rFonts w:hint="eastAsia" w:hAnsi="宋体"/>
          <w:sz w:val="28"/>
          <w:szCs w:val="28"/>
        </w:rPr>
        <w:t>质量保障、质量问题咨询服务、</w:t>
      </w:r>
      <w:r>
        <w:rPr>
          <w:rFonts w:hint="eastAsia" w:ascii="宋体" w:hAnsi="宋体"/>
          <w:sz w:val="28"/>
          <w:szCs w:val="28"/>
        </w:rPr>
        <w:t>响应时间、响应方式等</w:t>
      </w:r>
      <w:r>
        <w:rPr>
          <w:rFonts w:hint="eastAsia" w:hAnsi="宋体"/>
          <w:sz w:val="28"/>
          <w:szCs w:val="28"/>
        </w:rPr>
        <w:t>。</w:t>
      </w:r>
    </w:p>
    <w:p w14:paraId="2553B26B">
      <w:pPr>
        <w:pStyle w:val="2"/>
        <w:jc w:val="both"/>
      </w:pPr>
      <w:r>
        <w:rPr>
          <w:rFonts w:hint="eastAsia"/>
        </w:rPr>
        <w:t xml:space="preserve">     </w:t>
      </w:r>
      <w:r>
        <w:rPr>
          <w:rFonts w:hint="eastAsia" w:hAnsi="宋体" w:cs="Courier New"/>
          <w:sz w:val="28"/>
          <w:szCs w:val="28"/>
          <w:shd w:val="clear" w:color="auto" w:fill="FFFFFF"/>
        </w:rPr>
        <w:t>五</w:t>
      </w:r>
      <w:r>
        <w:rPr>
          <w:rFonts w:hint="eastAsia" w:ascii="宋体" w:hAnsi="宋体" w:cs="Courier New"/>
          <w:sz w:val="28"/>
          <w:szCs w:val="28"/>
          <w:shd w:val="clear" w:color="auto" w:fill="FFFFFF"/>
        </w:rPr>
        <w:t>档（</w:t>
      </w:r>
      <w:r>
        <w:rPr>
          <w:rFonts w:hint="eastAsia" w:hAnsi="宋体" w:cs="Courier New"/>
          <w:sz w:val="28"/>
          <w:szCs w:val="28"/>
          <w:shd w:val="clear" w:color="auto" w:fill="FFFFFF"/>
        </w:rPr>
        <w:t>20</w:t>
      </w:r>
      <w:r>
        <w:rPr>
          <w:rFonts w:hint="eastAsia" w:ascii="宋体" w:hAnsi="宋体" w:cs="Courier New"/>
          <w:sz w:val="28"/>
          <w:szCs w:val="28"/>
          <w:shd w:val="clear" w:color="auto" w:fill="FFFFFF"/>
        </w:rPr>
        <w:t>分）：</w:t>
      </w:r>
      <w:r>
        <w:rPr>
          <w:rFonts w:hint="eastAsia" w:ascii="宋体" w:hAnsi="宋体"/>
          <w:sz w:val="28"/>
          <w:szCs w:val="28"/>
          <w:lang w:val="en-US" w:eastAsia="zh-CN"/>
        </w:rPr>
        <w:t>在四挡的基础上含有</w:t>
      </w:r>
      <w:r>
        <w:rPr>
          <w:rFonts w:hint="eastAsia" w:hAnsi="宋体"/>
          <w:sz w:val="28"/>
          <w:szCs w:val="28"/>
        </w:rPr>
        <w:t>人员保障预案、资源协调预案考虑周全</w:t>
      </w:r>
      <w:r>
        <w:rPr>
          <w:rFonts w:hint="eastAsia" w:ascii="宋体" w:hAnsi="宋体" w:eastAsia="宋体" w:cs="宋体"/>
          <w:sz w:val="28"/>
          <w:szCs w:val="28"/>
        </w:rPr>
        <w:t>。</w:t>
      </w:r>
    </w:p>
    <w:p w14:paraId="60C5449E">
      <w:pPr>
        <w:pStyle w:val="5"/>
        <w:adjustRightInd w:val="0"/>
        <w:snapToGrid w:val="0"/>
        <w:spacing w:line="500" w:lineRule="exact"/>
        <w:ind w:firstLine="560" w:firstLineChars="200"/>
        <w:rPr>
          <w:rFonts w:hAnsi="宋体"/>
          <w:sz w:val="28"/>
          <w:szCs w:val="28"/>
        </w:rPr>
      </w:pPr>
    </w:p>
    <w:p w14:paraId="23C00A57">
      <w:pPr>
        <w:spacing w:line="360" w:lineRule="auto"/>
        <w:ind w:firstLine="560" w:firstLineChars="200"/>
        <w:outlineLvl w:val="1"/>
        <w:rPr>
          <w:rFonts w:ascii="宋体" w:hAnsi="宋体" w:cs="Courier New"/>
          <w:sz w:val="28"/>
          <w:szCs w:val="28"/>
          <w:shd w:val="clear" w:color="auto" w:fill="FFFFFF"/>
        </w:rPr>
      </w:pPr>
    </w:p>
    <w:p w14:paraId="4CA4CEA4">
      <w:pPr>
        <w:pStyle w:val="5"/>
        <w:adjustRightInd w:val="0"/>
        <w:snapToGrid w:val="0"/>
        <w:spacing w:line="500" w:lineRule="exact"/>
        <w:ind w:firstLine="0" w:firstLineChars="0"/>
        <w:rPr>
          <w:rFonts w:hAnsi="宋体"/>
          <w:color w:val="FF0000"/>
          <w:sz w:val="28"/>
          <w:szCs w:val="28"/>
        </w:rPr>
      </w:pPr>
    </w:p>
    <w:sectPr>
      <w:footerReference r:id="rId3" w:type="default"/>
      <w:pgSz w:w="11906" w:h="16838"/>
      <w:pgMar w:top="1984" w:right="1417" w:bottom="170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4B5C3">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70C9F1">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970C9F1">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3B5E8"/>
    <w:multiLevelType w:val="singleLevel"/>
    <w:tmpl w:val="BDD3B5E8"/>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MmRlMWViZjM5MjljNWY5NDY0YWQ3Njc0OTczOGMifQ=="/>
  </w:docVars>
  <w:rsids>
    <w:rsidRoot w:val="001D5729"/>
    <w:rsid w:val="00011D12"/>
    <w:rsid w:val="000171FE"/>
    <w:rsid w:val="00021011"/>
    <w:rsid w:val="0003000B"/>
    <w:rsid w:val="00092B34"/>
    <w:rsid w:val="000A4948"/>
    <w:rsid w:val="000C19F9"/>
    <w:rsid w:val="000C1FD7"/>
    <w:rsid w:val="000E72F9"/>
    <w:rsid w:val="0011054C"/>
    <w:rsid w:val="00125C68"/>
    <w:rsid w:val="00163E72"/>
    <w:rsid w:val="001D5729"/>
    <w:rsid w:val="001F3472"/>
    <w:rsid w:val="0020738A"/>
    <w:rsid w:val="0023033B"/>
    <w:rsid w:val="00283AD0"/>
    <w:rsid w:val="002A538E"/>
    <w:rsid w:val="002A7E71"/>
    <w:rsid w:val="002D4415"/>
    <w:rsid w:val="003264A2"/>
    <w:rsid w:val="00345E67"/>
    <w:rsid w:val="00347BA2"/>
    <w:rsid w:val="00370ED2"/>
    <w:rsid w:val="003B142B"/>
    <w:rsid w:val="003C45F0"/>
    <w:rsid w:val="003E798B"/>
    <w:rsid w:val="003F5322"/>
    <w:rsid w:val="0043066C"/>
    <w:rsid w:val="00450B53"/>
    <w:rsid w:val="004547B8"/>
    <w:rsid w:val="00467A76"/>
    <w:rsid w:val="00484306"/>
    <w:rsid w:val="004F2635"/>
    <w:rsid w:val="005060EC"/>
    <w:rsid w:val="0053069C"/>
    <w:rsid w:val="00533359"/>
    <w:rsid w:val="00571E71"/>
    <w:rsid w:val="00590A90"/>
    <w:rsid w:val="005D266E"/>
    <w:rsid w:val="005F2E06"/>
    <w:rsid w:val="006735ED"/>
    <w:rsid w:val="006A45A0"/>
    <w:rsid w:val="006F6D48"/>
    <w:rsid w:val="00704B86"/>
    <w:rsid w:val="007C075F"/>
    <w:rsid w:val="007E55BE"/>
    <w:rsid w:val="007F3229"/>
    <w:rsid w:val="0080790B"/>
    <w:rsid w:val="00807BCC"/>
    <w:rsid w:val="00856F9F"/>
    <w:rsid w:val="008E7C24"/>
    <w:rsid w:val="009101D3"/>
    <w:rsid w:val="00935766"/>
    <w:rsid w:val="009519DA"/>
    <w:rsid w:val="009A79AD"/>
    <w:rsid w:val="009E2FF0"/>
    <w:rsid w:val="009F07CF"/>
    <w:rsid w:val="00A05053"/>
    <w:rsid w:val="00A24286"/>
    <w:rsid w:val="00A717A1"/>
    <w:rsid w:val="00A809DE"/>
    <w:rsid w:val="00A931B0"/>
    <w:rsid w:val="00A93842"/>
    <w:rsid w:val="00AC764C"/>
    <w:rsid w:val="00AD568E"/>
    <w:rsid w:val="00AF5369"/>
    <w:rsid w:val="00B65661"/>
    <w:rsid w:val="00B76292"/>
    <w:rsid w:val="00BA2C95"/>
    <w:rsid w:val="00BF6EF6"/>
    <w:rsid w:val="00C506F2"/>
    <w:rsid w:val="00C8535C"/>
    <w:rsid w:val="00C9546A"/>
    <w:rsid w:val="00CA1328"/>
    <w:rsid w:val="00D21BCB"/>
    <w:rsid w:val="00D841D1"/>
    <w:rsid w:val="00D9289E"/>
    <w:rsid w:val="00DB20A2"/>
    <w:rsid w:val="00E0718F"/>
    <w:rsid w:val="00E4445A"/>
    <w:rsid w:val="00E52B6D"/>
    <w:rsid w:val="00E85446"/>
    <w:rsid w:val="00EB0FA5"/>
    <w:rsid w:val="00F52CDF"/>
    <w:rsid w:val="00F703F2"/>
    <w:rsid w:val="00F72E7C"/>
    <w:rsid w:val="00F83022"/>
    <w:rsid w:val="00F83680"/>
    <w:rsid w:val="00F907B3"/>
    <w:rsid w:val="00FA645E"/>
    <w:rsid w:val="00FF6C63"/>
    <w:rsid w:val="0B386F43"/>
    <w:rsid w:val="0C8E1EC9"/>
    <w:rsid w:val="0D877F77"/>
    <w:rsid w:val="0FA7132D"/>
    <w:rsid w:val="13B46626"/>
    <w:rsid w:val="145A5830"/>
    <w:rsid w:val="182E15C8"/>
    <w:rsid w:val="18BB16AE"/>
    <w:rsid w:val="193006AE"/>
    <w:rsid w:val="1A7D3DC7"/>
    <w:rsid w:val="1CAC2D6A"/>
    <w:rsid w:val="1D1D05F2"/>
    <w:rsid w:val="2067458A"/>
    <w:rsid w:val="215B72D0"/>
    <w:rsid w:val="27824AB7"/>
    <w:rsid w:val="282D0DCD"/>
    <w:rsid w:val="28CD6B22"/>
    <w:rsid w:val="34EA5A39"/>
    <w:rsid w:val="36433521"/>
    <w:rsid w:val="3B95213B"/>
    <w:rsid w:val="44EA406C"/>
    <w:rsid w:val="49DB24D3"/>
    <w:rsid w:val="4EDE54C1"/>
    <w:rsid w:val="4F4A41E3"/>
    <w:rsid w:val="4F8751FE"/>
    <w:rsid w:val="50210AB5"/>
    <w:rsid w:val="504F1AFD"/>
    <w:rsid w:val="505B3C17"/>
    <w:rsid w:val="528257EA"/>
    <w:rsid w:val="54751756"/>
    <w:rsid w:val="5A07376D"/>
    <w:rsid w:val="5A672BA0"/>
    <w:rsid w:val="5AD96582"/>
    <w:rsid w:val="5B6B4306"/>
    <w:rsid w:val="5F925413"/>
    <w:rsid w:val="609C3967"/>
    <w:rsid w:val="63C70EFE"/>
    <w:rsid w:val="656C745D"/>
    <w:rsid w:val="659E346B"/>
    <w:rsid w:val="691074B2"/>
    <w:rsid w:val="6A920EA4"/>
    <w:rsid w:val="71F80422"/>
    <w:rsid w:val="72686CC1"/>
    <w:rsid w:val="74404663"/>
    <w:rsid w:val="765A1FF0"/>
    <w:rsid w:val="7CDEC8D0"/>
    <w:rsid w:val="7EB15665"/>
    <w:rsid w:val="D3DF5068"/>
    <w:rsid w:val="EFEA43CA"/>
    <w:rsid w:val="FFDF39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w:basedOn w:val="1"/>
    <w:qFormat/>
    <w:uiPriority w:val="0"/>
    <w:pPr>
      <w:jc w:val="center"/>
    </w:pPr>
  </w:style>
  <w:style w:type="paragraph" w:styleId="4">
    <w:name w:val="annotation text"/>
    <w:basedOn w:val="1"/>
    <w:link w:val="14"/>
    <w:unhideWhenUsed/>
    <w:qFormat/>
    <w:uiPriority w:val="99"/>
    <w:rPr>
      <w:rFonts w:ascii="Times New Roman" w:hAnsi="Times New Roman" w:eastAsia="宋体"/>
      <w:sz w:val="28"/>
    </w:rPr>
  </w:style>
  <w:style w:type="paragraph" w:styleId="5">
    <w:name w:val="Plain Text"/>
    <w:basedOn w:val="1"/>
    <w:link w:val="15"/>
    <w:unhideWhenUsed/>
    <w:qFormat/>
    <w:uiPriority w:val="0"/>
    <w:rPr>
      <w:rFonts w:ascii="宋体" w:hAnsi="Courier New" w:eastAsia="宋体" w:cs="宋体"/>
      <w:szCs w:val="21"/>
    </w:rPr>
  </w:style>
  <w:style w:type="paragraph" w:styleId="6">
    <w:name w:val="footer"/>
    <w:basedOn w:val="1"/>
    <w:link w:val="16"/>
    <w:unhideWhenUsed/>
    <w:qFormat/>
    <w:uiPriority w:val="99"/>
    <w:pPr>
      <w:tabs>
        <w:tab w:val="center" w:pos="4153"/>
        <w:tab w:val="right" w:pos="8306"/>
      </w:tabs>
      <w:snapToGrid w:val="0"/>
      <w:jc w:val="left"/>
    </w:pPr>
    <w:rPr>
      <w:sz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unhideWhenUsed/>
    <w:qFormat/>
    <w:uiPriority w:val="99"/>
    <w:pPr>
      <w:jc w:val="left"/>
    </w:pPr>
    <w:rPr>
      <w:rFonts w:ascii="Calibri" w:hAnsi="Calibri" w:eastAsia="宋体"/>
      <w:b/>
      <w:bCs/>
      <w:sz w:val="21"/>
    </w:rPr>
  </w:style>
  <w:style w:type="table" w:styleId="10">
    <w:name w:val="Table Grid"/>
    <w:basedOn w:val="9"/>
    <w:unhideWhenUsed/>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customStyle="1" w:styleId="13">
    <w:name w:val="标题 1 字符"/>
    <w:basedOn w:val="11"/>
    <w:link w:val="3"/>
    <w:qFormat/>
    <w:uiPriority w:val="0"/>
    <w:rPr>
      <w:rFonts w:ascii="Times New Roman" w:hAnsi="Times New Roman" w:eastAsia="宋体" w:cs="Times New Roman"/>
      <w:b/>
      <w:bCs/>
      <w:kern w:val="44"/>
      <w:sz w:val="44"/>
      <w:szCs w:val="44"/>
    </w:rPr>
  </w:style>
  <w:style w:type="character" w:customStyle="1" w:styleId="14">
    <w:name w:val="批注文字 字符"/>
    <w:basedOn w:val="11"/>
    <w:link w:val="4"/>
    <w:semiHidden/>
    <w:qFormat/>
    <w:uiPriority w:val="99"/>
    <w:rPr>
      <w:rFonts w:cs="Times New Roman"/>
      <w:kern w:val="2"/>
      <w:sz w:val="28"/>
      <w:szCs w:val="22"/>
    </w:rPr>
  </w:style>
  <w:style w:type="character" w:customStyle="1" w:styleId="15">
    <w:name w:val="纯文本 字符"/>
    <w:basedOn w:val="11"/>
    <w:link w:val="5"/>
    <w:semiHidden/>
    <w:qFormat/>
    <w:uiPriority w:val="0"/>
    <w:rPr>
      <w:rFonts w:ascii="宋体" w:hAnsi="Courier New" w:eastAsia="宋体" w:cs="宋体"/>
      <w:kern w:val="2"/>
      <w:sz w:val="21"/>
      <w:szCs w:val="21"/>
    </w:rPr>
  </w:style>
  <w:style w:type="character" w:customStyle="1" w:styleId="16">
    <w:name w:val="页脚 字符"/>
    <w:basedOn w:val="11"/>
    <w:link w:val="6"/>
    <w:semiHidden/>
    <w:qFormat/>
    <w:uiPriority w:val="99"/>
    <w:rPr>
      <w:sz w:val="18"/>
    </w:rPr>
  </w:style>
  <w:style w:type="character" w:customStyle="1" w:styleId="17">
    <w:name w:val="页眉 字符"/>
    <w:basedOn w:val="11"/>
    <w:link w:val="7"/>
    <w:semiHidden/>
    <w:qFormat/>
    <w:uiPriority w:val="99"/>
    <w:rPr>
      <w:sz w:val="18"/>
      <w:szCs w:val="18"/>
    </w:rPr>
  </w:style>
  <w:style w:type="character" w:customStyle="1" w:styleId="18">
    <w:name w:val="批注主题 字符"/>
    <w:basedOn w:val="14"/>
    <w:link w:val="8"/>
    <w:semiHidden/>
    <w:qFormat/>
    <w:uiPriority w:val="99"/>
    <w:rPr>
      <w:rFonts w:ascii="Calibri" w:hAnsi="Calibri" w:eastAsia="宋体" w:cs="Times New Roman"/>
      <w:b/>
      <w:bCs/>
      <w:kern w:val="2"/>
      <w:sz w:val="21"/>
      <w:szCs w:val="22"/>
    </w:rPr>
  </w:style>
  <w:style w:type="paragraph" w:customStyle="1" w:styleId="19">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6014</Words>
  <Characters>6393</Characters>
  <Lines>40</Lines>
  <Paragraphs>11</Paragraphs>
  <TotalTime>315.333333333333</TotalTime>
  <ScaleCrop>false</ScaleCrop>
  <LinksUpToDate>false</LinksUpToDate>
  <CharactersWithSpaces>6456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2021-02-02T15:24:00Z</dcterms:created>
  <dc:creator>lenovo</dc:creator>
  <cp:lastModifiedBy>文档存本地丢失不负责</cp:lastModifiedBy>
  <cp:lastPrinted>2023-02-17T09:48:00Z</cp:lastPrinted>
  <dcterms:modified xsi:type="dcterms:W3CDTF">2024-07-24T09:24:59Z</dcterms:modified>
  <dc:title>广西壮族自治区人民政府公报电子版采购方案</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19F13FC80CAB43028EF375C6C0F28B15_13</vt:lpwstr>
  </property>
</Properties>
</file>