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65BE1">
      <w:pPr>
        <w:pStyle w:val="12"/>
        <w:keepNext w:val="0"/>
        <w:keepLines w:val="0"/>
        <w:pageBreakBefore w:val="0"/>
        <w:widowControl w:val="0"/>
        <w:kinsoku/>
        <w:wordWrap/>
        <w:overflowPunct/>
        <w:topLinePunct w:val="0"/>
        <w:autoSpaceDE/>
        <w:autoSpaceDN/>
        <w:bidi w:val="0"/>
        <w:adjustRightInd/>
        <w:snapToGrid/>
        <w:spacing w:before="0" w:after="0" w:line="560" w:lineRule="exact"/>
        <w:ind w:left="0" w:leftChars="0"/>
        <w:textAlignment w:val="auto"/>
        <w:outlineLvl w:val="9"/>
        <w:rPr>
          <w:rFonts w:hint="default" w:ascii="方正小标宋_GBK" w:hAnsi="方正小标宋_GBK" w:eastAsia="方正小标宋_GBK" w:cs="方正小标宋_GBK"/>
          <w:b w:val="0"/>
          <w:bCs w:val="0"/>
          <w:color w:val="000000"/>
          <w:sz w:val="44"/>
          <w:szCs w:val="44"/>
          <w:lang w:val="en-US" w:eastAsia="zh-CN"/>
        </w:rPr>
      </w:pPr>
      <w:r>
        <w:rPr>
          <w:rFonts w:hint="eastAsia" w:ascii="方正小标宋_GBK" w:hAnsi="方正小标宋_GBK" w:eastAsia="方正小标宋_GBK" w:cs="方正小标宋_GBK"/>
          <w:b w:val="0"/>
          <w:bCs w:val="0"/>
          <w:color w:val="000000"/>
          <w:sz w:val="44"/>
          <w:szCs w:val="44"/>
        </w:rPr>
        <w:t>2024年自治区政务服务专用信息化系统安全管理测评项目采购需求</w:t>
      </w:r>
      <w:r>
        <w:rPr>
          <w:rFonts w:hint="eastAsia" w:ascii="方正小标宋_GBK" w:hAnsi="方正小标宋_GBK" w:eastAsia="方正小标宋_GBK" w:cs="方正小标宋_GBK"/>
          <w:b w:val="0"/>
          <w:bCs w:val="0"/>
          <w:color w:val="000000"/>
          <w:sz w:val="44"/>
          <w:szCs w:val="44"/>
          <w:lang w:val="en-US" w:eastAsia="zh-CN"/>
        </w:rPr>
        <w:t>及评分标准</w:t>
      </w:r>
    </w:p>
    <w:p w14:paraId="0D8A6F82">
      <w:pPr>
        <w:pStyle w:val="12"/>
        <w:spacing w:before="0" w:after="0" w:line="324" w:lineRule="auto"/>
        <w:ind w:left="-210" w:leftChars="-100"/>
        <w:outlineLvl w:val="9"/>
        <w:rPr>
          <w:rFonts w:hint="eastAsia" w:ascii="方正小标宋_GBK" w:hAnsi="方正小标宋_GBK" w:eastAsia="方正小标宋_GBK" w:cs="方正小标宋_GBK"/>
          <w:b w:val="0"/>
          <w:bCs w:val="0"/>
          <w:color w:val="000000"/>
          <w:sz w:val="44"/>
          <w:szCs w:val="44"/>
        </w:rPr>
      </w:pPr>
    </w:p>
    <w:tbl>
      <w:tblPr>
        <w:tblStyle w:val="15"/>
        <w:tblW w:w="9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949"/>
        <w:gridCol w:w="570"/>
        <w:gridCol w:w="585"/>
        <w:gridCol w:w="6999"/>
      </w:tblGrid>
      <w:tr w14:paraId="7299E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820" w:type="dxa"/>
            <w:gridSpan w:val="5"/>
            <w:vAlign w:val="center"/>
          </w:tcPr>
          <w:p w14:paraId="5349815D">
            <w:pPr>
              <w:pStyle w:val="9"/>
              <w:spacing w:line="240" w:lineRule="auto"/>
              <w:jc w:val="center"/>
              <w:rPr>
                <w:rFonts w:hint="eastAsia" w:ascii="宋体" w:hAnsi="宋体" w:cs="宋体"/>
                <w:color w:val="auto"/>
                <w:sz w:val="21"/>
                <w:szCs w:val="21"/>
              </w:rPr>
            </w:pPr>
            <w:r>
              <w:rPr>
                <w:rFonts w:hint="eastAsia" w:ascii="宋体" w:hAnsi="宋体" w:cs="宋体"/>
                <w:b/>
                <w:bCs/>
                <w:color w:val="auto"/>
                <w:sz w:val="32"/>
                <w:szCs w:val="32"/>
              </w:rPr>
              <w:t>服务需求一览表</w:t>
            </w:r>
          </w:p>
        </w:tc>
      </w:tr>
      <w:tr w14:paraId="5A32B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17" w:type="dxa"/>
            <w:tcMar>
              <w:top w:w="0" w:type="dxa"/>
              <w:left w:w="0" w:type="dxa"/>
              <w:bottom w:w="0" w:type="dxa"/>
              <w:right w:w="0" w:type="dxa"/>
            </w:tcMar>
            <w:vAlign w:val="center"/>
          </w:tcPr>
          <w:p w14:paraId="7FAB3C58">
            <w:pPr>
              <w:pStyle w:val="9"/>
              <w:spacing w:line="240" w:lineRule="auto"/>
              <w:rPr>
                <w:rFonts w:hint="eastAsia" w:ascii="宋体" w:hAnsi="宋体" w:cs="宋体"/>
                <w:color w:val="auto"/>
                <w:sz w:val="21"/>
                <w:szCs w:val="21"/>
              </w:rPr>
            </w:pPr>
            <w:r>
              <w:rPr>
                <w:rFonts w:hint="eastAsia" w:ascii="宋体" w:hAnsi="宋体" w:cs="宋体"/>
                <w:color w:val="auto"/>
                <w:sz w:val="21"/>
                <w:szCs w:val="21"/>
              </w:rPr>
              <w:t>序号</w:t>
            </w:r>
          </w:p>
        </w:tc>
        <w:tc>
          <w:tcPr>
            <w:tcW w:w="949" w:type="dxa"/>
            <w:vAlign w:val="center"/>
          </w:tcPr>
          <w:p w14:paraId="5644F9AD">
            <w:pPr>
              <w:pStyle w:val="9"/>
              <w:spacing w:line="240" w:lineRule="auto"/>
              <w:rPr>
                <w:rFonts w:hint="eastAsia" w:ascii="宋体" w:hAnsi="宋体" w:cs="宋体"/>
                <w:color w:val="auto"/>
                <w:sz w:val="21"/>
                <w:szCs w:val="21"/>
              </w:rPr>
            </w:pPr>
            <w:r>
              <w:rPr>
                <w:rFonts w:hint="eastAsia" w:ascii="宋体" w:hAnsi="宋体" w:cs="宋体"/>
                <w:color w:val="auto"/>
                <w:sz w:val="21"/>
                <w:szCs w:val="21"/>
              </w:rPr>
              <w:t>采购服务名称</w:t>
            </w:r>
          </w:p>
        </w:tc>
        <w:tc>
          <w:tcPr>
            <w:tcW w:w="570" w:type="dxa"/>
            <w:vAlign w:val="center"/>
          </w:tcPr>
          <w:p w14:paraId="06DDFA55">
            <w:pPr>
              <w:pStyle w:val="9"/>
              <w:spacing w:line="240" w:lineRule="auto"/>
              <w:rPr>
                <w:rFonts w:hint="eastAsia" w:ascii="宋体" w:hAnsi="宋体" w:cs="宋体"/>
                <w:color w:val="auto"/>
                <w:sz w:val="21"/>
                <w:szCs w:val="21"/>
              </w:rPr>
            </w:pPr>
            <w:r>
              <w:rPr>
                <w:rFonts w:hint="eastAsia" w:ascii="宋体" w:hAnsi="宋体" w:cs="宋体"/>
                <w:color w:val="auto"/>
                <w:sz w:val="21"/>
                <w:szCs w:val="21"/>
              </w:rPr>
              <w:t>单位</w:t>
            </w:r>
          </w:p>
        </w:tc>
        <w:tc>
          <w:tcPr>
            <w:tcW w:w="585" w:type="dxa"/>
            <w:vAlign w:val="center"/>
          </w:tcPr>
          <w:p w14:paraId="11AA77D4">
            <w:pPr>
              <w:pStyle w:val="9"/>
              <w:spacing w:line="240" w:lineRule="auto"/>
              <w:rPr>
                <w:rFonts w:hint="eastAsia" w:ascii="宋体" w:hAnsi="宋体" w:cs="宋体"/>
                <w:color w:val="auto"/>
                <w:sz w:val="21"/>
                <w:szCs w:val="21"/>
              </w:rPr>
            </w:pPr>
            <w:r>
              <w:rPr>
                <w:rFonts w:hint="eastAsia" w:ascii="宋体" w:hAnsi="宋体" w:cs="宋体"/>
                <w:color w:val="auto"/>
                <w:sz w:val="21"/>
                <w:szCs w:val="21"/>
              </w:rPr>
              <w:t>数量</w:t>
            </w:r>
          </w:p>
        </w:tc>
        <w:tc>
          <w:tcPr>
            <w:tcW w:w="6999" w:type="dxa"/>
            <w:vAlign w:val="center"/>
          </w:tcPr>
          <w:p w14:paraId="10468D9C">
            <w:pPr>
              <w:pStyle w:val="9"/>
              <w:spacing w:line="240" w:lineRule="auto"/>
              <w:rPr>
                <w:rFonts w:hint="eastAsia" w:ascii="宋体" w:hAnsi="宋体" w:cs="宋体"/>
                <w:color w:val="auto"/>
                <w:sz w:val="21"/>
                <w:szCs w:val="21"/>
              </w:rPr>
            </w:pPr>
            <w:r>
              <w:rPr>
                <w:rFonts w:hint="eastAsia" w:ascii="宋体" w:hAnsi="宋体" w:cs="宋体"/>
                <w:color w:val="auto"/>
                <w:sz w:val="21"/>
                <w:szCs w:val="21"/>
              </w:rPr>
              <w:t>服务参数</w:t>
            </w:r>
          </w:p>
        </w:tc>
      </w:tr>
      <w:tr w14:paraId="78B46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17" w:type="dxa"/>
            <w:vAlign w:val="center"/>
          </w:tcPr>
          <w:p w14:paraId="085D9DF3">
            <w:pPr>
              <w:pStyle w:val="9"/>
              <w:spacing w:line="240" w:lineRule="auto"/>
              <w:rPr>
                <w:rFonts w:hint="eastAsia" w:ascii="宋体" w:hAnsi="宋体" w:cs="宋体"/>
                <w:color w:val="auto"/>
                <w:sz w:val="21"/>
                <w:szCs w:val="21"/>
              </w:rPr>
            </w:pPr>
            <w:r>
              <w:rPr>
                <w:rFonts w:hint="eastAsia" w:ascii="宋体" w:hAnsi="宋体" w:cs="宋体"/>
                <w:color w:val="auto"/>
                <w:sz w:val="21"/>
                <w:szCs w:val="21"/>
              </w:rPr>
              <w:t>1</w:t>
            </w:r>
          </w:p>
        </w:tc>
        <w:tc>
          <w:tcPr>
            <w:tcW w:w="949" w:type="dxa"/>
            <w:vAlign w:val="center"/>
          </w:tcPr>
          <w:p w14:paraId="68B71E5B">
            <w:pPr>
              <w:pStyle w:val="9"/>
              <w:spacing w:line="240" w:lineRule="auto"/>
              <w:rPr>
                <w:rFonts w:hint="eastAsia" w:ascii="宋体" w:hAnsi="宋体" w:cs="宋体"/>
                <w:color w:val="auto"/>
                <w:sz w:val="21"/>
                <w:szCs w:val="21"/>
              </w:rPr>
            </w:pPr>
            <w:r>
              <w:rPr>
                <w:rFonts w:hint="eastAsia" w:ascii="宋体" w:hAnsi="宋体" w:cs="宋体"/>
                <w:color w:val="auto"/>
                <w:sz w:val="21"/>
                <w:szCs w:val="21"/>
              </w:rPr>
              <w:t>2024年自治区政务服务专用信息化系统安全管理测评</w:t>
            </w:r>
          </w:p>
        </w:tc>
        <w:tc>
          <w:tcPr>
            <w:tcW w:w="570" w:type="dxa"/>
            <w:vAlign w:val="center"/>
          </w:tcPr>
          <w:p w14:paraId="1B39A5EB">
            <w:pPr>
              <w:pStyle w:val="9"/>
              <w:spacing w:line="240" w:lineRule="auto"/>
              <w:rPr>
                <w:rFonts w:hint="eastAsia" w:ascii="宋体" w:hAnsi="宋体" w:cs="宋体"/>
                <w:color w:val="auto"/>
                <w:sz w:val="21"/>
                <w:szCs w:val="21"/>
              </w:rPr>
            </w:pPr>
            <w:r>
              <w:rPr>
                <w:rFonts w:hint="eastAsia" w:ascii="宋体" w:hAnsi="宋体" w:cs="宋体"/>
                <w:color w:val="auto"/>
                <w:sz w:val="21"/>
                <w:szCs w:val="21"/>
              </w:rPr>
              <w:t>项</w:t>
            </w:r>
          </w:p>
        </w:tc>
        <w:tc>
          <w:tcPr>
            <w:tcW w:w="585" w:type="dxa"/>
            <w:vAlign w:val="center"/>
          </w:tcPr>
          <w:p w14:paraId="25A7F92D">
            <w:pPr>
              <w:pStyle w:val="9"/>
              <w:spacing w:line="240" w:lineRule="auto"/>
              <w:rPr>
                <w:rFonts w:hint="eastAsia" w:ascii="宋体" w:hAnsi="宋体" w:cs="宋体"/>
                <w:color w:val="auto"/>
                <w:sz w:val="21"/>
                <w:szCs w:val="21"/>
              </w:rPr>
            </w:pPr>
            <w:r>
              <w:rPr>
                <w:rFonts w:hint="eastAsia" w:ascii="宋体" w:hAnsi="宋体" w:cs="宋体"/>
                <w:color w:val="auto"/>
                <w:sz w:val="21"/>
                <w:szCs w:val="21"/>
              </w:rPr>
              <w:t>1</w:t>
            </w:r>
          </w:p>
        </w:tc>
        <w:tc>
          <w:tcPr>
            <w:tcW w:w="6999" w:type="dxa"/>
          </w:tcPr>
          <w:p w14:paraId="71311512">
            <w:pPr>
              <w:pStyle w:val="9"/>
              <w:spacing w:line="24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▲一、网络安全等级保护测评</w:t>
            </w:r>
          </w:p>
          <w:p w14:paraId="4B575A45">
            <w:pPr>
              <w:pStyle w:val="9"/>
              <w:spacing w:line="24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1、总的要求</w:t>
            </w:r>
          </w:p>
          <w:p w14:paraId="1C22D9DF">
            <w:pPr>
              <w:pStyle w:val="9"/>
              <w:spacing w:line="24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依据《网络安全等级保护基本要求》（GB/T 22239-2019）对自治区政务服务中心本级办公网络（三级）开展网络安全等级保护测评工作，并出具网络安全等级保护测评报告。</w:t>
            </w:r>
          </w:p>
          <w:p w14:paraId="28809A15">
            <w:pPr>
              <w:pStyle w:val="9"/>
              <w:spacing w:line="24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2、标准依据</w:t>
            </w:r>
          </w:p>
          <w:p w14:paraId="01B196F2">
            <w:pPr>
              <w:pStyle w:val="9"/>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《计算机信息系统安全保护等级划分准则》（GB 17859-1999)</w:t>
            </w:r>
          </w:p>
          <w:p w14:paraId="2B845474">
            <w:pPr>
              <w:pStyle w:val="9"/>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《网络安全等级保护基本要求》（GB/T 22239-2019）</w:t>
            </w:r>
          </w:p>
          <w:p w14:paraId="3357681E">
            <w:pPr>
              <w:pStyle w:val="9"/>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《网络安全等级保护测评要求》（GB/T 28448-2019）</w:t>
            </w:r>
          </w:p>
          <w:p w14:paraId="3FAC8214">
            <w:pPr>
              <w:pStyle w:val="9"/>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《网络安全等级保护测评过程指南》（GB/T 28449-2018)</w:t>
            </w:r>
          </w:p>
          <w:p w14:paraId="6025C5C8">
            <w:pPr>
              <w:pStyle w:val="9"/>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《网络安全等级保护安全设计技术要求》（GB/T 25070-2019）</w:t>
            </w:r>
          </w:p>
          <w:p w14:paraId="0249067E">
            <w:pPr>
              <w:pStyle w:val="9"/>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《网络安全等级保护测试评估技术指南》（GB/T 36627-2018）</w:t>
            </w:r>
          </w:p>
          <w:p w14:paraId="234468B0">
            <w:pPr>
              <w:pStyle w:val="9"/>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lang w:val="en-US" w:eastAsia="zh-CN"/>
              </w:rPr>
              <w:t>3、</w:t>
            </w:r>
            <w:r>
              <w:rPr>
                <w:rFonts w:hint="eastAsia" w:ascii="宋体" w:hAnsi="宋体" w:cs="宋体"/>
                <w:color w:val="auto"/>
                <w:sz w:val="21"/>
                <w:szCs w:val="21"/>
              </w:rPr>
              <w:t>测评要求：</w:t>
            </w:r>
          </w:p>
          <w:p w14:paraId="43B28928">
            <w:pPr>
              <w:pStyle w:val="9"/>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1）分为初测和复测两个阶段。初测阶段测评机构在完成现场测评后，需针对初测结果为用户提供必要的整改项材料（如各项等保要求的表单模板、制度模板等），对不符合项现场与用户逐一核对并提出可行性的整改建议。</w:t>
            </w:r>
          </w:p>
          <w:p w14:paraId="29B12CC2">
            <w:pPr>
              <w:pStyle w:val="9"/>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（2）在招标人有效实施整改后，开展复测工作，并最终出具符合公安机关要求的（年度）信息系统安全保护等级测评报告。</w:t>
            </w:r>
          </w:p>
          <w:p w14:paraId="3BE51917">
            <w:pPr>
              <w:pStyle w:val="9"/>
              <w:spacing w:line="240" w:lineRule="auto"/>
              <w:rPr>
                <w:rFonts w:hint="eastAsia" w:ascii="宋体" w:hAnsi="宋体" w:cs="宋体"/>
                <w:color w:val="auto"/>
                <w:sz w:val="21"/>
                <w:szCs w:val="21"/>
              </w:rPr>
            </w:pPr>
          </w:p>
          <w:p w14:paraId="762BDFFD">
            <w:pPr>
              <w:pStyle w:val="9"/>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lang w:val="en-US" w:eastAsia="zh-CN"/>
              </w:rPr>
              <w:t>4</w:t>
            </w:r>
            <w:r>
              <w:rPr>
                <w:rFonts w:hint="eastAsia" w:ascii="宋体" w:hAnsi="宋体" w:cs="宋体"/>
                <w:color w:val="auto"/>
                <w:sz w:val="21"/>
                <w:szCs w:val="21"/>
              </w:rPr>
              <w:t>、测评内容</w:t>
            </w:r>
          </w:p>
          <w:p w14:paraId="5AC74FDC">
            <w:pPr>
              <w:pStyle w:val="9"/>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（1）安全通用要求</w:t>
            </w:r>
          </w:p>
          <w:p w14:paraId="1F4567E0">
            <w:pPr>
              <w:pStyle w:val="9"/>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安全通用要求测评内容应包括安全技术和安全管理两大类。技术类应包括对安全物理环境、安全通信网络、安全区域边界、安全计算环境、安全管理中心五个方面的测评。安全管理类测评应包括对安全管理制度、安全管理机构、安全管理人员、安全建设管理、安全运维管理五个方面的测评。</w:t>
            </w:r>
          </w:p>
          <w:p w14:paraId="75493506">
            <w:pPr>
              <w:pStyle w:val="9"/>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（2）安全扩展要求</w:t>
            </w:r>
          </w:p>
          <w:p w14:paraId="259D0738">
            <w:pPr>
              <w:pStyle w:val="9"/>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本项目涉及等级保护对象涉及测评标准安全扩展要求（云计算、移动互联网、物联网、大数据、工业控制）方面内容的，投标人应该满足对被测评系统两个或以上网络环境的测评，需根据实际情况选定适用的安全扩展要求测评内容开展本项目测评工作。</w:t>
            </w:r>
          </w:p>
          <w:p w14:paraId="495284BE">
            <w:pPr>
              <w:pStyle w:val="9"/>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lang w:val="en-US" w:eastAsia="zh-CN"/>
              </w:rPr>
              <w:t>5</w:t>
            </w:r>
            <w:r>
              <w:rPr>
                <w:rFonts w:hint="eastAsia" w:ascii="宋体" w:hAnsi="宋体" w:cs="宋体"/>
                <w:color w:val="auto"/>
                <w:sz w:val="21"/>
                <w:szCs w:val="21"/>
              </w:rPr>
              <w:t>、测评方法</w:t>
            </w:r>
          </w:p>
          <w:p w14:paraId="30B620C8">
            <w:pPr>
              <w:pStyle w:val="9"/>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在测评实施过程中，应采用访谈、检查和测试、渗透测试等测评方法进行，并与国家相关规范及标准的要求相符。</w:t>
            </w:r>
          </w:p>
          <w:p w14:paraId="1DD90248">
            <w:pPr>
              <w:pStyle w:val="9"/>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访谈是指测评人员通过引导信息系统相关人员进行有目的的（有针对性的）交流以帮助测评人员理解、分析或取得证据的过程；</w:t>
            </w:r>
          </w:p>
          <w:p w14:paraId="4F3FF261">
            <w:pPr>
              <w:pStyle w:val="9"/>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检查是指测评人员通过对测评对象（如管理制度、操作记录、安全配置等）进行观察、查验、分析以帮助测评人员理解、分析或取得证据的过程；</w:t>
            </w:r>
          </w:p>
          <w:p w14:paraId="1A8E6532">
            <w:pPr>
              <w:pStyle w:val="9"/>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测试是测评人员使用预定的方法/工具使测评对象产生特定的行为，通过查看和分析结果以帮助测评人员获取证据的过程；</w:t>
            </w:r>
          </w:p>
          <w:p w14:paraId="5B9E46C5">
            <w:pPr>
              <w:pStyle w:val="9"/>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渗透测试是模拟黑客的攻击方法，对受保护对象的应用系统、主机、网络进行攻击，从而验证测评对象的弱点、技术缺陷或漏洞的一种评估方法。</w:t>
            </w:r>
          </w:p>
          <w:p w14:paraId="37DE5AAC">
            <w:pPr>
              <w:pStyle w:val="9"/>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lang w:val="en-US" w:eastAsia="zh-CN"/>
              </w:rPr>
              <w:t>6</w:t>
            </w:r>
            <w:r>
              <w:rPr>
                <w:rFonts w:hint="eastAsia" w:ascii="宋体" w:hAnsi="宋体" w:cs="宋体"/>
                <w:color w:val="auto"/>
                <w:sz w:val="21"/>
                <w:szCs w:val="21"/>
              </w:rPr>
              <w:t>、服务成果</w:t>
            </w:r>
          </w:p>
          <w:p w14:paraId="621CC34F">
            <w:pPr>
              <w:pStyle w:val="9"/>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测评完成后，对相应系统出具符合等保2.0相关技术标准要求、国家网络安全等级保护管理部门规范要求且公安机关认可的的网络安全等级保护测评报告。</w:t>
            </w:r>
          </w:p>
          <w:p w14:paraId="55DDA119">
            <w:pPr>
              <w:pStyle w:val="9"/>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▲二、商用密码应用安全性评估</w:t>
            </w:r>
          </w:p>
          <w:p w14:paraId="458DEE6A">
            <w:pPr>
              <w:pStyle w:val="9"/>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1、总的要求</w:t>
            </w:r>
          </w:p>
          <w:p w14:paraId="25DB33A4">
            <w:pPr>
              <w:pStyle w:val="9"/>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依据《信息安全技术信息系统密码应用基本要求》( GB / T 39786—2021)、《信息系统密码应用测评要求》、《信息系统密码应用测评过程指南》、《信息系统密码应用高风险判定指引》、《商用密码应用安全性评估量化评估规则》等标准、规范，对自治区政务服务中心本级办公网络（三级）开展商用密码应用安全性评估,全面评估其是否符合商用密码应用安全性评估的要求。</w:t>
            </w:r>
          </w:p>
          <w:p w14:paraId="69473AF3">
            <w:pPr>
              <w:pStyle w:val="9"/>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本次密评旨在对受测系统的商用密码应用的合规性、正确性和有效性进行评估。根据实际评估结果，对受测系统进行安全风险分析并给出改进建议，出具密评报告。</w:t>
            </w:r>
          </w:p>
          <w:p w14:paraId="78D358CE">
            <w:pPr>
              <w:pStyle w:val="9"/>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2、评估依据</w:t>
            </w:r>
          </w:p>
          <w:p w14:paraId="43FBEB3D">
            <w:pPr>
              <w:pStyle w:val="9"/>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（1）评估过程中主要依据的标准或规范性文件</w:t>
            </w:r>
          </w:p>
          <w:p w14:paraId="5091CFFB">
            <w:pPr>
              <w:pStyle w:val="9"/>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《信息安全技术 信息系统密码应用基本要求》（GB/T39786-2021）</w:t>
            </w:r>
          </w:p>
          <w:p w14:paraId="136ADD4C">
            <w:pPr>
              <w:pStyle w:val="9"/>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《信息系统密码应用测评要求》（GB/T 43206-2023）</w:t>
            </w:r>
          </w:p>
          <w:p w14:paraId="52F13EA1">
            <w:pPr>
              <w:pStyle w:val="9"/>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《信息系统密码应用测评过程指南》（GMT 0116-2021）</w:t>
            </w:r>
          </w:p>
          <w:p w14:paraId="2DD64F07">
            <w:pPr>
              <w:pStyle w:val="9"/>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《商用密码应用安全性评估测评作业指导书（试行）》</w:t>
            </w:r>
          </w:p>
          <w:p w14:paraId="71CCA73B">
            <w:pPr>
              <w:pStyle w:val="9"/>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cs="宋体"/>
                <w:color w:val="auto"/>
                <w:sz w:val="21"/>
                <w:szCs w:val="21"/>
              </w:rPr>
            </w:pPr>
            <w:r>
              <w:rPr>
                <w:rFonts w:ascii="宋体" w:hAnsi="宋体" w:cs="宋体"/>
                <w:color w:val="auto"/>
                <w:sz w:val="21"/>
                <w:szCs w:val="21"/>
              </w:rPr>
              <w:t>《信息安全技术 信息系统密码应用设计指南》（GB-T 43207-2023 ）</w:t>
            </w:r>
          </w:p>
          <w:p w14:paraId="7389C212">
            <w:pPr>
              <w:pStyle w:val="9"/>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（2）参考标准及规范</w:t>
            </w:r>
          </w:p>
          <w:p w14:paraId="7A1E6B32">
            <w:pPr>
              <w:pStyle w:val="9"/>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评估过程中其它参考性标准或规范性文件:</w:t>
            </w:r>
          </w:p>
          <w:p w14:paraId="07398B25">
            <w:pPr>
              <w:pStyle w:val="9"/>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GM / T 0024—2014 SSL VPN 技术规范</w:t>
            </w:r>
          </w:p>
          <w:p w14:paraId="70293221">
            <w:pPr>
              <w:pStyle w:val="9"/>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GM / T 0029—2014签名验签服务器技术规范</w:t>
            </w:r>
          </w:p>
          <w:p w14:paraId="3BEA733B">
            <w:pPr>
              <w:pStyle w:val="9"/>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3、评估原则</w:t>
            </w:r>
          </w:p>
          <w:p w14:paraId="72379A4D">
            <w:pPr>
              <w:pStyle w:val="9"/>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本次密评工作中严格遵循以下原则</w:t>
            </w:r>
          </w:p>
          <w:p w14:paraId="4A00724F">
            <w:pPr>
              <w:pStyle w:val="9"/>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（1）客观公正原则：密评人员在最小主观判断情况下,按照双方认可的密评方案，基于明确定义的评估方式和解释实施密评活动。</w:t>
            </w:r>
          </w:p>
          <w:p w14:paraId="31422481">
            <w:pPr>
              <w:pStyle w:val="9"/>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（2）经济及重用性原则：密评工作可重用包括商用密码安全产品评估结果和信息系统密码评估结果在内的已有评估结果。重用结果应适用于受测系统，并且能够反应出当前系统的安全状态。</w:t>
            </w:r>
          </w:p>
          <w:p w14:paraId="76C3AAE8">
            <w:pPr>
              <w:pStyle w:val="9"/>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（3）可重复、可再现性原则：任何密评人员，依照同样的要求，使用同样的评估方法，对每个密评实施过程的重复执行均应得到相同的密评结果。</w:t>
            </w:r>
          </w:p>
          <w:p w14:paraId="190CE7CC">
            <w:pPr>
              <w:pStyle w:val="9"/>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（4）规范性原则：项目实施过程中，在人员、质量和时间进度等方面进行严格管控,在保证测试质童的前提下，按计划进度执行。评估工具、方法和过程要在双方认可的范围之内合法进行。</w:t>
            </w:r>
          </w:p>
          <w:p w14:paraId="34DE4975">
            <w:pPr>
              <w:pStyle w:val="9"/>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（5）完整性原则：密评过程中，确保密评数据、过程记录的完整性。</w:t>
            </w:r>
          </w:p>
          <w:p w14:paraId="69630BD2">
            <w:pPr>
              <w:pStyle w:val="9"/>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（6）最小影响原则：应充分考虑密评活动对受测系统的影响，采取必要的措施，避免影响受测系统正常运行。</w:t>
            </w:r>
          </w:p>
          <w:p w14:paraId="0246C871">
            <w:pPr>
              <w:pStyle w:val="9"/>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（7）保密原则：应确保密评项目涉及的所有信息，不会泄露给第三方单位或个人，不擅自利用这些信息。</w:t>
            </w:r>
          </w:p>
          <w:p w14:paraId="048A29F1">
            <w:pPr>
              <w:pStyle w:val="9"/>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4、评估内容</w:t>
            </w:r>
          </w:p>
          <w:p w14:paraId="54984362">
            <w:pPr>
              <w:pStyle w:val="9"/>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商用密码应用安全性评估要求依据国家有关最新标准和规范对包括(但不限于)物理和环境安全、网络和通信安全、设备和计算安全、应用和数据安全、管理制度、人员管理、建设运行、应急处置等方面进行评估。</w:t>
            </w:r>
          </w:p>
          <w:p w14:paraId="3E292CDA">
            <w:pPr>
              <w:pStyle w:val="9"/>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（1）物理和环境安全包括身份鉴别、电子门禁记录数据完整性、视频记录数据完整性、密码服务、密码产品等评估项。</w:t>
            </w:r>
          </w:p>
          <w:p w14:paraId="14B7AA5D">
            <w:pPr>
              <w:pStyle w:val="9"/>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（2）网络和通信安全包括身份鉴别、通信数据完整性、通信过程中重要数据的机密性、网络边界访问控制信息的完整性、安全接入认证、密码服务、密码产品等评估项。</w:t>
            </w:r>
          </w:p>
          <w:p w14:paraId="750B6AA1">
            <w:pPr>
              <w:pStyle w:val="9"/>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（3）设备和计算安全包括身份鉴别、远程管理通道安全、系统资源访问控制信息完整性、重要信息资源安全标记完整性、日志记录完整性、重要可执行程序来源真实性、密码服务、密码产品等评估项。</w:t>
            </w:r>
          </w:p>
          <w:p w14:paraId="520554A1">
            <w:pPr>
              <w:pStyle w:val="9"/>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4）应用和数据安全包括身份鉴别、访问控制信息完整性、重要信息资源安全标记完整性、重要数据传输机密性、重要数据存储机密性、重要数据传输完整性、重要数据存储完整性、不可否认性、密码服务、密码产品等评估项。</w:t>
            </w:r>
          </w:p>
          <w:p w14:paraId="34E43E24">
            <w:pPr>
              <w:pStyle w:val="9"/>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（5）管理制度包括具备密码应用安全管理制度、密钥管理规制、建立操作规程、定期修订安全管理制度、明确管理制度发布流程、制度执行过程记录留存等评估项。</w:t>
            </w:r>
          </w:p>
          <w:p w14:paraId="54A40C2B">
            <w:pPr>
              <w:pStyle w:val="9"/>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（6）人员管理包括了解并遵守密码相关法律法规和密码管理制度、建立密码应用岗位责任制度、建立上岗人员培训制度、定期进行安全岗位人员考核、建立关键岗位人员保密制度和调离制度等评估项。</w:t>
            </w:r>
          </w:p>
          <w:p w14:paraId="36A4896A">
            <w:pPr>
              <w:pStyle w:val="9"/>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（7）建设运行包括制定密码应用方案、制定密钥安全管理策略、制定实施方案、投入运行前进行密码应用安全性评估、定期开展密码应用安全性评估及攻防对抗演习等评估项。</w:t>
            </w:r>
          </w:p>
          <w:p w14:paraId="339EC393">
            <w:pPr>
              <w:pStyle w:val="9"/>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（8）应急处置包括应急策略、事件处置、向有关主管部门上报处置情况等评估项。</w:t>
            </w:r>
          </w:p>
          <w:p w14:paraId="45106F29">
            <w:pPr>
              <w:pStyle w:val="9"/>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5、服务成果</w:t>
            </w:r>
          </w:p>
          <w:p w14:paraId="37D50993">
            <w:pPr>
              <w:pStyle w:val="9"/>
              <w:spacing w:line="24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完成被评估系统的商用密码应用方案评审并</w:t>
            </w:r>
            <w:r>
              <w:rPr>
                <w:rFonts w:ascii="宋体" w:hAnsi="宋体" w:cs="宋体"/>
                <w:color w:val="auto"/>
                <w:sz w:val="21"/>
                <w:szCs w:val="21"/>
              </w:rPr>
              <w:t>出具</w:t>
            </w:r>
            <w:r>
              <w:rPr>
                <w:rFonts w:hint="eastAsia" w:ascii="宋体" w:hAnsi="宋体" w:cs="宋体"/>
                <w:color w:val="auto"/>
                <w:sz w:val="21"/>
                <w:szCs w:val="21"/>
              </w:rPr>
              <w:t>商用密码应用</w:t>
            </w:r>
            <w:r>
              <w:rPr>
                <w:rFonts w:ascii="宋体" w:hAnsi="宋体" w:cs="宋体"/>
                <w:color w:val="auto"/>
                <w:sz w:val="21"/>
                <w:szCs w:val="21"/>
              </w:rPr>
              <w:t>方案评</w:t>
            </w:r>
            <w:r>
              <w:rPr>
                <w:rFonts w:hint="eastAsia" w:ascii="宋体" w:hAnsi="宋体" w:cs="宋体"/>
                <w:color w:val="auto"/>
                <w:sz w:val="21"/>
                <w:szCs w:val="21"/>
              </w:rPr>
              <w:t>估</w:t>
            </w:r>
            <w:r>
              <w:rPr>
                <w:rFonts w:ascii="宋体" w:hAnsi="宋体" w:cs="宋体"/>
                <w:color w:val="auto"/>
                <w:sz w:val="21"/>
                <w:szCs w:val="21"/>
              </w:rPr>
              <w:t>报</w:t>
            </w:r>
            <w:r>
              <w:rPr>
                <w:rFonts w:hint="eastAsia" w:ascii="宋体" w:hAnsi="宋体" w:cs="宋体"/>
                <w:color w:val="auto"/>
                <w:sz w:val="21"/>
                <w:szCs w:val="21"/>
              </w:rPr>
              <w:t>告，针对被评估系统出具商用密码应用安全性评估报告，报告按照国家密码管理局要求包含的内容编制或参考模板编制。报告中应协助被评估单位认清风险，查找漏洞，找出差距，提出有针对性的加强完善密码安全管理和防护建议。</w:t>
            </w:r>
          </w:p>
          <w:p w14:paraId="05AFD366">
            <w:pPr>
              <w:pStyle w:val="9"/>
              <w:spacing w:line="24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rPr>
              <w:t>▲</w:t>
            </w:r>
            <w:r>
              <w:rPr>
                <w:rFonts w:hint="eastAsia" w:ascii="宋体" w:hAnsi="宋体" w:cs="宋体"/>
                <w:color w:val="auto"/>
                <w:sz w:val="21"/>
                <w:szCs w:val="21"/>
                <w:lang w:val="en-US" w:eastAsia="zh-CN"/>
              </w:rPr>
              <w:t>三、安全应急服务</w:t>
            </w:r>
          </w:p>
          <w:p w14:paraId="60F31DCC">
            <w:pPr>
              <w:pStyle w:val="9"/>
              <w:spacing w:line="240" w:lineRule="auto"/>
              <w:ind w:firstLine="420" w:firstLineChars="200"/>
              <w:rPr>
                <w:rFonts w:hint="default" w:ascii="宋体" w:hAnsi="宋体" w:eastAsia="宋体" w:cs="宋体"/>
                <w:color w:val="auto"/>
                <w:sz w:val="21"/>
                <w:szCs w:val="21"/>
                <w:lang w:val="en-US" w:eastAsia="zh-CN"/>
              </w:rPr>
            </w:pPr>
            <w:r>
              <w:rPr>
                <w:rFonts w:hint="eastAsia" w:ascii="宋体" w:hAnsi="宋体" w:cs="宋体"/>
                <w:color w:val="auto"/>
                <w:sz w:val="21"/>
                <w:szCs w:val="21"/>
              </w:rPr>
              <w:t>自治区政务服务中心本级办公网络</w:t>
            </w:r>
            <w:r>
              <w:rPr>
                <w:rFonts w:ascii="Segoe UI" w:hAnsi="Segoe UI" w:eastAsia="Segoe UI" w:cs="Segoe UI"/>
                <w:i w:val="0"/>
                <w:iCs w:val="0"/>
                <w:caps w:val="0"/>
                <w:color w:val="auto"/>
                <w:spacing w:val="0"/>
                <w:sz w:val="21"/>
                <w:szCs w:val="21"/>
                <w:shd w:val="clear" w:color="auto" w:fill="auto"/>
              </w:rPr>
              <w:t>遭遇网络攻击、木马病毒、数据窃取等黑客入侵事件时</w:t>
            </w:r>
            <w:r>
              <w:rPr>
                <w:rFonts w:hint="eastAsia" w:ascii="Segoe UI" w:hAnsi="Segoe UI" w:eastAsia="宋体" w:cs="Segoe UI"/>
                <w:i w:val="0"/>
                <w:iCs w:val="0"/>
                <w:caps w:val="0"/>
                <w:color w:val="auto"/>
                <w:spacing w:val="0"/>
                <w:sz w:val="21"/>
                <w:szCs w:val="21"/>
                <w:shd w:val="clear" w:color="auto" w:fill="auto"/>
                <w:lang w:eastAsia="zh-CN"/>
              </w:rPr>
              <w:t>，</w:t>
            </w:r>
            <w:r>
              <w:rPr>
                <w:rFonts w:hint="eastAsia" w:ascii="Segoe UI" w:hAnsi="Segoe UI" w:eastAsia="宋体" w:cs="Segoe UI"/>
                <w:i w:val="0"/>
                <w:iCs w:val="0"/>
                <w:caps w:val="0"/>
                <w:color w:val="auto"/>
                <w:spacing w:val="0"/>
                <w:sz w:val="21"/>
                <w:szCs w:val="21"/>
                <w:shd w:val="clear" w:color="auto" w:fill="auto"/>
                <w:lang w:val="en-US" w:eastAsia="zh-CN"/>
              </w:rPr>
              <w:t>投标人组织应急响应团队，开展</w:t>
            </w:r>
            <w:r>
              <w:rPr>
                <w:rFonts w:ascii="Segoe UI" w:hAnsi="Segoe UI" w:eastAsia="Segoe UI" w:cs="Segoe UI"/>
                <w:i w:val="0"/>
                <w:iCs w:val="0"/>
                <w:caps w:val="0"/>
                <w:color w:val="auto"/>
                <w:spacing w:val="0"/>
                <w:sz w:val="21"/>
                <w:szCs w:val="21"/>
                <w:shd w:val="clear" w:color="auto" w:fill="auto"/>
              </w:rPr>
              <w:t>抑制止损、事件分析、系统加固、事件溯源等应急响应服务，</w:t>
            </w:r>
            <w:r>
              <w:rPr>
                <w:rFonts w:hint="eastAsia" w:ascii="Segoe UI" w:hAnsi="Segoe UI" w:eastAsia="宋体" w:cs="Segoe UI"/>
                <w:i w:val="0"/>
                <w:iCs w:val="0"/>
                <w:caps w:val="0"/>
                <w:color w:val="auto"/>
                <w:spacing w:val="0"/>
                <w:sz w:val="21"/>
                <w:szCs w:val="21"/>
                <w:shd w:val="clear" w:color="auto" w:fill="auto"/>
                <w:lang w:val="en-US" w:eastAsia="zh-CN"/>
              </w:rPr>
              <w:t>协助</w:t>
            </w:r>
            <w:r>
              <w:rPr>
                <w:rFonts w:ascii="Segoe UI" w:hAnsi="Segoe UI" w:eastAsia="Segoe UI" w:cs="Segoe UI"/>
                <w:i w:val="0"/>
                <w:iCs w:val="0"/>
                <w:caps w:val="0"/>
                <w:color w:val="auto"/>
                <w:spacing w:val="0"/>
                <w:sz w:val="21"/>
                <w:szCs w:val="21"/>
                <w:shd w:val="clear" w:color="auto" w:fill="auto"/>
              </w:rPr>
              <w:t>用户降低安全事件造成的影响与损失。</w:t>
            </w:r>
          </w:p>
        </w:tc>
      </w:tr>
      <w:tr w14:paraId="18917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9820" w:type="dxa"/>
            <w:gridSpan w:val="5"/>
            <w:vAlign w:val="center"/>
          </w:tcPr>
          <w:p w14:paraId="5A9F2DF3">
            <w:pPr>
              <w:pStyle w:val="9"/>
              <w:spacing w:line="240" w:lineRule="auto"/>
              <w:ind w:firstLine="482" w:firstLineChars="200"/>
              <w:jc w:val="center"/>
              <w:rPr>
                <w:rFonts w:hint="eastAsia" w:ascii="宋体" w:hAnsi="宋体" w:cs="宋体"/>
                <w:color w:val="auto"/>
                <w:sz w:val="21"/>
                <w:szCs w:val="21"/>
              </w:rPr>
            </w:pPr>
            <w:r>
              <w:rPr>
                <w:rFonts w:hint="eastAsia" w:cs="宋体"/>
                <w:b/>
                <w:color w:val="auto"/>
                <w:sz w:val="24"/>
                <w:szCs w:val="24"/>
              </w:rPr>
              <w:t>商务要求表</w:t>
            </w:r>
          </w:p>
        </w:tc>
      </w:tr>
      <w:tr w14:paraId="187AE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jc w:val="center"/>
        </w:trPr>
        <w:tc>
          <w:tcPr>
            <w:tcW w:w="1666" w:type="dxa"/>
            <w:gridSpan w:val="2"/>
            <w:vAlign w:val="center"/>
          </w:tcPr>
          <w:p w14:paraId="376F2AC8">
            <w:pPr>
              <w:pStyle w:val="9"/>
              <w:spacing w:line="240" w:lineRule="auto"/>
              <w:jc w:val="center"/>
              <w:rPr>
                <w:rFonts w:hint="eastAsia" w:ascii="宋体" w:hAnsi="宋体" w:cs="宋体"/>
                <w:color w:val="auto"/>
                <w:sz w:val="21"/>
                <w:szCs w:val="21"/>
              </w:rPr>
            </w:pPr>
            <w:r>
              <w:rPr>
                <w:rFonts w:hint="eastAsia" w:cs="宋体"/>
                <w:b/>
                <w:color w:val="auto"/>
              </w:rPr>
              <w:t>★</w:t>
            </w:r>
            <w:r>
              <w:rPr>
                <w:rFonts w:hint="eastAsia" w:ascii="宋体" w:hAnsi="宋体" w:cs="宋体"/>
                <w:color w:val="auto"/>
                <w:sz w:val="21"/>
                <w:szCs w:val="21"/>
              </w:rPr>
              <w:t>投标人资质要求</w:t>
            </w:r>
          </w:p>
        </w:tc>
        <w:tc>
          <w:tcPr>
            <w:tcW w:w="8154" w:type="dxa"/>
            <w:gridSpan w:val="3"/>
            <w:vAlign w:val="center"/>
          </w:tcPr>
          <w:p w14:paraId="7980EDF0">
            <w:pPr>
              <w:pStyle w:val="9"/>
              <w:spacing w:line="24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投标人必须具备公安部第三研究所认证颁发的《网络安全等级测评与检测评估机构服务认证证书》；投标人必须在国家密码管理局公告（第42号）的商用密码应用安全性评估试点机构目录中或提供国家密码管理局《国密局字[2021]183号通知》中审批通过的“可在本地区、本行业（领域）开展密码应用安全性评估资质的密评机构名单”的相关证明材料。提供证书或证明复印件并加盖公章；</w:t>
            </w:r>
          </w:p>
        </w:tc>
      </w:tr>
      <w:tr w14:paraId="0EC96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jc w:val="center"/>
        </w:trPr>
        <w:tc>
          <w:tcPr>
            <w:tcW w:w="1666" w:type="dxa"/>
            <w:gridSpan w:val="2"/>
            <w:vAlign w:val="center"/>
          </w:tcPr>
          <w:p w14:paraId="520ACBAD">
            <w:pPr>
              <w:pStyle w:val="9"/>
              <w:spacing w:line="240" w:lineRule="auto"/>
              <w:jc w:val="center"/>
              <w:rPr>
                <w:rFonts w:cs="宋体"/>
                <w:b/>
                <w:color w:val="auto"/>
              </w:rPr>
            </w:pPr>
            <w:r>
              <w:rPr>
                <w:rFonts w:hint="eastAsia" w:ascii="宋体" w:hAnsi="宋体" w:cs="宋体"/>
                <w:color w:val="auto"/>
                <w:sz w:val="21"/>
                <w:szCs w:val="21"/>
              </w:rPr>
              <w:t>完成期限及服务地点</w:t>
            </w:r>
          </w:p>
        </w:tc>
        <w:tc>
          <w:tcPr>
            <w:tcW w:w="8154" w:type="dxa"/>
            <w:gridSpan w:val="3"/>
            <w:vAlign w:val="center"/>
          </w:tcPr>
          <w:p w14:paraId="2FD2B52A">
            <w:pPr>
              <w:pStyle w:val="9"/>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▲一、合同签订期：自中标通知书发出之日起15日内。</w:t>
            </w:r>
          </w:p>
          <w:p w14:paraId="1450891A">
            <w:pPr>
              <w:pStyle w:val="9"/>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▲二、服务时间：自接到采购人进场通知之日起60个工作日内完成待测系统的网络安全等级保护测评及商用密码应用安全性评估工作，并出具相应的报告。</w:t>
            </w:r>
          </w:p>
          <w:p w14:paraId="4B25F507">
            <w:pPr>
              <w:pStyle w:val="9"/>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三、服务地点：采购人指定地点。</w:t>
            </w:r>
          </w:p>
        </w:tc>
      </w:tr>
      <w:tr w14:paraId="6E77A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666" w:type="dxa"/>
            <w:gridSpan w:val="2"/>
            <w:vAlign w:val="center"/>
          </w:tcPr>
          <w:p w14:paraId="632D5A1C">
            <w:pPr>
              <w:pStyle w:val="9"/>
              <w:spacing w:line="240" w:lineRule="auto"/>
              <w:jc w:val="center"/>
              <w:rPr>
                <w:rFonts w:hint="eastAsia" w:ascii="宋体" w:hAnsi="宋体" w:cs="宋体"/>
                <w:color w:val="auto"/>
                <w:sz w:val="21"/>
                <w:szCs w:val="21"/>
              </w:rPr>
            </w:pPr>
            <w:r>
              <w:rPr>
                <w:rFonts w:hint="eastAsia" w:ascii="宋体" w:hAnsi="宋体" w:cs="宋体"/>
                <w:color w:val="auto"/>
                <w:sz w:val="21"/>
                <w:szCs w:val="21"/>
              </w:rPr>
              <w:t>售后服务要求</w:t>
            </w:r>
          </w:p>
        </w:tc>
        <w:tc>
          <w:tcPr>
            <w:tcW w:w="8154" w:type="dxa"/>
            <w:gridSpan w:val="3"/>
            <w:vAlign w:val="center"/>
          </w:tcPr>
          <w:p w14:paraId="1513ACE5">
            <w:pPr>
              <w:pStyle w:val="9"/>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1、服务期限：自签订合同之日起1年</w:t>
            </w:r>
          </w:p>
          <w:p w14:paraId="2458AB97">
            <w:pPr>
              <w:pStyle w:val="9"/>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cs="宋体"/>
                <w:color w:val="auto"/>
                <w:sz w:val="21"/>
                <w:szCs w:val="21"/>
              </w:rPr>
            </w:pPr>
          </w:p>
        </w:tc>
      </w:tr>
      <w:tr w14:paraId="5A0F2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9" w:hRule="atLeast"/>
          <w:jc w:val="center"/>
        </w:trPr>
        <w:tc>
          <w:tcPr>
            <w:tcW w:w="1666" w:type="dxa"/>
            <w:gridSpan w:val="2"/>
            <w:vAlign w:val="center"/>
          </w:tcPr>
          <w:p w14:paraId="2939926E">
            <w:pPr>
              <w:pStyle w:val="9"/>
              <w:spacing w:line="240" w:lineRule="auto"/>
              <w:jc w:val="center"/>
              <w:rPr>
                <w:rFonts w:hint="eastAsia" w:ascii="宋体" w:hAnsi="宋体" w:cs="宋体"/>
                <w:color w:val="auto"/>
                <w:sz w:val="21"/>
                <w:szCs w:val="21"/>
              </w:rPr>
            </w:pPr>
            <w:r>
              <w:rPr>
                <w:rFonts w:hint="eastAsia" w:ascii="宋体" w:hAnsi="宋体" w:cs="宋体"/>
                <w:color w:val="auto"/>
                <w:sz w:val="21"/>
                <w:szCs w:val="21"/>
              </w:rPr>
              <w:t>其他要求</w:t>
            </w:r>
          </w:p>
        </w:tc>
        <w:tc>
          <w:tcPr>
            <w:tcW w:w="8154" w:type="dxa"/>
            <w:gridSpan w:val="3"/>
            <w:vAlign w:val="center"/>
          </w:tcPr>
          <w:p w14:paraId="5E852F22">
            <w:pPr>
              <w:snapToGrid w:val="0"/>
              <w:spacing w:line="240" w:lineRule="auto"/>
              <w:ind w:firstLine="420" w:firstLineChars="200"/>
              <w:outlineLvl w:val="0"/>
              <w:rPr>
                <w:rFonts w:hAnsi="宋体" w:cs="宋体"/>
                <w:color w:val="auto"/>
                <w:kern w:val="2"/>
                <w:sz w:val="21"/>
              </w:rPr>
            </w:pPr>
            <w:r>
              <w:rPr>
                <w:rFonts w:hint="eastAsia" w:hAnsi="宋体" w:cs="宋体"/>
                <w:color w:val="auto"/>
                <w:kern w:val="2"/>
                <w:sz w:val="21"/>
              </w:rPr>
              <w:t>1、定期回访，免费提供技术支持及培训。</w:t>
            </w:r>
          </w:p>
          <w:p w14:paraId="47A4F94E">
            <w:pPr>
              <w:snapToGrid w:val="0"/>
              <w:spacing w:line="240" w:lineRule="auto"/>
              <w:ind w:firstLine="420" w:firstLineChars="200"/>
              <w:outlineLvl w:val="0"/>
              <w:rPr>
                <w:rFonts w:hAnsi="宋体" w:cs="宋体"/>
                <w:color w:val="auto"/>
                <w:kern w:val="2"/>
                <w:sz w:val="21"/>
              </w:rPr>
            </w:pPr>
            <w:r>
              <w:rPr>
                <w:rFonts w:hint="eastAsia" w:hAnsi="宋体" w:cs="宋体"/>
                <w:color w:val="auto"/>
                <w:kern w:val="2"/>
                <w:sz w:val="21"/>
              </w:rPr>
              <w:t>2、提供全区统一客服电话，7×24小时故障申告受理。有明确的服务规程和项目应急维护方案，并提供售后服务方案和机构的详细情况：包括服务机构的地址、服务人员姓名、联系方式、售后服务措施等。</w:t>
            </w:r>
          </w:p>
          <w:p w14:paraId="12AF9803">
            <w:pPr>
              <w:autoSpaceDE/>
              <w:autoSpaceDN/>
              <w:adjustRightInd/>
              <w:spacing w:before="0" w:after="0" w:line="240" w:lineRule="auto"/>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、中标人必须签署相关保密协议，严格遵守协议要求。</w:t>
            </w:r>
          </w:p>
          <w:p w14:paraId="4EDBE235">
            <w:pPr>
              <w:autoSpaceDE/>
              <w:autoSpaceDN/>
              <w:adjustRightInd/>
              <w:spacing w:before="0" w:after="0" w:line="240" w:lineRule="auto"/>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、投标人必须针对本项目提供技术实施方案，包含测评方案、实施方案、质量管理、文档管理等详细内容。</w:t>
            </w:r>
          </w:p>
          <w:p w14:paraId="30463CF4">
            <w:pPr>
              <w:autoSpaceDE/>
              <w:autoSpaceDN/>
              <w:adjustRightInd/>
              <w:spacing w:before="0" w:after="0" w:line="240" w:lineRule="auto"/>
              <w:ind w:firstLine="420" w:firstLineChars="200"/>
              <w:jc w:val="left"/>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5</w:t>
            </w:r>
            <w:r>
              <w:rPr>
                <w:rFonts w:hint="eastAsia" w:ascii="宋体" w:hAnsi="宋体" w:cs="宋体"/>
                <w:color w:val="auto"/>
                <w:szCs w:val="21"/>
              </w:rPr>
              <w:t>、付款方式：</w:t>
            </w:r>
            <w:r>
              <w:rPr>
                <w:rFonts w:hint="eastAsia" w:ascii="宋体" w:hAnsi="宋体" w:cs="宋体"/>
                <w:color w:val="auto"/>
                <w:sz w:val="21"/>
                <w:szCs w:val="21"/>
              </w:rPr>
              <w:t>合同签订后10个工作日内，甲方向乙方支付合同总额30%的款项；乙方完成等级保护测评</w:t>
            </w:r>
            <w:r>
              <w:rPr>
                <w:rFonts w:hint="eastAsia" w:ascii="宋体" w:hAnsi="宋体" w:cs="宋体"/>
                <w:color w:val="auto"/>
                <w:sz w:val="21"/>
                <w:szCs w:val="21"/>
                <w:lang w:val="en-US" w:eastAsia="zh-CN"/>
              </w:rPr>
              <w:t>并提交</w:t>
            </w:r>
            <w:r>
              <w:rPr>
                <w:rFonts w:hint="eastAsia" w:ascii="宋体" w:hAnsi="宋体" w:cs="宋体"/>
                <w:color w:val="auto"/>
                <w:szCs w:val="21"/>
              </w:rPr>
              <w:t>符合公安部门要求规范的报告</w:t>
            </w:r>
            <w:r>
              <w:rPr>
                <w:rFonts w:hint="eastAsia" w:ascii="宋体" w:hAnsi="宋体" w:cs="宋体"/>
                <w:color w:val="auto"/>
                <w:sz w:val="21"/>
                <w:szCs w:val="21"/>
              </w:rPr>
              <w:t>后，甲方在15个工作日内向乙方支付合同总价的</w:t>
            </w:r>
            <w:r>
              <w:rPr>
                <w:rFonts w:hint="eastAsia" w:ascii="宋体" w:hAnsi="宋体" w:cs="宋体"/>
                <w:color w:val="auto"/>
                <w:sz w:val="21"/>
                <w:szCs w:val="21"/>
                <w:lang w:eastAsia="zh-CN"/>
              </w:rPr>
              <w:t>3</w:t>
            </w:r>
            <w:r>
              <w:rPr>
                <w:rFonts w:hint="eastAsia" w:ascii="宋体" w:hAnsi="宋体" w:cs="宋体"/>
                <w:color w:val="auto"/>
                <w:sz w:val="21"/>
                <w:szCs w:val="21"/>
              </w:rPr>
              <w:t>0%款项。乙方完成商用密码应用安全性评估工作</w:t>
            </w:r>
            <w:r>
              <w:rPr>
                <w:rFonts w:hint="eastAsia" w:ascii="宋体" w:hAnsi="宋体" w:cs="宋体"/>
                <w:color w:val="auto"/>
                <w:sz w:val="21"/>
                <w:szCs w:val="21"/>
                <w:lang w:val="en-US" w:eastAsia="zh-CN"/>
              </w:rPr>
              <w:t>并提交</w:t>
            </w:r>
            <w:r>
              <w:rPr>
                <w:rFonts w:hint="eastAsia" w:ascii="宋体" w:hAnsi="宋体" w:cs="宋体"/>
                <w:color w:val="auto"/>
                <w:szCs w:val="21"/>
              </w:rPr>
              <w:t>符合国家密码管理部门要求规范的报告</w:t>
            </w:r>
            <w:r>
              <w:rPr>
                <w:rFonts w:hint="eastAsia" w:ascii="宋体" w:hAnsi="宋体" w:cs="宋体"/>
                <w:color w:val="auto"/>
                <w:sz w:val="21"/>
                <w:szCs w:val="21"/>
              </w:rPr>
              <w:t>，甲方在15个工作日内向乙方支付合同总价的</w:t>
            </w:r>
            <w:r>
              <w:rPr>
                <w:rFonts w:hint="eastAsia" w:ascii="宋体" w:hAnsi="宋体" w:cs="宋体"/>
                <w:color w:val="auto"/>
                <w:sz w:val="21"/>
                <w:szCs w:val="21"/>
                <w:lang w:eastAsia="zh-CN"/>
              </w:rPr>
              <w:t>4</w:t>
            </w:r>
            <w:r>
              <w:rPr>
                <w:rFonts w:hint="eastAsia" w:ascii="宋体" w:hAnsi="宋体" w:cs="宋体"/>
                <w:color w:val="auto"/>
                <w:sz w:val="21"/>
                <w:szCs w:val="21"/>
              </w:rPr>
              <w:t>0%款项</w:t>
            </w:r>
            <w:r>
              <w:rPr>
                <w:rFonts w:hint="eastAsia" w:ascii="宋体" w:hAnsi="宋体" w:cs="宋体"/>
                <w:color w:val="auto"/>
                <w:sz w:val="21"/>
                <w:szCs w:val="21"/>
                <w:lang w:eastAsia="zh-CN"/>
              </w:rPr>
              <w:t>。</w:t>
            </w:r>
            <w:bookmarkStart w:id="3" w:name="_GoBack"/>
            <w:bookmarkEnd w:id="3"/>
            <w:r>
              <w:rPr>
                <w:rFonts w:hint="eastAsia" w:ascii="宋体" w:hAnsi="宋体" w:cs="宋体"/>
                <w:color w:val="auto"/>
                <w:sz w:val="21"/>
                <w:szCs w:val="21"/>
                <w:lang w:val="en-US" w:eastAsia="zh-CN"/>
              </w:rPr>
              <w:t>每次付款前，乙方必须向甲方提供发票和请款函。</w:t>
            </w:r>
          </w:p>
        </w:tc>
      </w:tr>
    </w:tbl>
    <w:p w14:paraId="314E73D0"/>
    <w:p w14:paraId="79C95D38">
      <w:pPr>
        <w:pStyle w:val="18"/>
      </w:pPr>
    </w:p>
    <w:p w14:paraId="2163684B">
      <w:pPr>
        <w:jc w:val="center"/>
        <w:rPr>
          <w:b/>
          <w:bCs/>
        </w:rPr>
      </w:pPr>
      <w:bookmarkStart w:id="0" w:name="_Toc3739"/>
      <w:bookmarkStart w:id="1" w:name="_Toc453061765"/>
      <w:bookmarkStart w:id="2" w:name="_Toc58831966"/>
    </w:p>
    <w:bookmarkEnd w:id="0"/>
    <w:bookmarkEnd w:id="1"/>
    <w:bookmarkEnd w:id="2"/>
    <w:p w14:paraId="342060A9"/>
    <w:p w14:paraId="508D1A6E">
      <w:pPr>
        <w:pStyle w:val="14"/>
      </w:pPr>
    </w:p>
    <w:p w14:paraId="4E31B6E8">
      <w:pPr>
        <w:pStyle w:val="14"/>
      </w:pPr>
    </w:p>
    <w:p w14:paraId="10D0565C">
      <w:pPr>
        <w:pStyle w:val="14"/>
      </w:pPr>
    </w:p>
    <w:sectPr>
      <w:pgSz w:w="11906" w:h="16838"/>
      <w:pgMar w:top="2120" w:right="1463" w:bottom="2007" w:left="163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黑体">
    <w:altName w:val="宋体"/>
    <w:panose1 w:val="00000000000000000000"/>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yOWYyMjJhOWQxYzQzMzM4NjYzODdkODlmOWZkNjMifQ=="/>
  </w:docVars>
  <w:rsids>
    <w:rsidRoot w:val="00115A8C"/>
    <w:rsid w:val="00115A8C"/>
    <w:rsid w:val="001A4A2B"/>
    <w:rsid w:val="0039236C"/>
    <w:rsid w:val="006573DE"/>
    <w:rsid w:val="00974438"/>
    <w:rsid w:val="00BB37F8"/>
    <w:rsid w:val="0BD50485"/>
    <w:rsid w:val="0D7110D5"/>
    <w:rsid w:val="0FEA3799"/>
    <w:rsid w:val="1C8224DB"/>
    <w:rsid w:val="1E3D17D2"/>
    <w:rsid w:val="1E9A7E51"/>
    <w:rsid w:val="21E07116"/>
    <w:rsid w:val="21EC1240"/>
    <w:rsid w:val="237C4249"/>
    <w:rsid w:val="23FE3883"/>
    <w:rsid w:val="26742E59"/>
    <w:rsid w:val="27B04BAD"/>
    <w:rsid w:val="2F803CE6"/>
    <w:rsid w:val="31A741EB"/>
    <w:rsid w:val="3B225010"/>
    <w:rsid w:val="3FC06D0E"/>
    <w:rsid w:val="44CC1190"/>
    <w:rsid w:val="47866DB1"/>
    <w:rsid w:val="4E2344C8"/>
    <w:rsid w:val="50F500AF"/>
    <w:rsid w:val="552C6FE0"/>
    <w:rsid w:val="56011243"/>
    <w:rsid w:val="5E5A7488"/>
    <w:rsid w:val="64700D8F"/>
    <w:rsid w:val="678D4827"/>
    <w:rsid w:val="6A7838FC"/>
    <w:rsid w:val="6AD241B8"/>
    <w:rsid w:val="6BD35BF3"/>
    <w:rsid w:val="6D1A0CE5"/>
    <w:rsid w:val="6D774B43"/>
    <w:rsid w:val="6E24139B"/>
    <w:rsid w:val="6E444503"/>
    <w:rsid w:val="71B11502"/>
    <w:rsid w:val="79DB1EE6"/>
    <w:rsid w:val="7A2F6982"/>
    <w:rsid w:val="7A8A1456"/>
    <w:rsid w:val="7ABD5F02"/>
    <w:rsid w:val="7C417430"/>
    <w:rsid w:val="7E3A6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qFormat/>
    <w:uiPriority w:val="0"/>
    <w:pPr>
      <w:widowControl/>
      <w:pBdr>
        <w:top w:val="dotted" w:color="4F81BD" w:sz="6" w:space="2"/>
        <w:left w:val="dotted" w:color="4F81BD" w:sz="6" w:space="2"/>
      </w:pBdr>
      <w:spacing w:before="300"/>
      <w:jc w:val="left"/>
      <w:outlineLvl w:val="3"/>
    </w:pPr>
    <w:rPr>
      <w:rFonts w:ascii="Calibri" w:hAnsi="Calibri"/>
      <w:caps/>
      <w:color w:val="365F91"/>
      <w:spacing w:val="10"/>
      <w:kern w:val="0"/>
      <w:sz w:val="22"/>
      <w:szCs w:val="22"/>
      <w:lang w:eastAsia="en-US" w:bidi="en-US"/>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Default"/>
    <w:autoRedefine/>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styleId="4">
    <w:name w:val="annotation text"/>
    <w:basedOn w:val="1"/>
    <w:link w:val="21"/>
    <w:qFormat/>
    <w:uiPriority w:val="0"/>
    <w:pPr>
      <w:jc w:val="left"/>
    </w:pPr>
  </w:style>
  <w:style w:type="paragraph" w:styleId="5">
    <w:name w:val="Body Text"/>
    <w:basedOn w:val="1"/>
    <w:next w:val="6"/>
    <w:qFormat/>
    <w:uiPriority w:val="0"/>
    <w:rPr>
      <w:rFonts w:ascii="金山简黑体" w:hAnsi="Courier New" w:eastAsia="金山简黑体"/>
      <w:b/>
      <w:spacing w:val="-8"/>
      <w:sz w:val="44"/>
      <w:szCs w:val="20"/>
    </w:rPr>
  </w:style>
  <w:style w:type="paragraph" w:styleId="6">
    <w:name w:val="toc 2"/>
    <w:basedOn w:val="1"/>
    <w:next w:val="1"/>
    <w:qFormat/>
    <w:uiPriority w:val="0"/>
    <w:pPr>
      <w:ind w:left="420" w:leftChars="200"/>
    </w:pPr>
  </w:style>
  <w:style w:type="paragraph" w:styleId="7">
    <w:name w:val="Body Text Indent"/>
    <w:basedOn w:val="1"/>
    <w:qFormat/>
    <w:uiPriority w:val="0"/>
    <w:pPr>
      <w:spacing w:line="200" w:lineRule="exact"/>
      <w:ind w:firstLine="301"/>
    </w:pPr>
    <w:rPr>
      <w:rFonts w:ascii="宋体" w:hAnsi="Courier New"/>
      <w:spacing w:val="-4"/>
      <w:sz w:val="18"/>
      <w:szCs w:val="20"/>
    </w:rPr>
  </w:style>
  <w:style w:type="paragraph" w:styleId="8">
    <w:name w:val="Plain Text"/>
    <w:basedOn w:val="1"/>
    <w:next w:val="3"/>
    <w:qFormat/>
    <w:uiPriority w:val="0"/>
    <w:rPr>
      <w:rFonts w:ascii="宋体" w:hAnsi="Courier New"/>
      <w:szCs w:val="20"/>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link w:val="20"/>
    <w:qFormat/>
    <w:uiPriority w:val="0"/>
    <w:pPr>
      <w:tabs>
        <w:tab w:val="center" w:pos="4153"/>
        <w:tab w:val="right" w:pos="8306"/>
      </w:tabs>
      <w:snapToGrid w:val="0"/>
      <w:jc w:val="center"/>
    </w:pPr>
    <w:rPr>
      <w:sz w:val="18"/>
      <w:szCs w:val="18"/>
    </w:rPr>
  </w:style>
  <w:style w:type="paragraph" w:styleId="11">
    <w:name w:val="toc 9"/>
    <w:basedOn w:val="1"/>
    <w:next w:val="1"/>
    <w:unhideWhenUsed/>
    <w:qFormat/>
    <w:uiPriority w:val="0"/>
    <w:pPr>
      <w:ind w:left="1680"/>
      <w:jc w:val="left"/>
    </w:pPr>
    <w:rPr>
      <w:rFonts w:ascii="Calibri" w:hAnsi="Calibri"/>
      <w:sz w:val="18"/>
      <w:szCs w:val="18"/>
    </w:rPr>
  </w:style>
  <w:style w:type="paragraph" w:styleId="12">
    <w:name w:val="Title"/>
    <w:basedOn w:val="1"/>
    <w:qFormat/>
    <w:uiPriority w:val="0"/>
    <w:pPr>
      <w:spacing w:before="240" w:after="60"/>
      <w:jc w:val="center"/>
      <w:outlineLvl w:val="0"/>
    </w:pPr>
    <w:rPr>
      <w:rFonts w:ascii="宋体" w:hAnsi="宋体" w:cs="Arial"/>
      <w:b/>
      <w:bCs/>
      <w:sz w:val="36"/>
      <w:szCs w:val="32"/>
    </w:rPr>
  </w:style>
  <w:style w:type="paragraph" w:styleId="13">
    <w:name w:val="annotation subject"/>
    <w:basedOn w:val="4"/>
    <w:next w:val="4"/>
    <w:link w:val="22"/>
    <w:qFormat/>
    <w:uiPriority w:val="0"/>
    <w:rPr>
      <w:b/>
      <w:bCs/>
    </w:rPr>
  </w:style>
  <w:style w:type="paragraph" w:styleId="14">
    <w:name w:val="Body Text First Indent 2"/>
    <w:basedOn w:val="7"/>
    <w:next w:val="1"/>
    <w:qFormat/>
    <w:uiPriority w:val="0"/>
    <w:pPr>
      <w:spacing w:line="360" w:lineRule="auto"/>
      <w:ind w:firstLine="0"/>
    </w:pPr>
    <w:rPr>
      <w:sz w:val="24"/>
    </w:rPr>
  </w:style>
  <w:style w:type="character" w:styleId="17">
    <w:name w:val="annotation reference"/>
    <w:basedOn w:val="16"/>
    <w:qFormat/>
    <w:uiPriority w:val="0"/>
    <w:rPr>
      <w:sz w:val="21"/>
      <w:szCs w:val="21"/>
    </w:rPr>
  </w:style>
  <w:style w:type="paragraph" w:customStyle="1" w:styleId="18">
    <w:name w:val="表格文字"/>
    <w:basedOn w:val="1"/>
    <w:next w:val="5"/>
    <w:autoRedefine/>
    <w:qFormat/>
    <w:uiPriority w:val="99"/>
    <w:pPr>
      <w:spacing w:before="25" w:after="25"/>
      <w:jc w:val="left"/>
    </w:pPr>
    <w:rPr>
      <w:bCs/>
      <w:spacing w:val="10"/>
      <w:kern w:val="0"/>
      <w:sz w:val="24"/>
    </w:rPr>
  </w:style>
  <w:style w:type="paragraph" w:customStyle="1" w:styleId="19">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0">
    <w:name w:val="页眉 字符"/>
    <w:basedOn w:val="16"/>
    <w:link w:val="10"/>
    <w:qFormat/>
    <w:uiPriority w:val="0"/>
    <w:rPr>
      <w:kern w:val="2"/>
      <w:sz w:val="18"/>
      <w:szCs w:val="18"/>
    </w:rPr>
  </w:style>
  <w:style w:type="character" w:customStyle="1" w:styleId="21">
    <w:name w:val="批注文字 字符"/>
    <w:basedOn w:val="16"/>
    <w:link w:val="4"/>
    <w:qFormat/>
    <w:uiPriority w:val="0"/>
    <w:rPr>
      <w:kern w:val="2"/>
      <w:sz w:val="21"/>
      <w:szCs w:val="24"/>
    </w:rPr>
  </w:style>
  <w:style w:type="character" w:customStyle="1" w:styleId="22">
    <w:name w:val="批注主题 字符"/>
    <w:basedOn w:val="21"/>
    <w:link w:val="13"/>
    <w:qFormat/>
    <w:uiPriority w:val="0"/>
    <w:rPr>
      <w:b/>
      <w:bCs/>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3576</Words>
  <Characters>3763</Characters>
  <Lines>40</Lines>
  <Paragraphs>11</Paragraphs>
  <TotalTime>76</TotalTime>
  <ScaleCrop>false</ScaleCrop>
  <LinksUpToDate>false</LinksUpToDate>
  <CharactersWithSpaces>3789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2023-12-12T01:19:00Z</dcterms:created>
  <dc:creator>Administrator</dc:creator>
  <cp:lastModifiedBy>茶白</cp:lastModifiedBy>
  <dcterms:modified xsi:type="dcterms:W3CDTF">2024-08-13T03:39:53Z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04CFAB445A474780A36A7E62882D5EB1_13</vt:lpwstr>
  </property>
</Properties>
</file>