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70839">
      <w:pPr>
        <w:adjustRightInd w:val="0"/>
        <w:snapToGrid w:val="0"/>
        <w:spacing w:line="570" w:lineRule="exact"/>
        <w:jc w:val="center"/>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rPr>
        <w:t>2024年自治区政务服务专用信息化系统安全管理测评项目</w:t>
      </w:r>
      <w:r>
        <w:rPr>
          <w:rFonts w:hint="eastAsia" w:ascii="方正小标宋_GBK" w:hAnsi="方正小标宋_GBK" w:eastAsia="方正小标宋_GBK" w:cs="方正小标宋_GBK"/>
          <w:b w:val="0"/>
          <w:bCs w:val="0"/>
          <w:color w:val="000000"/>
          <w:sz w:val="44"/>
          <w:szCs w:val="44"/>
          <w:lang w:val="en-US" w:eastAsia="zh-CN"/>
        </w:rPr>
        <w:t>评分标准</w:t>
      </w:r>
    </w:p>
    <w:p w14:paraId="759332DA">
      <w:pPr>
        <w:adjustRightInd w:val="0"/>
        <w:snapToGrid w:val="0"/>
        <w:spacing w:line="570" w:lineRule="exact"/>
        <w:jc w:val="center"/>
        <w:rPr>
          <w:rFonts w:hint="eastAsia" w:ascii="方正小标宋_GBK" w:hAnsi="方正小标宋_GBK" w:eastAsia="方正小标宋_GBK" w:cs="方正小标宋_GBK"/>
          <w:sz w:val="44"/>
          <w:szCs w:val="44"/>
        </w:rPr>
      </w:pPr>
      <w:bookmarkStart w:id="0" w:name="_GoBack"/>
      <w:bookmarkEnd w:id="0"/>
    </w:p>
    <w:p w14:paraId="750032BA">
      <w:pPr>
        <w:pStyle w:val="14"/>
      </w:pPr>
    </w:p>
    <w:tbl>
      <w:tblPr>
        <w:tblStyle w:val="15"/>
        <w:tblW w:w="9466" w:type="dxa"/>
        <w:jc w:val="center"/>
        <w:tblLayout w:type="fixed"/>
        <w:tblCellMar>
          <w:top w:w="0" w:type="dxa"/>
          <w:left w:w="108" w:type="dxa"/>
          <w:bottom w:w="0" w:type="dxa"/>
          <w:right w:w="108" w:type="dxa"/>
        </w:tblCellMar>
      </w:tblPr>
      <w:tblGrid>
        <w:gridCol w:w="1134"/>
        <w:gridCol w:w="817"/>
        <w:gridCol w:w="708"/>
        <w:gridCol w:w="6807"/>
      </w:tblGrid>
      <w:tr w14:paraId="78A77415">
        <w:tblPrEx>
          <w:tblCellMar>
            <w:top w:w="0" w:type="dxa"/>
            <w:left w:w="108" w:type="dxa"/>
            <w:bottom w:w="0" w:type="dxa"/>
            <w:right w:w="108" w:type="dxa"/>
          </w:tblCellMar>
        </w:tblPrEx>
        <w:trPr>
          <w:trHeight w:val="460" w:hRule="atLeast"/>
          <w:jc w:val="center"/>
        </w:trPr>
        <w:tc>
          <w:tcPr>
            <w:tcW w:w="1134" w:type="dxa"/>
            <w:tcBorders>
              <w:top w:val="single" w:color="000000" w:sz="4" w:space="0"/>
              <w:left w:val="single" w:color="000000" w:sz="4" w:space="0"/>
              <w:bottom w:val="single" w:color="000000" w:sz="4" w:space="0"/>
              <w:right w:val="single" w:color="000000" w:sz="4" w:space="0"/>
            </w:tcBorders>
            <w:noWrap/>
            <w:vAlign w:val="center"/>
          </w:tcPr>
          <w:p w14:paraId="674D94C6">
            <w:pPr>
              <w:widowControl/>
              <w:jc w:val="center"/>
              <w:rPr>
                <w:rFonts w:cs="宋体"/>
                <w:b/>
                <w:bCs/>
                <w:color w:val="000000"/>
                <w:kern w:val="0"/>
                <w:sz w:val="22"/>
                <w:szCs w:val="22"/>
              </w:rPr>
            </w:pPr>
            <w:r>
              <w:rPr>
                <w:rFonts w:hint="eastAsia" w:cs="宋体"/>
                <w:b/>
                <w:bCs/>
                <w:color w:val="000000"/>
                <w:kern w:val="0"/>
                <w:sz w:val="22"/>
                <w:szCs w:val="22"/>
              </w:rPr>
              <w:t>类别</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5520899">
            <w:pPr>
              <w:widowControl/>
              <w:jc w:val="center"/>
              <w:rPr>
                <w:rFonts w:cs="宋体"/>
                <w:b/>
                <w:bCs/>
                <w:color w:val="000000"/>
                <w:kern w:val="0"/>
                <w:sz w:val="22"/>
                <w:szCs w:val="22"/>
              </w:rPr>
            </w:pPr>
            <w:r>
              <w:rPr>
                <w:rFonts w:hint="eastAsia" w:cs="宋体"/>
                <w:b/>
                <w:bCs/>
                <w:color w:val="000000"/>
                <w:kern w:val="0"/>
                <w:sz w:val="22"/>
                <w:szCs w:val="22"/>
              </w:rPr>
              <w:t>评分因素</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391B368">
            <w:pPr>
              <w:widowControl/>
              <w:jc w:val="center"/>
              <w:rPr>
                <w:rFonts w:cs="宋体"/>
                <w:b/>
                <w:bCs/>
                <w:color w:val="000000"/>
                <w:kern w:val="0"/>
                <w:sz w:val="22"/>
                <w:szCs w:val="22"/>
              </w:rPr>
            </w:pPr>
            <w:r>
              <w:rPr>
                <w:rFonts w:hint="eastAsia" w:cs="宋体"/>
                <w:b/>
                <w:bCs/>
                <w:color w:val="000000"/>
                <w:kern w:val="0"/>
                <w:sz w:val="22"/>
                <w:szCs w:val="22"/>
              </w:rPr>
              <w:t>分数</w:t>
            </w:r>
          </w:p>
        </w:tc>
        <w:tc>
          <w:tcPr>
            <w:tcW w:w="6807" w:type="dxa"/>
            <w:tcBorders>
              <w:top w:val="single" w:color="000000" w:sz="4" w:space="0"/>
              <w:left w:val="single" w:color="000000" w:sz="4" w:space="0"/>
              <w:bottom w:val="single" w:color="000000" w:sz="4" w:space="0"/>
              <w:right w:val="single" w:color="000000" w:sz="4" w:space="0"/>
            </w:tcBorders>
            <w:noWrap/>
            <w:vAlign w:val="center"/>
          </w:tcPr>
          <w:p w14:paraId="6D11E26F">
            <w:pPr>
              <w:widowControl/>
              <w:jc w:val="center"/>
              <w:rPr>
                <w:rFonts w:cs="宋体"/>
                <w:b/>
                <w:bCs/>
                <w:color w:val="000000"/>
                <w:kern w:val="0"/>
                <w:sz w:val="22"/>
                <w:szCs w:val="22"/>
              </w:rPr>
            </w:pPr>
            <w:r>
              <w:rPr>
                <w:rFonts w:hint="eastAsia" w:cs="宋体"/>
                <w:b/>
                <w:bCs/>
                <w:color w:val="000000"/>
                <w:kern w:val="0"/>
                <w:sz w:val="22"/>
                <w:szCs w:val="22"/>
              </w:rPr>
              <w:t>评分标准</w:t>
            </w:r>
          </w:p>
        </w:tc>
      </w:tr>
      <w:tr w14:paraId="79ADF6EB">
        <w:tblPrEx>
          <w:tblCellMar>
            <w:top w:w="0" w:type="dxa"/>
            <w:left w:w="108" w:type="dxa"/>
            <w:bottom w:w="0" w:type="dxa"/>
            <w:right w:w="108" w:type="dxa"/>
          </w:tblCellMar>
        </w:tblPrEx>
        <w:trPr>
          <w:trHeight w:val="1125" w:hRule="atLeast"/>
          <w:jc w:val="center"/>
        </w:trPr>
        <w:tc>
          <w:tcPr>
            <w:tcW w:w="1134" w:type="dxa"/>
            <w:vMerge w:val="restart"/>
            <w:tcBorders>
              <w:top w:val="single" w:color="000000" w:sz="4" w:space="0"/>
              <w:left w:val="single" w:color="000000" w:sz="4" w:space="0"/>
              <w:right w:val="single" w:color="000000" w:sz="4" w:space="0"/>
            </w:tcBorders>
            <w:noWrap/>
            <w:vAlign w:val="center"/>
          </w:tcPr>
          <w:p w14:paraId="36D25A25">
            <w:pPr>
              <w:jc w:val="center"/>
              <w:rPr>
                <w:rFonts w:cs="宋体"/>
                <w:color w:val="000000"/>
                <w:kern w:val="0"/>
                <w:sz w:val="22"/>
                <w:szCs w:val="22"/>
              </w:rPr>
            </w:pPr>
            <w:r>
              <w:rPr>
                <w:rFonts w:hint="eastAsia" w:cs="宋体"/>
                <w:color w:val="000000"/>
                <w:kern w:val="0"/>
                <w:sz w:val="22"/>
                <w:szCs w:val="22"/>
              </w:rPr>
              <w:t>商务评议（</w:t>
            </w:r>
            <w:r>
              <w:rPr>
                <w:rFonts w:cs="宋体"/>
                <w:color w:val="000000"/>
                <w:kern w:val="0"/>
                <w:sz w:val="22"/>
                <w:szCs w:val="22"/>
              </w:rPr>
              <w:t>3</w:t>
            </w:r>
            <w:r>
              <w:rPr>
                <w:rFonts w:hint="eastAsia" w:cs="宋体"/>
                <w:color w:val="000000"/>
                <w:kern w:val="0"/>
                <w:sz w:val="22"/>
                <w:szCs w:val="22"/>
                <w:lang w:val="en-US" w:eastAsia="zh-CN"/>
              </w:rPr>
              <w:t>0</w:t>
            </w:r>
            <w:r>
              <w:rPr>
                <w:rFonts w:hint="eastAsia" w:cs="宋体"/>
                <w:color w:val="000000"/>
                <w:kern w:val="0"/>
                <w:sz w:val="22"/>
                <w:szCs w:val="22"/>
              </w:rPr>
              <w:t>分）</w:t>
            </w:r>
          </w:p>
        </w:tc>
        <w:tc>
          <w:tcPr>
            <w:tcW w:w="817" w:type="dxa"/>
            <w:tcBorders>
              <w:top w:val="single" w:color="000000" w:sz="4" w:space="0"/>
              <w:left w:val="single" w:color="000000" w:sz="4" w:space="0"/>
              <w:bottom w:val="single" w:color="000000" w:sz="4" w:space="0"/>
              <w:right w:val="single" w:color="000000" w:sz="4" w:space="0"/>
            </w:tcBorders>
            <w:vAlign w:val="center"/>
          </w:tcPr>
          <w:p w14:paraId="49AD0128">
            <w:pPr>
              <w:widowControl/>
              <w:jc w:val="center"/>
              <w:rPr>
                <w:rFonts w:cs="宋体"/>
                <w:color w:val="000000"/>
                <w:kern w:val="0"/>
                <w:sz w:val="22"/>
                <w:szCs w:val="22"/>
              </w:rPr>
            </w:pPr>
            <w:r>
              <w:rPr>
                <w:rFonts w:hint="eastAsia" w:cs="宋体"/>
                <w:color w:val="000000"/>
                <w:kern w:val="0"/>
                <w:sz w:val="22"/>
                <w:szCs w:val="22"/>
              </w:rPr>
              <w:t>企业资质</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C354C49">
            <w:pPr>
              <w:widowControl/>
              <w:jc w:val="center"/>
              <w:rPr>
                <w:rFonts w:cs="宋体"/>
                <w:color w:val="000000"/>
                <w:kern w:val="0"/>
                <w:sz w:val="22"/>
                <w:szCs w:val="22"/>
              </w:rPr>
            </w:pPr>
            <w:r>
              <w:rPr>
                <w:rFonts w:cs="宋体"/>
                <w:color w:val="000000"/>
                <w:kern w:val="0"/>
                <w:sz w:val="22"/>
                <w:szCs w:val="22"/>
              </w:rPr>
              <w:t>5</w:t>
            </w:r>
          </w:p>
        </w:tc>
        <w:tc>
          <w:tcPr>
            <w:tcW w:w="6807" w:type="dxa"/>
            <w:tcBorders>
              <w:top w:val="single" w:color="000000" w:sz="4" w:space="0"/>
              <w:left w:val="single" w:color="000000" w:sz="4" w:space="0"/>
              <w:right w:val="single" w:color="000000" w:sz="4" w:space="0"/>
            </w:tcBorders>
            <w:vAlign w:val="center"/>
          </w:tcPr>
          <w:p w14:paraId="09CF4FD1">
            <w:pPr>
              <w:keepNext w:val="0"/>
              <w:keepLines w:val="0"/>
              <w:pageBreakBefore w:val="0"/>
              <w:widowControl/>
              <w:kinsoku/>
              <w:wordWrap/>
              <w:overflowPunct/>
              <w:topLinePunct w:val="0"/>
              <w:bidi w:val="0"/>
              <w:adjustRightInd/>
              <w:snapToGrid/>
              <w:ind w:firstLine="440" w:firstLineChars="200"/>
              <w:jc w:val="left"/>
              <w:textAlignment w:val="auto"/>
              <w:rPr>
                <w:rFonts w:cs="宋体"/>
                <w:color w:val="000000"/>
                <w:kern w:val="0"/>
                <w:sz w:val="22"/>
                <w:szCs w:val="22"/>
              </w:rPr>
            </w:pPr>
            <w:r>
              <w:rPr>
                <w:rFonts w:hint="eastAsia" w:cs="宋体"/>
                <w:color w:val="000000"/>
                <w:kern w:val="0"/>
                <w:sz w:val="22"/>
                <w:szCs w:val="22"/>
              </w:rPr>
              <w:t>1、供应商具有认证范围包含等级保护测评的ISO9001质量管理认证体系证书，得</w:t>
            </w:r>
            <w:r>
              <w:rPr>
                <w:rFonts w:hint="eastAsia" w:cs="宋体"/>
                <w:color w:val="000000"/>
                <w:kern w:val="0"/>
                <w:sz w:val="22"/>
                <w:szCs w:val="22"/>
                <w:lang w:val="en-US" w:eastAsia="zh-CN"/>
              </w:rPr>
              <w:t>1</w:t>
            </w:r>
            <w:r>
              <w:rPr>
                <w:rFonts w:hint="eastAsia" w:cs="宋体"/>
                <w:color w:val="000000"/>
                <w:kern w:val="0"/>
                <w:sz w:val="22"/>
                <w:szCs w:val="22"/>
              </w:rPr>
              <w:t>分。</w:t>
            </w:r>
          </w:p>
          <w:p w14:paraId="4E597179">
            <w:pPr>
              <w:keepNext w:val="0"/>
              <w:keepLines w:val="0"/>
              <w:pageBreakBefore w:val="0"/>
              <w:widowControl/>
              <w:kinsoku/>
              <w:wordWrap/>
              <w:overflowPunct/>
              <w:topLinePunct w:val="0"/>
              <w:bidi w:val="0"/>
              <w:adjustRightInd/>
              <w:snapToGrid/>
              <w:ind w:firstLine="440" w:firstLineChars="200"/>
              <w:jc w:val="left"/>
              <w:textAlignment w:val="auto"/>
              <w:rPr>
                <w:rFonts w:cs="宋体"/>
                <w:color w:val="000000"/>
                <w:kern w:val="0"/>
                <w:sz w:val="22"/>
                <w:szCs w:val="22"/>
              </w:rPr>
            </w:pPr>
            <w:r>
              <w:rPr>
                <w:rFonts w:cs="宋体"/>
                <w:color w:val="000000"/>
                <w:kern w:val="0"/>
                <w:sz w:val="22"/>
                <w:szCs w:val="22"/>
              </w:rPr>
              <w:t>2</w:t>
            </w:r>
            <w:r>
              <w:rPr>
                <w:rFonts w:hint="eastAsia" w:cs="宋体"/>
                <w:color w:val="000000"/>
                <w:kern w:val="0"/>
                <w:sz w:val="22"/>
                <w:szCs w:val="22"/>
              </w:rPr>
              <w:t>、供应商具有认证范围包含等级保护测评的ISO2000信息技术服务管理体系认证证书，得</w:t>
            </w:r>
            <w:r>
              <w:rPr>
                <w:rFonts w:hint="eastAsia" w:cs="宋体"/>
                <w:color w:val="000000"/>
                <w:kern w:val="0"/>
                <w:sz w:val="22"/>
                <w:szCs w:val="22"/>
                <w:lang w:val="en-US" w:eastAsia="zh-CN"/>
              </w:rPr>
              <w:t>1</w:t>
            </w:r>
            <w:r>
              <w:rPr>
                <w:rFonts w:hint="eastAsia" w:cs="宋体"/>
                <w:color w:val="000000"/>
                <w:kern w:val="0"/>
                <w:sz w:val="22"/>
                <w:szCs w:val="22"/>
              </w:rPr>
              <w:t>分。</w:t>
            </w:r>
          </w:p>
          <w:p w14:paraId="2E32DC83">
            <w:pPr>
              <w:keepNext w:val="0"/>
              <w:keepLines w:val="0"/>
              <w:pageBreakBefore w:val="0"/>
              <w:widowControl/>
              <w:kinsoku/>
              <w:wordWrap/>
              <w:overflowPunct/>
              <w:topLinePunct w:val="0"/>
              <w:bidi w:val="0"/>
              <w:adjustRightInd/>
              <w:snapToGrid/>
              <w:ind w:firstLine="440" w:firstLineChars="200"/>
              <w:jc w:val="left"/>
              <w:textAlignment w:val="auto"/>
              <w:rPr>
                <w:rFonts w:cs="宋体"/>
                <w:color w:val="000000"/>
                <w:kern w:val="0"/>
                <w:sz w:val="22"/>
                <w:szCs w:val="22"/>
              </w:rPr>
            </w:pPr>
            <w:r>
              <w:rPr>
                <w:rFonts w:hint="eastAsia" w:cs="宋体"/>
                <w:color w:val="000000"/>
                <w:kern w:val="0"/>
                <w:sz w:val="22"/>
                <w:szCs w:val="22"/>
              </w:rPr>
              <w:t>3、供应商具有认证范围包含等级保护测评的ISO27001信息安全管理体系认证证书，得</w:t>
            </w:r>
            <w:r>
              <w:rPr>
                <w:rFonts w:hint="eastAsia" w:cs="宋体"/>
                <w:color w:val="000000"/>
                <w:kern w:val="0"/>
                <w:sz w:val="22"/>
                <w:szCs w:val="22"/>
                <w:lang w:val="en-US" w:eastAsia="zh-CN"/>
              </w:rPr>
              <w:t>1</w:t>
            </w:r>
            <w:r>
              <w:rPr>
                <w:rFonts w:hint="eastAsia" w:cs="宋体"/>
                <w:color w:val="000000"/>
                <w:kern w:val="0"/>
                <w:sz w:val="22"/>
                <w:szCs w:val="22"/>
              </w:rPr>
              <w:t>分。</w:t>
            </w:r>
          </w:p>
          <w:p w14:paraId="39C9EF28">
            <w:pPr>
              <w:keepNext w:val="0"/>
              <w:keepLines w:val="0"/>
              <w:pageBreakBefore w:val="0"/>
              <w:widowControl/>
              <w:kinsoku/>
              <w:wordWrap/>
              <w:overflowPunct/>
              <w:topLinePunct w:val="0"/>
              <w:bidi w:val="0"/>
              <w:adjustRightInd/>
              <w:snapToGrid/>
              <w:ind w:firstLine="440" w:firstLineChars="200"/>
              <w:jc w:val="left"/>
              <w:textAlignment w:val="auto"/>
              <w:rPr>
                <w:rFonts w:cs="宋体"/>
                <w:color w:val="000000"/>
                <w:kern w:val="0"/>
                <w:sz w:val="22"/>
                <w:szCs w:val="22"/>
              </w:rPr>
            </w:pPr>
            <w:r>
              <w:rPr>
                <w:rFonts w:hint="eastAsia" w:cs="宋体"/>
                <w:color w:val="000000"/>
                <w:kern w:val="0"/>
                <w:sz w:val="22"/>
                <w:szCs w:val="22"/>
                <w:lang w:val="en-US" w:eastAsia="zh-CN"/>
              </w:rPr>
              <w:t>4</w:t>
            </w:r>
            <w:r>
              <w:rPr>
                <w:rFonts w:hint="eastAsia" w:cs="宋体"/>
                <w:color w:val="000000"/>
                <w:kern w:val="0"/>
                <w:sz w:val="22"/>
                <w:szCs w:val="22"/>
              </w:rPr>
              <w:t>、供应商具有CCRC信息安全服务资质认证证书信息安全应急处理服务资质的，得</w:t>
            </w:r>
            <w:r>
              <w:rPr>
                <w:rFonts w:hint="eastAsia" w:cs="宋体"/>
                <w:color w:val="000000"/>
                <w:kern w:val="0"/>
                <w:sz w:val="22"/>
                <w:szCs w:val="22"/>
                <w:lang w:val="en-US" w:eastAsia="zh-CN"/>
              </w:rPr>
              <w:t>1</w:t>
            </w:r>
            <w:r>
              <w:rPr>
                <w:rFonts w:hint="eastAsia" w:cs="宋体"/>
                <w:color w:val="000000"/>
                <w:kern w:val="0"/>
                <w:sz w:val="22"/>
                <w:szCs w:val="22"/>
              </w:rPr>
              <w:t>分。</w:t>
            </w:r>
          </w:p>
          <w:p w14:paraId="2D8FC409">
            <w:pPr>
              <w:keepNext w:val="0"/>
              <w:keepLines w:val="0"/>
              <w:pageBreakBefore w:val="0"/>
              <w:widowControl/>
              <w:kinsoku/>
              <w:wordWrap/>
              <w:overflowPunct/>
              <w:topLinePunct w:val="0"/>
              <w:bidi w:val="0"/>
              <w:adjustRightInd/>
              <w:snapToGrid/>
              <w:ind w:firstLine="440" w:firstLineChars="200"/>
              <w:jc w:val="left"/>
              <w:textAlignment w:val="auto"/>
              <w:rPr>
                <w:rFonts w:cs="宋体"/>
                <w:color w:val="000000"/>
                <w:kern w:val="0"/>
                <w:sz w:val="22"/>
                <w:szCs w:val="22"/>
              </w:rPr>
            </w:pPr>
            <w:r>
              <w:rPr>
                <w:rFonts w:hint="eastAsia" w:cs="宋体"/>
                <w:color w:val="000000"/>
                <w:kern w:val="0"/>
                <w:sz w:val="22"/>
                <w:szCs w:val="22"/>
                <w:lang w:val="en-US" w:eastAsia="zh-CN"/>
              </w:rPr>
              <w:t>5</w:t>
            </w:r>
            <w:r>
              <w:rPr>
                <w:rFonts w:hint="eastAsia" w:cs="宋体"/>
                <w:color w:val="000000"/>
                <w:kern w:val="0"/>
                <w:sz w:val="22"/>
                <w:szCs w:val="22"/>
              </w:rPr>
              <w:t>、供应商具有CCRC信息安全服务资质认证证书信息安全风险评估服务资质的，得</w:t>
            </w:r>
            <w:r>
              <w:rPr>
                <w:rFonts w:hint="eastAsia" w:cs="宋体"/>
                <w:color w:val="000000"/>
                <w:kern w:val="0"/>
                <w:sz w:val="22"/>
                <w:szCs w:val="22"/>
                <w:lang w:val="en-US" w:eastAsia="zh-CN"/>
              </w:rPr>
              <w:t>1</w:t>
            </w:r>
            <w:r>
              <w:rPr>
                <w:rFonts w:hint="eastAsia" w:cs="宋体"/>
                <w:color w:val="000000"/>
                <w:kern w:val="0"/>
                <w:sz w:val="22"/>
                <w:szCs w:val="22"/>
              </w:rPr>
              <w:t>分。</w:t>
            </w:r>
          </w:p>
          <w:p w14:paraId="07E1222B">
            <w:pPr>
              <w:keepNext w:val="0"/>
              <w:keepLines w:val="0"/>
              <w:pageBreakBefore w:val="0"/>
              <w:widowControl/>
              <w:kinsoku/>
              <w:wordWrap/>
              <w:overflowPunct/>
              <w:topLinePunct w:val="0"/>
              <w:bidi w:val="0"/>
              <w:adjustRightInd/>
              <w:snapToGrid/>
              <w:ind w:firstLine="440" w:firstLineChars="200"/>
              <w:jc w:val="left"/>
              <w:textAlignment w:val="auto"/>
              <w:rPr>
                <w:rFonts w:cs="宋体"/>
                <w:color w:val="000000"/>
                <w:kern w:val="0"/>
                <w:sz w:val="22"/>
                <w:szCs w:val="22"/>
              </w:rPr>
            </w:pPr>
          </w:p>
        </w:tc>
      </w:tr>
      <w:tr w14:paraId="0A4DA734">
        <w:tblPrEx>
          <w:tblCellMar>
            <w:top w:w="0" w:type="dxa"/>
            <w:left w:w="108" w:type="dxa"/>
            <w:bottom w:w="0" w:type="dxa"/>
            <w:right w:w="108" w:type="dxa"/>
          </w:tblCellMar>
        </w:tblPrEx>
        <w:trPr>
          <w:trHeight w:val="680" w:hRule="atLeast"/>
          <w:jc w:val="center"/>
        </w:trPr>
        <w:tc>
          <w:tcPr>
            <w:tcW w:w="1134" w:type="dxa"/>
            <w:vMerge w:val="continue"/>
            <w:tcBorders>
              <w:left w:val="single" w:color="000000" w:sz="4" w:space="0"/>
              <w:right w:val="single" w:color="000000" w:sz="4" w:space="0"/>
            </w:tcBorders>
            <w:noWrap/>
            <w:vAlign w:val="center"/>
          </w:tcPr>
          <w:p w14:paraId="59136658">
            <w:pPr>
              <w:jc w:val="center"/>
              <w:rPr>
                <w:rFonts w:cs="宋体"/>
                <w:color w:val="000000"/>
                <w:kern w:val="0"/>
                <w:sz w:val="22"/>
                <w:szCs w:val="22"/>
              </w:rPr>
            </w:pPr>
          </w:p>
        </w:tc>
        <w:tc>
          <w:tcPr>
            <w:tcW w:w="817" w:type="dxa"/>
            <w:tcBorders>
              <w:top w:val="nil"/>
              <w:left w:val="single" w:color="000000" w:sz="4" w:space="0"/>
              <w:bottom w:val="nil"/>
              <w:right w:val="single" w:color="000000" w:sz="4" w:space="0"/>
            </w:tcBorders>
            <w:noWrap/>
            <w:vAlign w:val="center"/>
          </w:tcPr>
          <w:p w14:paraId="43CAED77">
            <w:pPr>
              <w:widowControl/>
              <w:jc w:val="center"/>
              <w:rPr>
                <w:rFonts w:cs="宋体"/>
                <w:color w:val="000000"/>
                <w:kern w:val="0"/>
                <w:sz w:val="22"/>
                <w:szCs w:val="22"/>
              </w:rPr>
            </w:pPr>
            <w:r>
              <w:rPr>
                <w:rFonts w:hint="eastAsia" w:cs="宋体"/>
                <w:color w:val="000000"/>
                <w:kern w:val="0"/>
                <w:sz w:val="22"/>
                <w:szCs w:val="22"/>
              </w:rPr>
              <w:t>测评经验</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67E5B14">
            <w:pPr>
              <w:widowControl/>
              <w:jc w:val="center"/>
              <w:rPr>
                <w:rFonts w:cs="宋体"/>
                <w:color w:val="000000"/>
                <w:kern w:val="0"/>
                <w:sz w:val="22"/>
                <w:szCs w:val="22"/>
              </w:rPr>
            </w:pPr>
            <w:r>
              <w:rPr>
                <w:rFonts w:cs="宋体"/>
                <w:color w:val="000000"/>
                <w:kern w:val="0"/>
                <w:sz w:val="22"/>
                <w:szCs w:val="22"/>
              </w:rPr>
              <w:t>5</w:t>
            </w:r>
          </w:p>
        </w:tc>
        <w:tc>
          <w:tcPr>
            <w:tcW w:w="6807" w:type="dxa"/>
            <w:tcBorders>
              <w:top w:val="single" w:color="000000" w:sz="4" w:space="0"/>
              <w:left w:val="single" w:color="000000" w:sz="4" w:space="0"/>
              <w:bottom w:val="single" w:color="000000" w:sz="4" w:space="0"/>
              <w:right w:val="single" w:color="000000" w:sz="4" w:space="0"/>
            </w:tcBorders>
            <w:vAlign w:val="center"/>
          </w:tcPr>
          <w:p w14:paraId="59768B64">
            <w:pPr>
              <w:keepNext w:val="0"/>
              <w:keepLines w:val="0"/>
              <w:pageBreakBefore w:val="0"/>
              <w:widowControl/>
              <w:kinsoku/>
              <w:wordWrap/>
              <w:overflowPunct/>
              <w:topLinePunct w:val="0"/>
              <w:bidi w:val="0"/>
              <w:adjustRightInd/>
              <w:snapToGrid/>
              <w:ind w:firstLine="440" w:firstLineChars="200"/>
              <w:jc w:val="left"/>
              <w:textAlignment w:val="auto"/>
              <w:rPr>
                <w:rFonts w:cs="宋体"/>
                <w:color w:val="000000"/>
                <w:kern w:val="0"/>
                <w:sz w:val="22"/>
                <w:szCs w:val="22"/>
              </w:rPr>
            </w:pPr>
            <w:r>
              <w:rPr>
                <w:rFonts w:hint="eastAsia" w:cs="宋体"/>
                <w:color w:val="000000"/>
                <w:kern w:val="0"/>
                <w:sz w:val="22"/>
                <w:szCs w:val="22"/>
              </w:rPr>
              <w:t>供应商自开</w:t>
            </w:r>
            <w:r>
              <w:rPr>
                <w:rFonts w:hint="eastAsia" w:cs="宋体"/>
                <w:color w:val="000000"/>
                <w:kern w:val="0"/>
                <w:sz w:val="22"/>
                <w:szCs w:val="22"/>
                <w:lang w:val="en-US" w:eastAsia="zh-CN"/>
              </w:rPr>
              <w:t>标之</w:t>
            </w:r>
            <w:r>
              <w:rPr>
                <w:rFonts w:hint="eastAsia" w:cs="宋体"/>
                <w:color w:val="000000"/>
                <w:kern w:val="0"/>
                <w:sz w:val="22"/>
                <w:szCs w:val="22"/>
              </w:rPr>
              <w:t>日起近3年内签订的同类项目案例（需提供中标通知书或合同复印件关键页），每提供一个案例得1分，最多得</w:t>
            </w:r>
            <w:r>
              <w:rPr>
                <w:rFonts w:cs="宋体"/>
                <w:color w:val="000000"/>
                <w:kern w:val="0"/>
                <w:sz w:val="22"/>
                <w:szCs w:val="22"/>
              </w:rPr>
              <w:t>5</w:t>
            </w:r>
            <w:r>
              <w:rPr>
                <w:rFonts w:hint="eastAsia" w:cs="宋体"/>
                <w:color w:val="000000"/>
                <w:kern w:val="0"/>
                <w:sz w:val="22"/>
                <w:szCs w:val="22"/>
              </w:rPr>
              <w:t>分。</w:t>
            </w:r>
          </w:p>
        </w:tc>
      </w:tr>
      <w:tr w14:paraId="665C2819">
        <w:tblPrEx>
          <w:tblCellMar>
            <w:top w:w="0" w:type="dxa"/>
            <w:left w:w="108" w:type="dxa"/>
            <w:bottom w:w="0" w:type="dxa"/>
            <w:right w:w="108" w:type="dxa"/>
          </w:tblCellMar>
        </w:tblPrEx>
        <w:trPr>
          <w:trHeight w:val="674" w:hRule="atLeast"/>
          <w:jc w:val="center"/>
        </w:trPr>
        <w:tc>
          <w:tcPr>
            <w:tcW w:w="1134" w:type="dxa"/>
            <w:vMerge w:val="continue"/>
            <w:tcBorders>
              <w:left w:val="single" w:color="000000" w:sz="4" w:space="0"/>
              <w:right w:val="single" w:color="000000" w:sz="4" w:space="0"/>
            </w:tcBorders>
            <w:noWrap/>
            <w:vAlign w:val="center"/>
          </w:tcPr>
          <w:p w14:paraId="350C6615">
            <w:pPr>
              <w:jc w:val="center"/>
              <w:rPr>
                <w:rFonts w:cs="宋体"/>
                <w:color w:val="000000"/>
                <w:kern w:val="0"/>
                <w:sz w:val="22"/>
                <w:szCs w:val="22"/>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66F359C8">
            <w:pPr>
              <w:widowControl/>
              <w:jc w:val="center"/>
              <w:rPr>
                <w:rFonts w:cs="宋体"/>
                <w:color w:val="000000"/>
                <w:kern w:val="0"/>
                <w:sz w:val="22"/>
                <w:szCs w:val="22"/>
              </w:rPr>
            </w:pPr>
            <w:r>
              <w:rPr>
                <w:rFonts w:hint="eastAsia" w:cs="宋体"/>
                <w:color w:val="000000"/>
                <w:kern w:val="0"/>
                <w:sz w:val="22"/>
                <w:szCs w:val="22"/>
              </w:rPr>
              <w:t>技术支撑</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2F357DF">
            <w:pPr>
              <w:widowControl/>
              <w:jc w:val="center"/>
              <w:rPr>
                <w:rFonts w:cs="宋体"/>
                <w:color w:val="000000"/>
                <w:kern w:val="0"/>
                <w:sz w:val="22"/>
                <w:szCs w:val="22"/>
              </w:rPr>
            </w:pPr>
            <w:r>
              <w:rPr>
                <w:rFonts w:cs="宋体"/>
                <w:color w:val="000000"/>
                <w:kern w:val="0"/>
                <w:sz w:val="22"/>
                <w:szCs w:val="22"/>
              </w:rPr>
              <w:t>5</w:t>
            </w:r>
          </w:p>
        </w:tc>
        <w:tc>
          <w:tcPr>
            <w:tcW w:w="6807" w:type="dxa"/>
            <w:tcBorders>
              <w:top w:val="single" w:color="000000" w:sz="4" w:space="0"/>
              <w:left w:val="single" w:color="000000" w:sz="4" w:space="0"/>
              <w:right w:val="single" w:color="000000" w:sz="4" w:space="0"/>
            </w:tcBorders>
            <w:vAlign w:val="center"/>
          </w:tcPr>
          <w:p w14:paraId="2F31CF56">
            <w:pPr>
              <w:keepNext w:val="0"/>
              <w:keepLines w:val="0"/>
              <w:pageBreakBefore w:val="0"/>
              <w:widowControl/>
              <w:kinsoku/>
              <w:wordWrap/>
              <w:overflowPunct/>
              <w:topLinePunct w:val="0"/>
              <w:bidi w:val="0"/>
              <w:adjustRightInd/>
              <w:snapToGrid/>
              <w:ind w:firstLine="440" w:firstLineChars="200"/>
              <w:jc w:val="left"/>
              <w:textAlignment w:val="auto"/>
              <w:rPr>
                <w:rFonts w:cs="宋体"/>
                <w:color w:val="000000"/>
                <w:kern w:val="0"/>
                <w:sz w:val="22"/>
                <w:szCs w:val="22"/>
              </w:rPr>
            </w:pPr>
            <w:r>
              <w:rPr>
                <w:rFonts w:hint="eastAsia" w:cs="宋体"/>
                <w:color w:val="000000"/>
                <w:kern w:val="0"/>
                <w:sz w:val="22"/>
                <w:szCs w:val="22"/>
              </w:rPr>
              <w:t>供应商曾担任过省部级（包含自治区、直辖市）及以上活动的网络安全保卫工作，提供主办方出具的证明、合同复印件等证明材料，得5分。</w:t>
            </w:r>
          </w:p>
        </w:tc>
      </w:tr>
      <w:tr w14:paraId="6552EC43">
        <w:tblPrEx>
          <w:tblCellMar>
            <w:top w:w="0" w:type="dxa"/>
            <w:left w:w="108" w:type="dxa"/>
            <w:bottom w:w="0" w:type="dxa"/>
            <w:right w:w="108" w:type="dxa"/>
          </w:tblCellMar>
        </w:tblPrEx>
        <w:trPr>
          <w:trHeight w:val="840" w:hRule="atLeast"/>
          <w:jc w:val="center"/>
        </w:trPr>
        <w:tc>
          <w:tcPr>
            <w:tcW w:w="1134" w:type="dxa"/>
            <w:vMerge w:val="continue"/>
            <w:tcBorders>
              <w:left w:val="single" w:color="000000" w:sz="4" w:space="0"/>
              <w:right w:val="single" w:color="000000" w:sz="4" w:space="0"/>
            </w:tcBorders>
            <w:noWrap/>
            <w:vAlign w:val="center"/>
          </w:tcPr>
          <w:p w14:paraId="6B034061">
            <w:pPr>
              <w:jc w:val="center"/>
              <w:rPr>
                <w:rFonts w:cs="宋体"/>
                <w:color w:val="000000"/>
                <w:kern w:val="0"/>
                <w:sz w:val="22"/>
                <w:szCs w:val="22"/>
              </w:rPr>
            </w:pPr>
          </w:p>
        </w:tc>
        <w:tc>
          <w:tcPr>
            <w:tcW w:w="817" w:type="dxa"/>
            <w:vMerge w:val="restart"/>
            <w:tcBorders>
              <w:top w:val="single" w:color="000000" w:sz="4" w:space="0"/>
              <w:left w:val="single" w:color="000000" w:sz="4" w:space="0"/>
              <w:bottom w:val="single" w:color="000000" w:sz="4" w:space="0"/>
              <w:right w:val="single" w:color="000000" w:sz="4" w:space="0"/>
            </w:tcBorders>
            <w:vAlign w:val="center"/>
          </w:tcPr>
          <w:p w14:paraId="5EEBE3C3">
            <w:pPr>
              <w:widowControl/>
              <w:jc w:val="center"/>
              <w:rPr>
                <w:rFonts w:cs="宋体"/>
                <w:color w:val="000000"/>
                <w:kern w:val="0"/>
                <w:sz w:val="22"/>
                <w:szCs w:val="22"/>
              </w:rPr>
            </w:pPr>
            <w:r>
              <w:rPr>
                <w:rFonts w:hint="eastAsia" w:cs="宋体"/>
                <w:color w:val="000000"/>
                <w:kern w:val="0"/>
                <w:sz w:val="22"/>
                <w:szCs w:val="22"/>
              </w:rPr>
              <w:t>攻防实力</w:t>
            </w:r>
          </w:p>
        </w:tc>
        <w:tc>
          <w:tcPr>
            <w:tcW w:w="708" w:type="dxa"/>
            <w:vMerge w:val="restart"/>
            <w:tcBorders>
              <w:top w:val="single" w:color="000000" w:sz="4" w:space="0"/>
              <w:left w:val="single" w:color="000000" w:sz="4" w:space="0"/>
              <w:bottom w:val="single" w:color="000000" w:sz="4" w:space="0"/>
              <w:right w:val="single" w:color="000000" w:sz="4" w:space="0"/>
            </w:tcBorders>
            <w:noWrap/>
            <w:vAlign w:val="center"/>
          </w:tcPr>
          <w:p w14:paraId="74107D3B">
            <w:pPr>
              <w:widowControl/>
              <w:jc w:val="center"/>
              <w:rPr>
                <w:rFonts w:cs="宋体"/>
                <w:color w:val="000000"/>
                <w:kern w:val="0"/>
                <w:sz w:val="22"/>
                <w:szCs w:val="22"/>
              </w:rPr>
            </w:pPr>
            <w:r>
              <w:rPr>
                <w:rFonts w:cs="宋体"/>
                <w:color w:val="000000"/>
                <w:kern w:val="0"/>
                <w:sz w:val="22"/>
                <w:szCs w:val="22"/>
              </w:rPr>
              <w:t>10</w:t>
            </w:r>
          </w:p>
        </w:tc>
        <w:tc>
          <w:tcPr>
            <w:tcW w:w="6807" w:type="dxa"/>
            <w:tcBorders>
              <w:top w:val="single" w:color="000000" w:sz="4" w:space="0"/>
              <w:left w:val="single" w:color="000000" w:sz="4" w:space="0"/>
              <w:bottom w:val="single" w:color="000000" w:sz="4" w:space="0"/>
              <w:right w:val="single" w:color="000000" w:sz="4" w:space="0"/>
            </w:tcBorders>
            <w:vAlign w:val="center"/>
          </w:tcPr>
          <w:p w14:paraId="4E036FA5">
            <w:pPr>
              <w:keepNext w:val="0"/>
              <w:keepLines w:val="0"/>
              <w:pageBreakBefore w:val="0"/>
              <w:widowControl/>
              <w:kinsoku/>
              <w:wordWrap/>
              <w:overflowPunct/>
              <w:topLinePunct w:val="0"/>
              <w:bidi w:val="0"/>
              <w:adjustRightInd/>
              <w:snapToGrid/>
              <w:ind w:firstLine="440" w:firstLineChars="200"/>
              <w:jc w:val="left"/>
              <w:textAlignment w:val="auto"/>
              <w:rPr>
                <w:rFonts w:cs="宋体"/>
                <w:color w:val="000000"/>
                <w:kern w:val="0"/>
                <w:sz w:val="22"/>
                <w:szCs w:val="22"/>
              </w:rPr>
            </w:pPr>
            <w:r>
              <w:rPr>
                <w:rFonts w:hint="eastAsia" w:cs="宋体"/>
                <w:color w:val="000000"/>
                <w:kern w:val="0"/>
                <w:sz w:val="22"/>
                <w:szCs w:val="22"/>
              </w:rPr>
              <w:t>供应商具有全国网络安全等级测评机构网络安全攻防大赛获奖证书，提供得</w:t>
            </w:r>
            <w:r>
              <w:rPr>
                <w:rFonts w:cs="宋体"/>
                <w:color w:val="000000"/>
                <w:kern w:val="0"/>
                <w:sz w:val="22"/>
                <w:szCs w:val="22"/>
              </w:rPr>
              <w:t>5</w:t>
            </w:r>
            <w:r>
              <w:rPr>
                <w:rFonts w:hint="eastAsia" w:cs="宋体"/>
                <w:color w:val="000000"/>
                <w:kern w:val="0"/>
                <w:sz w:val="22"/>
                <w:szCs w:val="22"/>
              </w:rPr>
              <w:t>分，否则不得分。（提供证书复印件加盖公章）</w:t>
            </w:r>
          </w:p>
        </w:tc>
      </w:tr>
      <w:tr w14:paraId="29F6F4D9">
        <w:tblPrEx>
          <w:tblCellMar>
            <w:top w:w="0" w:type="dxa"/>
            <w:left w:w="108" w:type="dxa"/>
            <w:bottom w:w="0" w:type="dxa"/>
            <w:right w:w="108" w:type="dxa"/>
          </w:tblCellMar>
        </w:tblPrEx>
        <w:trPr>
          <w:trHeight w:val="900" w:hRule="atLeast"/>
          <w:jc w:val="center"/>
        </w:trPr>
        <w:tc>
          <w:tcPr>
            <w:tcW w:w="1134" w:type="dxa"/>
            <w:vMerge w:val="continue"/>
            <w:tcBorders>
              <w:left w:val="single" w:color="000000" w:sz="4" w:space="0"/>
              <w:right w:val="single" w:color="000000" w:sz="4" w:space="0"/>
            </w:tcBorders>
            <w:noWrap/>
            <w:vAlign w:val="center"/>
          </w:tcPr>
          <w:p w14:paraId="1A5BFD19">
            <w:pPr>
              <w:jc w:val="center"/>
              <w:rPr>
                <w:rFonts w:cs="宋体"/>
                <w:color w:val="000000"/>
                <w:kern w:val="0"/>
                <w:sz w:val="22"/>
                <w:szCs w:val="22"/>
              </w:rPr>
            </w:pPr>
          </w:p>
        </w:tc>
        <w:tc>
          <w:tcPr>
            <w:tcW w:w="817" w:type="dxa"/>
            <w:vMerge w:val="continue"/>
            <w:tcBorders>
              <w:top w:val="single" w:color="000000" w:sz="4" w:space="0"/>
              <w:left w:val="single" w:color="000000" w:sz="4" w:space="0"/>
              <w:bottom w:val="single" w:color="000000" w:sz="4" w:space="0"/>
              <w:right w:val="single" w:color="000000" w:sz="4" w:space="0"/>
            </w:tcBorders>
            <w:vAlign w:val="center"/>
          </w:tcPr>
          <w:p w14:paraId="483B2016">
            <w:pPr>
              <w:widowControl/>
              <w:jc w:val="left"/>
              <w:rPr>
                <w:rFonts w:cs="宋体"/>
                <w:color w:val="000000"/>
                <w:kern w:val="0"/>
                <w:sz w:val="22"/>
                <w:szCs w:val="22"/>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12A7EB1A">
            <w:pPr>
              <w:widowControl/>
              <w:jc w:val="left"/>
              <w:rPr>
                <w:rFonts w:cs="宋体"/>
                <w:color w:val="000000"/>
                <w:kern w:val="0"/>
                <w:sz w:val="22"/>
                <w:szCs w:val="22"/>
              </w:rPr>
            </w:pPr>
          </w:p>
        </w:tc>
        <w:tc>
          <w:tcPr>
            <w:tcW w:w="6807" w:type="dxa"/>
            <w:tcBorders>
              <w:top w:val="single" w:color="000000" w:sz="4" w:space="0"/>
              <w:left w:val="single" w:color="000000" w:sz="4" w:space="0"/>
              <w:bottom w:val="single" w:color="000000" w:sz="4" w:space="0"/>
              <w:right w:val="single" w:color="000000" w:sz="4" w:space="0"/>
            </w:tcBorders>
            <w:vAlign w:val="center"/>
          </w:tcPr>
          <w:p w14:paraId="74BB431D">
            <w:pPr>
              <w:keepNext w:val="0"/>
              <w:keepLines w:val="0"/>
              <w:pageBreakBefore w:val="0"/>
              <w:widowControl/>
              <w:kinsoku/>
              <w:wordWrap/>
              <w:overflowPunct/>
              <w:topLinePunct w:val="0"/>
              <w:bidi w:val="0"/>
              <w:adjustRightInd/>
              <w:snapToGrid/>
              <w:ind w:firstLine="440" w:firstLineChars="200"/>
              <w:jc w:val="left"/>
              <w:textAlignment w:val="auto"/>
              <w:rPr>
                <w:rFonts w:cs="宋体"/>
                <w:color w:val="000000"/>
                <w:kern w:val="0"/>
                <w:sz w:val="22"/>
                <w:szCs w:val="22"/>
              </w:rPr>
            </w:pPr>
            <w:r>
              <w:rPr>
                <w:rFonts w:hint="eastAsia" w:cs="宋体"/>
                <w:color w:val="000000"/>
                <w:kern w:val="0"/>
                <w:sz w:val="22"/>
                <w:szCs w:val="22"/>
              </w:rPr>
              <w:t>供应商具有在</w:t>
            </w:r>
            <w:r>
              <w:rPr>
                <w:rFonts w:hint="eastAsia" w:cs="宋体"/>
                <w:color w:val="000000"/>
                <w:kern w:val="0"/>
                <w:sz w:val="22"/>
                <w:szCs w:val="22"/>
                <w:lang w:val="en-US" w:eastAsia="zh-CN"/>
              </w:rPr>
              <w:t>省、</w:t>
            </w:r>
            <w:r>
              <w:rPr>
                <w:rFonts w:hint="eastAsia" w:cs="宋体"/>
                <w:color w:val="000000"/>
                <w:kern w:val="0"/>
                <w:sz w:val="22"/>
                <w:szCs w:val="22"/>
              </w:rPr>
              <w:t>市级网络攻防演习中取得获奖证书的，每提供一份得1分，最高得5分；未提供不得分。（提供证书复印件并加盖公章）</w:t>
            </w:r>
          </w:p>
        </w:tc>
      </w:tr>
      <w:tr w14:paraId="11112E1E">
        <w:tblPrEx>
          <w:tblCellMar>
            <w:top w:w="0" w:type="dxa"/>
            <w:left w:w="108" w:type="dxa"/>
            <w:bottom w:w="0" w:type="dxa"/>
            <w:right w:w="108" w:type="dxa"/>
          </w:tblCellMar>
        </w:tblPrEx>
        <w:trPr>
          <w:trHeight w:val="980" w:hRule="atLeast"/>
          <w:jc w:val="center"/>
        </w:trPr>
        <w:tc>
          <w:tcPr>
            <w:tcW w:w="1134" w:type="dxa"/>
            <w:vMerge w:val="continue"/>
            <w:tcBorders>
              <w:left w:val="single" w:color="000000" w:sz="4" w:space="0"/>
              <w:right w:val="single" w:color="000000" w:sz="4" w:space="0"/>
            </w:tcBorders>
            <w:noWrap/>
            <w:vAlign w:val="center"/>
          </w:tcPr>
          <w:p w14:paraId="306A6D02">
            <w:pPr>
              <w:jc w:val="center"/>
              <w:rPr>
                <w:rFonts w:cs="宋体"/>
                <w:color w:val="000000"/>
                <w:kern w:val="0"/>
                <w:sz w:val="22"/>
                <w:szCs w:val="22"/>
              </w:rPr>
            </w:pP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DBF8D01">
            <w:pPr>
              <w:widowControl/>
              <w:jc w:val="center"/>
              <w:rPr>
                <w:rFonts w:cs="宋体"/>
                <w:color w:val="000000"/>
                <w:kern w:val="0"/>
                <w:sz w:val="22"/>
                <w:szCs w:val="22"/>
              </w:rPr>
            </w:pPr>
            <w:r>
              <w:rPr>
                <w:rFonts w:hint="eastAsia" w:cs="宋体"/>
                <w:color w:val="000000"/>
                <w:kern w:val="0"/>
                <w:sz w:val="22"/>
                <w:szCs w:val="22"/>
              </w:rPr>
              <w:t>漏洞挖掘能力</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1E40D48C">
            <w:pPr>
              <w:widowControl/>
              <w:jc w:val="center"/>
              <w:rPr>
                <w:rFonts w:cs="宋体"/>
                <w:color w:val="000000"/>
                <w:kern w:val="0"/>
                <w:sz w:val="22"/>
                <w:szCs w:val="22"/>
              </w:rPr>
            </w:pPr>
            <w:r>
              <w:rPr>
                <w:rFonts w:hint="eastAsia" w:cs="宋体"/>
                <w:color w:val="000000"/>
                <w:kern w:val="0"/>
                <w:sz w:val="22"/>
                <w:szCs w:val="22"/>
              </w:rPr>
              <w:t>5</w:t>
            </w:r>
          </w:p>
        </w:tc>
        <w:tc>
          <w:tcPr>
            <w:tcW w:w="6807" w:type="dxa"/>
            <w:tcBorders>
              <w:top w:val="single" w:color="000000" w:sz="4" w:space="0"/>
              <w:left w:val="single" w:color="000000" w:sz="4" w:space="0"/>
              <w:bottom w:val="single" w:color="000000" w:sz="4" w:space="0"/>
              <w:right w:val="single" w:color="000000" w:sz="4" w:space="0"/>
            </w:tcBorders>
            <w:vAlign w:val="center"/>
          </w:tcPr>
          <w:p w14:paraId="32BCF087">
            <w:pPr>
              <w:keepNext w:val="0"/>
              <w:keepLines w:val="0"/>
              <w:pageBreakBefore w:val="0"/>
              <w:widowControl/>
              <w:kinsoku/>
              <w:wordWrap/>
              <w:overflowPunct/>
              <w:topLinePunct w:val="0"/>
              <w:bidi w:val="0"/>
              <w:adjustRightInd/>
              <w:snapToGrid/>
              <w:ind w:firstLine="440" w:firstLineChars="200"/>
              <w:jc w:val="left"/>
              <w:textAlignment w:val="auto"/>
              <w:rPr>
                <w:rFonts w:cs="宋体"/>
                <w:color w:val="000000"/>
                <w:kern w:val="0"/>
                <w:sz w:val="22"/>
                <w:szCs w:val="22"/>
              </w:rPr>
            </w:pPr>
            <w:r>
              <w:rPr>
                <w:rFonts w:hint="eastAsia" w:cs="宋体"/>
                <w:color w:val="000000"/>
                <w:kern w:val="0"/>
                <w:sz w:val="22"/>
                <w:szCs w:val="22"/>
              </w:rPr>
              <w:t>供应商提供国家信息安全漏洞共享平台（CNVD）出具的《原创漏洞证明》，每提供2个证明得1分，最高得5分。（提供证书复印件加盖公章）</w:t>
            </w:r>
          </w:p>
        </w:tc>
      </w:tr>
      <w:tr w14:paraId="52A51AE9">
        <w:tblPrEx>
          <w:tblCellMar>
            <w:top w:w="0" w:type="dxa"/>
            <w:left w:w="108" w:type="dxa"/>
            <w:bottom w:w="0" w:type="dxa"/>
            <w:right w:w="108" w:type="dxa"/>
          </w:tblCellMar>
        </w:tblPrEx>
        <w:trPr>
          <w:trHeight w:val="1740" w:hRule="atLeast"/>
          <w:jc w:val="center"/>
        </w:trPr>
        <w:tc>
          <w:tcPr>
            <w:tcW w:w="1134" w:type="dxa"/>
            <w:vMerge w:val="restart"/>
            <w:tcBorders>
              <w:top w:val="single" w:color="000000" w:sz="4" w:space="0"/>
              <w:left w:val="single" w:color="000000" w:sz="4" w:space="0"/>
              <w:right w:val="single" w:color="000000" w:sz="4" w:space="0"/>
            </w:tcBorders>
            <w:noWrap/>
            <w:vAlign w:val="center"/>
          </w:tcPr>
          <w:p w14:paraId="0B39E9AC">
            <w:pPr>
              <w:jc w:val="center"/>
              <w:rPr>
                <w:rFonts w:cs="宋体"/>
                <w:color w:val="000000"/>
                <w:kern w:val="0"/>
                <w:sz w:val="22"/>
                <w:szCs w:val="22"/>
              </w:rPr>
            </w:pPr>
            <w:r>
              <w:rPr>
                <w:rFonts w:hint="eastAsia" w:cs="宋体"/>
                <w:color w:val="000000"/>
                <w:kern w:val="0"/>
                <w:sz w:val="22"/>
                <w:szCs w:val="22"/>
              </w:rPr>
              <w:t>技术部分（</w:t>
            </w:r>
            <w:r>
              <w:rPr>
                <w:rFonts w:hint="eastAsia" w:cs="宋体"/>
                <w:color w:val="000000"/>
                <w:kern w:val="0"/>
                <w:sz w:val="22"/>
                <w:szCs w:val="22"/>
                <w:lang w:val="en-US" w:eastAsia="zh-CN"/>
              </w:rPr>
              <w:t>50</w:t>
            </w:r>
            <w:r>
              <w:rPr>
                <w:rFonts w:hint="eastAsia" w:cs="宋体"/>
                <w:color w:val="000000"/>
                <w:kern w:val="0"/>
                <w:sz w:val="22"/>
                <w:szCs w:val="22"/>
              </w:rPr>
              <w:t>分）</w:t>
            </w:r>
          </w:p>
        </w:tc>
        <w:tc>
          <w:tcPr>
            <w:tcW w:w="817" w:type="dxa"/>
            <w:tcBorders>
              <w:top w:val="single" w:color="000000" w:sz="4" w:space="0"/>
              <w:left w:val="single" w:color="000000" w:sz="4" w:space="0"/>
              <w:bottom w:val="single" w:color="000000" w:sz="4" w:space="0"/>
              <w:right w:val="single" w:color="000000" w:sz="4" w:space="0"/>
            </w:tcBorders>
            <w:vAlign w:val="center"/>
          </w:tcPr>
          <w:p w14:paraId="0AA30442">
            <w:pPr>
              <w:autoSpaceDE w:val="0"/>
              <w:ind w:left="-105" w:leftChars="-50" w:right="-105" w:rightChars="-50"/>
              <w:jc w:val="center"/>
              <w:rPr>
                <w:color w:val="000000"/>
                <w:sz w:val="22"/>
                <w:szCs w:val="22"/>
              </w:rPr>
            </w:pPr>
            <w:r>
              <w:rPr>
                <w:rFonts w:hint="eastAsia"/>
                <w:color w:val="000000"/>
                <w:sz w:val="22"/>
                <w:szCs w:val="22"/>
              </w:rPr>
              <w:t>整体技术方案</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4306BB9E">
            <w:pPr>
              <w:autoSpaceDE w:val="0"/>
              <w:jc w:val="center"/>
              <w:rPr>
                <w:rFonts w:hint="default" w:eastAsiaTheme="minorEastAsia"/>
                <w:sz w:val="22"/>
                <w:szCs w:val="22"/>
                <w:lang w:val="en-US" w:eastAsia="zh-CN"/>
              </w:rPr>
            </w:pPr>
            <w:r>
              <w:rPr>
                <w:rFonts w:hint="eastAsia"/>
                <w:color w:val="000000"/>
                <w:sz w:val="22"/>
                <w:szCs w:val="22"/>
                <w:lang w:val="en-US" w:eastAsia="zh-CN"/>
              </w:rPr>
              <w:t>15</w:t>
            </w:r>
          </w:p>
        </w:tc>
        <w:tc>
          <w:tcPr>
            <w:tcW w:w="6807" w:type="dxa"/>
            <w:tcBorders>
              <w:top w:val="single" w:color="000000" w:sz="4" w:space="0"/>
              <w:left w:val="single" w:color="000000" w:sz="4" w:space="0"/>
              <w:bottom w:val="single" w:color="000000" w:sz="4" w:space="0"/>
              <w:right w:val="single" w:color="000000" w:sz="4" w:space="0"/>
            </w:tcBorders>
            <w:vAlign w:val="center"/>
          </w:tcPr>
          <w:p w14:paraId="41454F88">
            <w:pPr>
              <w:pStyle w:val="8"/>
              <w:keepNext w:val="0"/>
              <w:keepLines w:val="0"/>
              <w:pageBreakBefore w:val="0"/>
              <w:kinsoku/>
              <w:wordWrap/>
              <w:overflowPunct/>
              <w:topLinePunct w:val="0"/>
              <w:bidi w:val="0"/>
              <w:adjustRightInd/>
              <w:snapToGrid/>
              <w:spacing w:line="240" w:lineRule="auto"/>
              <w:ind w:firstLine="420" w:firstLineChars="200"/>
              <w:textAlignment w:val="auto"/>
              <w:rPr>
                <w:rFonts w:hAnsi="宋体" w:cs="宋体"/>
                <w:color w:val="auto"/>
                <w:sz w:val="21"/>
              </w:rPr>
            </w:pPr>
            <w:r>
              <w:rPr>
                <w:rFonts w:hint="eastAsia" w:hAnsi="宋体" w:cs="宋体"/>
                <w:color w:val="auto"/>
                <w:sz w:val="21"/>
              </w:rPr>
              <w:t>未提供方案或方案严重不合理的不得分。</w:t>
            </w:r>
          </w:p>
          <w:p w14:paraId="5D0398E2">
            <w:pPr>
              <w:keepNext w:val="0"/>
              <w:keepLines w:val="0"/>
              <w:pageBreakBefore w:val="0"/>
              <w:kinsoku/>
              <w:wordWrap/>
              <w:overflowPunct/>
              <w:topLinePunct w:val="0"/>
              <w:bidi w:val="0"/>
              <w:adjustRightInd/>
              <w:snapToGrid/>
              <w:spacing w:line="240" w:lineRule="auto"/>
              <w:ind w:firstLine="420" w:firstLineChars="200"/>
              <w:textAlignment w:val="auto"/>
              <w:rPr>
                <w:rFonts w:ascii="宋体" w:hAnsi="宋体" w:cs="宋体"/>
                <w:color w:val="auto"/>
                <w:szCs w:val="21"/>
              </w:rPr>
            </w:pPr>
            <w:r>
              <w:rPr>
                <w:rFonts w:hint="eastAsia" w:ascii="宋体" w:hAnsi="宋体" w:cs="宋体"/>
                <w:color w:val="auto"/>
                <w:szCs w:val="21"/>
              </w:rPr>
              <w:t>一档（</w:t>
            </w:r>
            <w:r>
              <w:rPr>
                <w:rFonts w:hint="eastAsia" w:ascii="宋体" w:hAnsi="宋体" w:cs="宋体"/>
                <w:color w:val="auto"/>
                <w:szCs w:val="21"/>
                <w:lang w:val="en-US" w:eastAsia="zh-CN"/>
              </w:rPr>
              <w:t>5</w:t>
            </w:r>
            <w:r>
              <w:rPr>
                <w:rFonts w:hint="eastAsia" w:ascii="宋体" w:hAnsi="宋体" w:cs="宋体"/>
                <w:color w:val="auto"/>
                <w:szCs w:val="21"/>
              </w:rPr>
              <w:t>分）：供应商提供的方案基本符合采购文件要求，与采购需求（非实质条款）</w:t>
            </w:r>
            <w:r>
              <w:rPr>
                <w:rFonts w:hint="eastAsia" w:ascii="宋体" w:hAnsi="宋体" w:cs="宋体"/>
                <w:color w:val="auto"/>
                <w:szCs w:val="21"/>
                <w:lang w:val="en-US" w:eastAsia="zh-CN"/>
              </w:rPr>
              <w:t>没有</w:t>
            </w:r>
            <w:r>
              <w:rPr>
                <w:rFonts w:hint="eastAsia" w:ascii="宋体" w:hAnsi="宋体" w:cs="宋体"/>
                <w:color w:val="auto"/>
                <w:szCs w:val="21"/>
              </w:rPr>
              <w:t>负偏离或漏项的，测评措施较能基本满足项目要求。</w:t>
            </w:r>
          </w:p>
          <w:p w14:paraId="51E2458B">
            <w:pPr>
              <w:keepNext w:val="0"/>
              <w:keepLines w:val="0"/>
              <w:pageBreakBefore w:val="0"/>
              <w:kinsoku/>
              <w:wordWrap/>
              <w:overflowPunct/>
              <w:topLinePunct w:val="0"/>
              <w:bidi w:val="0"/>
              <w:adjustRightInd/>
              <w:snapToGrid/>
              <w:spacing w:line="240" w:lineRule="auto"/>
              <w:ind w:firstLine="420" w:firstLineChars="200"/>
              <w:textAlignment w:val="auto"/>
              <w:rPr>
                <w:rFonts w:ascii="宋体" w:hAnsi="宋体" w:cs="宋体"/>
                <w:color w:val="auto"/>
                <w:szCs w:val="21"/>
              </w:rPr>
            </w:pPr>
            <w:r>
              <w:rPr>
                <w:rFonts w:hint="eastAsia" w:ascii="宋体" w:hAnsi="宋体" w:cs="宋体"/>
                <w:color w:val="auto"/>
                <w:szCs w:val="21"/>
              </w:rPr>
              <w:t>二档（</w:t>
            </w:r>
            <w:r>
              <w:rPr>
                <w:rFonts w:hint="eastAsia" w:ascii="宋体" w:hAnsi="宋体" w:cs="宋体"/>
                <w:color w:val="auto"/>
                <w:szCs w:val="21"/>
                <w:lang w:val="en-US" w:eastAsia="zh-CN"/>
              </w:rPr>
              <w:t>10</w:t>
            </w:r>
            <w:r>
              <w:rPr>
                <w:rFonts w:hint="eastAsia" w:ascii="宋体" w:hAnsi="宋体" w:cs="宋体"/>
                <w:color w:val="auto"/>
                <w:szCs w:val="21"/>
              </w:rPr>
              <w:t>分）：在满足一档的要求基础上</w:t>
            </w:r>
            <w:r>
              <w:rPr>
                <w:rFonts w:hint="eastAsia" w:ascii="宋体" w:hAnsi="宋体" w:cs="宋体"/>
                <w:color w:val="auto"/>
                <w:szCs w:val="21"/>
                <w:lang w:eastAsia="zh-CN"/>
              </w:rPr>
              <w:t>，</w:t>
            </w:r>
            <w:r>
              <w:rPr>
                <w:rFonts w:hint="eastAsia" w:ascii="宋体" w:hAnsi="宋体" w:cs="宋体"/>
                <w:color w:val="auto"/>
                <w:szCs w:val="21"/>
              </w:rPr>
              <w:t>供应商提供的方案符合采购文件要求，较详细描述了项目测评实现方式，方案可行，具有一定的先进性。能较详细描述投入本项目测评的主要内容、采用的测评的标准、测评方法</w:t>
            </w:r>
            <w:r>
              <w:rPr>
                <w:rFonts w:hint="eastAsia" w:ascii="宋体" w:hAnsi="宋体" w:cs="宋体"/>
                <w:color w:val="auto"/>
                <w:szCs w:val="21"/>
                <w:lang w:eastAsia="zh-CN"/>
              </w:rPr>
              <w:t>、</w:t>
            </w:r>
            <w:r>
              <w:rPr>
                <w:rFonts w:hint="eastAsia" w:ascii="宋体" w:hAnsi="宋体" w:cs="宋体"/>
                <w:color w:val="auto"/>
                <w:szCs w:val="21"/>
              </w:rPr>
              <w:t xml:space="preserve">人员结构、任务分配，进度安排比较合理，能提供比较具体的质量保证措施。 </w:t>
            </w:r>
          </w:p>
          <w:p w14:paraId="24759F04">
            <w:pPr>
              <w:keepNext w:val="0"/>
              <w:keepLines w:val="0"/>
              <w:pageBreakBefore w:val="0"/>
              <w:kinsoku/>
              <w:wordWrap/>
              <w:overflowPunct/>
              <w:topLinePunct w:val="0"/>
              <w:autoSpaceDE w:val="0"/>
              <w:bidi w:val="0"/>
              <w:adjustRightInd/>
              <w:snapToGrid/>
              <w:spacing w:line="240" w:lineRule="auto"/>
              <w:ind w:firstLine="420" w:firstLineChars="200"/>
              <w:textAlignment w:val="auto"/>
              <w:rPr>
                <w:sz w:val="22"/>
                <w:szCs w:val="22"/>
              </w:rPr>
            </w:pPr>
            <w:r>
              <w:rPr>
                <w:rFonts w:hint="eastAsia" w:ascii="宋体" w:hAnsi="宋体" w:cs="宋体"/>
                <w:color w:val="auto"/>
                <w:szCs w:val="21"/>
              </w:rPr>
              <w:t>三档（</w:t>
            </w:r>
            <w:r>
              <w:rPr>
                <w:rFonts w:hint="eastAsia" w:ascii="宋体" w:hAnsi="宋体" w:cs="宋体"/>
                <w:color w:val="auto"/>
                <w:szCs w:val="21"/>
                <w:lang w:val="en-US" w:eastAsia="zh-CN"/>
              </w:rPr>
              <w:t>15</w:t>
            </w:r>
            <w:r>
              <w:rPr>
                <w:rFonts w:hint="eastAsia" w:ascii="宋体" w:hAnsi="宋体" w:cs="宋体"/>
                <w:color w:val="auto"/>
                <w:szCs w:val="21"/>
              </w:rPr>
              <w:t>分）：供应商提供的方案，在满足二档的要求基础上，能详细描述投入项目测评的主要内容、采用的测评的标准、测评设备的型号、测评方法、保密承诺</w:t>
            </w:r>
            <w:r>
              <w:rPr>
                <w:rFonts w:hint="eastAsia" w:ascii="宋体" w:hAnsi="宋体" w:cs="宋体"/>
                <w:color w:val="auto"/>
                <w:szCs w:val="21"/>
                <w:lang w:eastAsia="zh-CN"/>
              </w:rPr>
              <w:t>、</w:t>
            </w:r>
            <w:r>
              <w:rPr>
                <w:rFonts w:hint="eastAsia" w:ascii="宋体" w:hAnsi="宋体" w:cs="宋体"/>
                <w:color w:val="auto"/>
                <w:szCs w:val="21"/>
              </w:rPr>
              <w:t>人员结构科学，任务分配妥当，进度安排合理，能提供具体质量保证措施的，且措施合理、操作性强的。</w:t>
            </w:r>
          </w:p>
        </w:tc>
      </w:tr>
      <w:tr w14:paraId="178DCD02">
        <w:tblPrEx>
          <w:tblCellMar>
            <w:top w:w="0" w:type="dxa"/>
            <w:left w:w="108" w:type="dxa"/>
            <w:bottom w:w="0" w:type="dxa"/>
            <w:right w:w="108" w:type="dxa"/>
          </w:tblCellMar>
        </w:tblPrEx>
        <w:trPr>
          <w:trHeight w:val="983" w:hRule="atLeast"/>
          <w:jc w:val="center"/>
        </w:trPr>
        <w:tc>
          <w:tcPr>
            <w:tcW w:w="1134" w:type="dxa"/>
            <w:vMerge w:val="continue"/>
            <w:tcBorders>
              <w:left w:val="single" w:color="000000" w:sz="4" w:space="0"/>
              <w:right w:val="single" w:color="000000" w:sz="4" w:space="0"/>
            </w:tcBorders>
            <w:noWrap/>
            <w:vAlign w:val="center"/>
          </w:tcPr>
          <w:p w14:paraId="675ED65C">
            <w:pPr>
              <w:jc w:val="center"/>
              <w:rPr>
                <w:rFonts w:cs="宋体"/>
                <w:color w:val="000000"/>
                <w:kern w:val="0"/>
                <w:sz w:val="22"/>
                <w:szCs w:val="22"/>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4A58CAD7">
            <w:pPr>
              <w:widowControl/>
              <w:jc w:val="center"/>
              <w:rPr>
                <w:rFonts w:hint="eastAsia" w:cs="宋体"/>
                <w:color w:val="000000"/>
                <w:kern w:val="0"/>
                <w:sz w:val="22"/>
                <w:szCs w:val="22"/>
                <w:lang w:val="en-US" w:eastAsia="zh-CN"/>
              </w:rPr>
            </w:pPr>
            <w:r>
              <w:rPr>
                <w:rFonts w:hint="eastAsia" w:cs="宋体"/>
                <w:color w:val="000000"/>
                <w:kern w:val="0"/>
                <w:sz w:val="22"/>
                <w:szCs w:val="22"/>
              </w:rPr>
              <w:t>项目实施</w:t>
            </w:r>
            <w:r>
              <w:rPr>
                <w:rFonts w:hint="eastAsia" w:cs="宋体"/>
                <w:color w:val="000000"/>
                <w:kern w:val="0"/>
                <w:sz w:val="22"/>
                <w:szCs w:val="22"/>
                <w:lang w:val="en-US" w:eastAsia="zh-CN"/>
              </w:rPr>
              <w:t>方案</w:t>
            </w:r>
          </w:p>
          <w:p w14:paraId="6911A05C">
            <w:pPr>
              <w:pStyle w:val="2"/>
              <w:rPr>
                <w:rFonts w:hint="eastAsia"/>
                <w:lang w:eastAsia="zh-CN"/>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C67BA1A">
            <w:pPr>
              <w:widowControl/>
              <w:jc w:val="center"/>
              <w:rPr>
                <w:rFonts w:cs="宋体"/>
                <w:color w:val="000000"/>
                <w:kern w:val="0"/>
                <w:sz w:val="22"/>
                <w:szCs w:val="22"/>
              </w:rPr>
            </w:pPr>
            <w:r>
              <w:rPr>
                <w:rFonts w:cs="宋体"/>
                <w:color w:val="000000"/>
                <w:kern w:val="0"/>
                <w:sz w:val="22"/>
                <w:szCs w:val="22"/>
              </w:rPr>
              <w:t>5</w:t>
            </w:r>
          </w:p>
        </w:tc>
        <w:tc>
          <w:tcPr>
            <w:tcW w:w="6807" w:type="dxa"/>
            <w:tcBorders>
              <w:top w:val="single" w:color="000000" w:sz="4" w:space="0"/>
              <w:left w:val="single" w:color="000000" w:sz="4" w:space="0"/>
              <w:bottom w:val="single" w:color="000000" w:sz="4" w:space="0"/>
              <w:right w:val="single" w:color="000000" w:sz="4" w:space="0"/>
            </w:tcBorders>
            <w:vAlign w:val="center"/>
          </w:tcPr>
          <w:p w14:paraId="1432B9B2">
            <w:pPr>
              <w:pStyle w:val="8"/>
              <w:keepNext w:val="0"/>
              <w:keepLines w:val="0"/>
              <w:pageBreakBefore w:val="0"/>
              <w:kinsoku/>
              <w:wordWrap/>
              <w:overflowPunct/>
              <w:topLinePunct w:val="0"/>
              <w:bidi w:val="0"/>
              <w:adjustRightInd/>
              <w:snapToGrid/>
              <w:spacing w:line="240" w:lineRule="auto"/>
              <w:ind w:firstLine="420" w:firstLineChars="200"/>
              <w:textAlignment w:val="auto"/>
              <w:rPr>
                <w:rFonts w:hAnsi="宋体" w:cs="宋体"/>
                <w:color w:val="auto"/>
                <w:sz w:val="21"/>
              </w:rPr>
            </w:pPr>
            <w:r>
              <w:rPr>
                <w:rFonts w:hint="eastAsia" w:hAnsi="宋体" w:cs="宋体"/>
                <w:color w:val="auto"/>
                <w:sz w:val="21"/>
              </w:rPr>
              <w:t>未提供方案或方案严重不合理的不得分。</w:t>
            </w:r>
          </w:p>
          <w:p w14:paraId="7812E1C1">
            <w:pPr>
              <w:keepNext w:val="0"/>
              <w:keepLines w:val="0"/>
              <w:pageBreakBefore w:val="0"/>
              <w:kinsoku/>
              <w:wordWrap/>
              <w:overflowPunct/>
              <w:topLinePunct w:val="0"/>
              <w:bidi w:val="0"/>
              <w:adjustRightInd/>
              <w:snapToGrid/>
              <w:spacing w:line="240" w:lineRule="auto"/>
              <w:ind w:firstLine="420" w:firstLineChars="200"/>
              <w:textAlignment w:val="auto"/>
              <w:rPr>
                <w:rFonts w:ascii="宋体" w:hAnsi="宋体" w:cs="宋体"/>
                <w:color w:val="auto"/>
                <w:szCs w:val="21"/>
              </w:rPr>
            </w:pPr>
            <w:r>
              <w:rPr>
                <w:rFonts w:hint="eastAsia" w:ascii="宋体" w:hAnsi="宋体" w:cs="宋体"/>
                <w:color w:val="auto"/>
                <w:szCs w:val="21"/>
              </w:rPr>
              <w:t>一档（</w:t>
            </w:r>
            <w:r>
              <w:rPr>
                <w:rFonts w:hint="eastAsia" w:ascii="宋体" w:hAnsi="宋体" w:cs="宋体"/>
                <w:color w:val="auto"/>
                <w:szCs w:val="21"/>
                <w:lang w:val="en-US" w:eastAsia="zh-CN"/>
              </w:rPr>
              <w:t>1</w:t>
            </w:r>
            <w:r>
              <w:rPr>
                <w:rFonts w:hint="eastAsia" w:ascii="宋体" w:hAnsi="宋体" w:cs="宋体"/>
                <w:color w:val="auto"/>
                <w:szCs w:val="21"/>
              </w:rPr>
              <w:t>分）：对整体项目的理解程度一般，方案中有人员结构、任务分配、进度安排的简单描述，不能提供质量保证措施。</w:t>
            </w:r>
          </w:p>
          <w:p w14:paraId="2C5F5887">
            <w:pPr>
              <w:keepNext w:val="0"/>
              <w:keepLines w:val="0"/>
              <w:pageBreakBefore w:val="0"/>
              <w:kinsoku/>
              <w:wordWrap/>
              <w:overflowPunct/>
              <w:topLinePunct w:val="0"/>
              <w:bidi w:val="0"/>
              <w:adjustRightInd/>
              <w:snapToGrid/>
              <w:spacing w:line="240" w:lineRule="auto"/>
              <w:ind w:firstLine="420" w:firstLineChars="200"/>
              <w:textAlignment w:val="auto"/>
              <w:rPr>
                <w:rFonts w:ascii="宋体" w:hAnsi="宋体" w:cs="宋体"/>
                <w:color w:val="auto"/>
                <w:szCs w:val="21"/>
              </w:rPr>
            </w:pPr>
            <w:r>
              <w:rPr>
                <w:rFonts w:hint="eastAsia" w:ascii="宋体" w:hAnsi="宋体" w:cs="宋体"/>
                <w:color w:val="auto"/>
                <w:szCs w:val="21"/>
              </w:rPr>
              <w:t>二档（</w:t>
            </w:r>
            <w:r>
              <w:rPr>
                <w:rFonts w:hint="eastAsia" w:ascii="宋体" w:hAnsi="宋体" w:cs="宋体"/>
                <w:color w:val="auto"/>
                <w:szCs w:val="21"/>
                <w:lang w:val="en-US" w:eastAsia="zh-CN"/>
              </w:rPr>
              <w:t>3</w:t>
            </w:r>
            <w:r>
              <w:rPr>
                <w:rFonts w:hint="eastAsia" w:ascii="宋体" w:hAnsi="宋体" w:cs="宋体"/>
                <w:color w:val="auto"/>
                <w:szCs w:val="21"/>
              </w:rPr>
              <w:t>分）：方案中人员结构、任务分配，进度安排合理，能提供比较具体的质量保证措施的。</w:t>
            </w:r>
          </w:p>
          <w:p w14:paraId="6CEFDDB0">
            <w:pPr>
              <w:keepNext w:val="0"/>
              <w:keepLines w:val="0"/>
              <w:pageBreakBefore w:val="0"/>
              <w:widowControl/>
              <w:kinsoku/>
              <w:wordWrap/>
              <w:overflowPunct/>
              <w:topLinePunct w:val="0"/>
              <w:bidi w:val="0"/>
              <w:adjustRightInd/>
              <w:snapToGrid/>
              <w:spacing w:line="240" w:lineRule="auto"/>
              <w:ind w:firstLine="420" w:firstLineChars="200"/>
              <w:jc w:val="left"/>
              <w:textAlignment w:val="auto"/>
              <w:rPr>
                <w:color w:val="000000"/>
                <w:sz w:val="22"/>
                <w:szCs w:val="22"/>
              </w:rPr>
            </w:pPr>
            <w:r>
              <w:rPr>
                <w:rFonts w:hint="eastAsia" w:ascii="宋体" w:hAnsi="宋体" w:cs="宋体"/>
                <w:color w:val="auto"/>
                <w:szCs w:val="21"/>
              </w:rPr>
              <w:t>三档（</w:t>
            </w:r>
            <w:r>
              <w:rPr>
                <w:rFonts w:hint="eastAsia" w:ascii="宋体" w:hAnsi="宋体" w:cs="宋体"/>
                <w:color w:val="auto"/>
                <w:szCs w:val="21"/>
                <w:lang w:val="en-US" w:eastAsia="zh-CN"/>
              </w:rPr>
              <w:t>5</w:t>
            </w:r>
            <w:r>
              <w:rPr>
                <w:rFonts w:hint="eastAsia" w:ascii="宋体" w:hAnsi="宋体" w:cs="宋体"/>
                <w:color w:val="auto"/>
                <w:szCs w:val="21"/>
              </w:rPr>
              <w:t>分）：对项目理解透彻，方案中人员结构科学，任务分配妥当，进度安排合理，能提供具体质量保证措施，</w:t>
            </w:r>
            <w:r>
              <w:rPr>
                <w:rFonts w:hint="eastAsia" w:ascii="宋体" w:hAnsi="宋体" w:cs="宋体"/>
                <w:color w:val="auto"/>
                <w:szCs w:val="21"/>
                <w:lang w:val="en-US" w:eastAsia="zh-CN"/>
              </w:rPr>
              <w:t>有反馈纠错措施</w:t>
            </w:r>
            <w:r>
              <w:rPr>
                <w:rFonts w:hint="eastAsia" w:ascii="宋体" w:hAnsi="宋体" w:cs="宋体"/>
                <w:color w:val="auto"/>
                <w:szCs w:val="21"/>
              </w:rPr>
              <w:t>且措施合理、操作性强的。</w:t>
            </w:r>
          </w:p>
        </w:tc>
      </w:tr>
      <w:tr w14:paraId="5E68BAFF">
        <w:tblPrEx>
          <w:tblCellMar>
            <w:top w:w="0" w:type="dxa"/>
            <w:left w:w="108" w:type="dxa"/>
            <w:bottom w:w="0" w:type="dxa"/>
            <w:right w:w="108" w:type="dxa"/>
          </w:tblCellMar>
        </w:tblPrEx>
        <w:trPr>
          <w:trHeight w:val="1142" w:hRule="atLeast"/>
          <w:jc w:val="center"/>
        </w:trPr>
        <w:tc>
          <w:tcPr>
            <w:tcW w:w="1134" w:type="dxa"/>
            <w:vMerge w:val="continue"/>
            <w:tcBorders>
              <w:left w:val="single" w:color="000000" w:sz="4" w:space="0"/>
              <w:right w:val="single" w:color="000000" w:sz="4" w:space="0"/>
            </w:tcBorders>
            <w:noWrap/>
            <w:vAlign w:val="center"/>
          </w:tcPr>
          <w:p w14:paraId="4CC00EFE">
            <w:pPr>
              <w:jc w:val="center"/>
              <w:rPr>
                <w:rFonts w:cs="宋体"/>
                <w:color w:val="000000"/>
                <w:kern w:val="0"/>
                <w:sz w:val="22"/>
                <w:szCs w:val="22"/>
              </w:rPr>
            </w:pP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2FBAAFC">
            <w:pPr>
              <w:widowControl/>
              <w:jc w:val="center"/>
              <w:rPr>
                <w:rFonts w:cs="宋体"/>
                <w:color w:val="000000"/>
                <w:kern w:val="0"/>
                <w:sz w:val="22"/>
                <w:szCs w:val="22"/>
              </w:rPr>
            </w:pPr>
            <w:r>
              <w:rPr>
                <w:rFonts w:hint="eastAsia" w:cs="宋体"/>
                <w:color w:val="000000"/>
                <w:kern w:val="0"/>
                <w:sz w:val="22"/>
                <w:szCs w:val="22"/>
                <w:lang w:val="en-US" w:eastAsia="zh-CN"/>
              </w:rPr>
              <w:t>售后</w:t>
            </w:r>
            <w:r>
              <w:rPr>
                <w:rFonts w:hint="eastAsia" w:cs="宋体"/>
                <w:color w:val="000000"/>
                <w:kern w:val="0"/>
                <w:sz w:val="22"/>
                <w:szCs w:val="22"/>
              </w:rPr>
              <w:t>方案</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0DA2F18B">
            <w:pPr>
              <w:widowControl/>
              <w:jc w:val="center"/>
              <w:rPr>
                <w:rFonts w:hint="default" w:cs="宋体" w:eastAsiaTheme="minorEastAsia"/>
                <w:color w:val="000000"/>
                <w:kern w:val="0"/>
                <w:sz w:val="22"/>
                <w:szCs w:val="22"/>
                <w:lang w:val="en-US" w:eastAsia="zh-CN"/>
              </w:rPr>
            </w:pPr>
            <w:r>
              <w:rPr>
                <w:rFonts w:hint="eastAsia" w:cs="宋体"/>
                <w:color w:val="000000"/>
                <w:kern w:val="0"/>
                <w:sz w:val="22"/>
                <w:szCs w:val="22"/>
                <w:lang w:val="en-US" w:eastAsia="zh-CN"/>
              </w:rPr>
              <w:t>10</w:t>
            </w:r>
          </w:p>
        </w:tc>
        <w:tc>
          <w:tcPr>
            <w:tcW w:w="6807" w:type="dxa"/>
            <w:tcBorders>
              <w:top w:val="single" w:color="000000" w:sz="4" w:space="0"/>
              <w:left w:val="single" w:color="000000" w:sz="4" w:space="0"/>
              <w:bottom w:val="single" w:color="000000" w:sz="4" w:space="0"/>
              <w:right w:val="single" w:color="000000" w:sz="4" w:space="0"/>
            </w:tcBorders>
            <w:vAlign w:val="center"/>
          </w:tcPr>
          <w:p w14:paraId="1CDC2373">
            <w:pPr>
              <w:pStyle w:val="8"/>
              <w:keepNext w:val="0"/>
              <w:keepLines w:val="0"/>
              <w:pageBreakBefore w:val="0"/>
              <w:kinsoku/>
              <w:wordWrap/>
              <w:overflowPunct/>
              <w:topLinePunct w:val="0"/>
              <w:bidi w:val="0"/>
              <w:adjustRightInd/>
              <w:snapToGrid/>
              <w:spacing w:line="240" w:lineRule="auto"/>
              <w:ind w:firstLine="420" w:firstLineChars="200"/>
              <w:textAlignment w:val="auto"/>
              <w:rPr>
                <w:rFonts w:hAnsi="宋体" w:cs="宋体"/>
                <w:color w:val="auto"/>
                <w:sz w:val="21"/>
              </w:rPr>
            </w:pPr>
            <w:r>
              <w:rPr>
                <w:rFonts w:hint="eastAsia" w:hAnsi="宋体" w:cs="宋体"/>
                <w:color w:val="auto"/>
                <w:sz w:val="21"/>
              </w:rPr>
              <w:t>未提供方案或方案严重不合理的不得分。</w:t>
            </w:r>
          </w:p>
          <w:p w14:paraId="4B310007">
            <w:pPr>
              <w:keepNext w:val="0"/>
              <w:keepLines w:val="0"/>
              <w:pageBreakBefore w:val="0"/>
              <w:kinsoku/>
              <w:wordWrap/>
              <w:overflowPunct/>
              <w:topLinePunct w:val="0"/>
              <w:bidi w:val="0"/>
              <w:adjustRightInd/>
              <w:snapToGrid/>
              <w:spacing w:line="240" w:lineRule="auto"/>
              <w:ind w:firstLine="420" w:firstLineChars="200"/>
              <w:textAlignment w:val="auto"/>
              <w:rPr>
                <w:rFonts w:ascii="宋体" w:hAnsi="宋体" w:cs="宋体"/>
                <w:color w:val="auto"/>
                <w:szCs w:val="21"/>
              </w:rPr>
            </w:pPr>
            <w:r>
              <w:rPr>
                <w:rFonts w:hint="eastAsia" w:ascii="宋体" w:hAnsi="宋体" w:cs="宋体"/>
                <w:color w:val="auto"/>
                <w:szCs w:val="21"/>
              </w:rPr>
              <w:t>一档（</w:t>
            </w:r>
            <w:r>
              <w:rPr>
                <w:rFonts w:hint="eastAsia" w:ascii="宋体" w:hAnsi="宋体" w:cs="宋体"/>
                <w:color w:val="auto"/>
                <w:szCs w:val="21"/>
                <w:lang w:val="en-US" w:eastAsia="zh-CN"/>
              </w:rPr>
              <w:t>3</w:t>
            </w:r>
            <w:r>
              <w:rPr>
                <w:rFonts w:hint="eastAsia" w:ascii="宋体" w:hAnsi="宋体" w:cs="宋体"/>
                <w:color w:val="auto"/>
                <w:szCs w:val="21"/>
              </w:rPr>
              <w:t>分）：供应商承诺的响应时间、咨询保障服务、重要时期咨询服务、应急响应服务、文档管理咨询、售后服务方案基本完整。</w:t>
            </w:r>
          </w:p>
          <w:p w14:paraId="75C4C5C8">
            <w:pPr>
              <w:keepNext w:val="0"/>
              <w:keepLines w:val="0"/>
              <w:pageBreakBefore w:val="0"/>
              <w:kinsoku/>
              <w:wordWrap/>
              <w:overflowPunct/>
              <w:topLinePunct w:val="0"/>
              <w:bidi w:val="0"/>
              <w:adjustRightInd/>
              <w:snapToGrid/>
              <w:spacing w:line="240" w:lineRule="auto"/>
              <w:ind w:firstLine="420" w:firstLineChars="200"/>
              <w:textAlignment w:val="auto"/>
              <w:rPr>
                <w:rFonts w:ascii="宋体" w:hAnsi="宋体" w:cs="宋体"/>
                <w:color w:val="auto"/>
                <w:szCs w:val="21"/>
              </w:rPr>
            </w:pPr>
            <w:r>
              <w:rPr>
                <w:rFonts w:hint="eastAsia" w:ascii="宋体" w:hAnsi="宋体" w:cs="宋体"/>
                <w:color w:val="auto"/>
                <w:szCs w:val="21"/>
              </w:rPr>
              <w:t>二档（</w:t>
            </w:r>
            <w:r>
              <w:rPr>
                <w:rFonts w:hint="eastAsia" w:ascii="宋体" w:hAnsi="宋体" w:cs="宋体"/>
                <w:color w:val="auto"/>
                <w:szCs w:val="21"/>
                <w:lang w:val="en-US" w:eastAsia="zh-CN"/>
              </w:rPr>
              <w:t>6</w:t>
            </w:r>
            <w:r>
              <w:rPr>
                <w:rFonts w:hint="eastAsia" w:ascii="宋体" w:hAnsi="宋体" w:cs="宋体"/>
                <w:color w:val="auto"/>
                <w:szCs w:val="21"/>
              </w:rPr>
              <w:t>分）：供应商承诺的响应时间、故障咨询服务、重要时期咨询服务、应急响应服务、文档管理咨询、售后服务方案比较完整、详细，</w:t>
            </w:r>
            <w:r>
              <w:rPr>
                <w:rFonts w:hint="eastAsia" w:ascii="宋体" w:hAnsi="宋体" w:cs="宋体"/>
                <w:color w:val="auto"/>
                <w:szCs w:val="21"/>
                <w:lang w:val="en-US" w:eastAsia="zh-CN"/>
              </w:rPr>
              <w:t>提供的</w:t>
            </w:r>
            <w:r>
              <w:rPr>
                <w:rFonts w:hint="eastAsia" w:ascii="宋体" w:hAnsi="宋体" w:cs="宋体"/>
                <w:color w:val="auto"/>
                <w:szCs w:val="21"/>
              </w:rPr>
              <w:t>故障处理咨询措施可行性、及时性、可操作性较强，重要时期咨询保障措施针对性、可行性较强，</w:t>
            </w:r>
            <w:r>
              <w:rPr>
                <w:rFonts w:hint="eastAsia" w:ascii="宋体" w:hAnsi="宋体" w:cs="宋体"/>
                <w:color w:val="auto"/>
                <w:szCs w:val="21"/>
                <w:lang w:val="en-US" w:eastAsia="zh-CN"/>
              </w:rPr>
              <w:t>有</w:t>
            </w:r>
            <w:r>
              <w:rPr>
                <w:rFonts w:hint="eastAsia" w:ascii="宋体" w:hAnsi="宋体" w:cs="宋体"/>
                <w:color w:val="auto"/>
                <w:szCs w:val="21"/>
              </w:rPr>
              <w:t>人员保障预案、资源协调预案</w:t>
            </w:r>
            <w:r>
              <w:rPr>
                <w:rFonts w:hint="eastAsia" w:ascii="宋体" w:hAnsi="宋体" w:cs="宋体"/>
                <w:color w:val="auto"/>
                <w:szCs w:val="21"/>
                <w:lang w:val="en-US" w:eastAsia="zh-CN"/>
              </w:rPr>
              <w:t>且</w:t>
            </w:r>
            <w:r>
              <w:rPr>
                <w:rFonts w:hint="eastAsia" w:ascii="宋体" w:hAnsi="宋体" w:cs="宋体"/>
                <w:color w:val="auto"/>
                <w:szCs w:val="21"/>
              </w:rPr>
              <w:t>考虑较周全，应急服务管理方案比较细致、全面。</w:t>
            </w:r>
          </w:p>
          <w:p w14:paraId="0D36710D">
            <w:pPr>
              <w:keepNext w:val="0"/>
              <w:keepLines w:val="0"/>
              <w:pageBreakBefore w:val="0"/>
              <w:kinsoku/>
              <w:wordWrap/>
              <w:overflowPunct/>
              <w:topLinePunct w:val="0"/>
              <w:autoSpaceDE w:val="0"/>
              <w:bidi w:val="0"/>
              <w:adjustRightInd/>
              <w:snapToGrid/>
              <w:spacing w:line="240" w:lineRule="auto"/>
              <w:ind w:firstLine="420" w:firstLineChars="200"/>
              <w:textAlignment w:val="auto"/>
              <w:rPr>
                <w:color w:val="000000"/>
                <w:sz w:val="22"/>
                <w:szCs w:val="22"/>
              </w:rPr>
            </w:pPr>
            <w:r>
              <w:rPr>
                <w:rFonts w:hint="eastAsia" w:ascii="宋体" w:hAnsi="宋体" w:cs="宋体"/>
                <w:color w:val="auto"/>
                <w:szCs w:val="21"/>
              </w:rPr>
              <w:t>三档（</w:t>
            </w:r>
            <w:r>
              <w:rPr>
                <w:rFonts w:hint="eastAsia" w:ascii="宋体" w:hAnsi="宋体" w:cs="宋体"/>
                <w:color w:val="auto"/>
                <w:szCs w:val="21"/>
                <w:lang w:val="en-US" w:eastAsia="zh-CN"/>
              </w:rPr>
              <w:t>10</w:t>
            </w:r>
            <w:r>
              <w:rPr>
                <w:rFonts w:hint="eastAsia" w:ascii="宋体" w:hAnsi="宋体" w:cs="宋体"/>
                <w:color w:val="auto"/>
                <w:szCs w:val="21"/>
              </w:rPr>
              <w:t>分）：供应商承诺的响应时间、故障咨询服务、重要时期咨询服务、应急响应服务、文档管理咨询、售后服务方案非常完整、详细，</w:t>
            </w:r>
            <w:r>
              <w:rPr>
                <w:rFonts w:hint="eastAsia" w:ascii="宋体" w:hAnsi="宋体" w:cs="宋体"/>
                <w:color w:val="auto"/>
                <w:szCs w:val="21"/>
                <w:lang w:val="en-US" w:eastAsia="zh-CN"/>
              </w:rPr>
              <w:t>提供的</w:t>
            </w:r>
            <w:r>
              <w:rPr>
                <w:rFonts w:hint="eastAsia" w:ascii="宋体" w:hAnsi="宋体" w:cs="宋体"/>
                <w:color w:val="auto"/>
                <w:szCs w:val="21"/>
              </w:rPr>
              <w:t>故障处理咨询措施可行性、及时性、可操作性强，重要时期咨询保障措施针对性、可行性强，</w:t>
            </w:r>
            <w:r>
              <w:rPr>
                <w:rFonts w:hint="eastAsia" w:ascii="宋体" w:hAnsi="宋体" w:cs="宋体"/>
                <w:color w:val="auto"/>
                <w:szCs w:val="21"/>
                <w:lang w:val="en-US" w:eastAsia="zh-CN"/>
              </w:rPr>
              <w:t>有</w:t>
            </w:r>
            <w:r>
              <w:rPr>
                <w:rFonts w:hint="eastAsia" w:ascii="宋体" w:hAnsi="宋体" w:cs="宋体"/>
                <w:color w:val="auto"/>
                <w:szCs w:val="21"/>
              </w:rPr>
              <w:t>人员保障预案、资源协调预案考虑周全，应急服务管理方案非常细致、全面，</w:t>
            </w:r>
            <w:r>
              <w:rPr>
                <w:rFonts w:hint="eastAsia" w:ascii="宋体" w:hAnsi="宋体" w:cs="宋体"/>
                <w:color w:val="auto"/>
                <w:szCs w:val="21"/>
                <w:lang w:val="en-US" w:eastAsia="zh-CN"/>
              </w:rPr>
              <w:t>针对本项目采购需求提供了</w:t>
            </w:r>
            <w:r>
              <w:rPr>
                <w:rFonts w:hint="eastAsia" w:ascii="宋体" w:hAnsi="宋体" w:cs="宋体"/>
                <w:color w:val="auto"/>
                <w:szCs w:val="21"/>
              </w:rPr>
              <w:t>非常详细的服务管理方案，提供的售后服务方案规范性及标准化程度高。</w:t>
            </w:r>
          </w:p>
        </w:tc>
      </w:tr>
      <w:tr w14:paraId="3C9FA883">
        <w:tblPrEx>
          <w:tblCellMar>
            <w:top w:w="0" w:type="dxa"/>
            <w:left w:w="108" w:type="dxa"/>
            <w:bottom w:w="0" w:type="dxa"/>
            <w:right w:w="108" w:type="dxa"/>
          </w:tblCellMar>
        </w:tblPrEx>
        <w:trPr>
          <w:trHeight w:val="454" w:hRule="atLeast"/>
          <w:jc w:val="center"/>
        </w:trPr>
        <w:tc>
          <w:tcPr>
            <w:tcW w:w="1134" w:type="dxa"/>
            <w:vMerge w:val="continue"/>
            <w:tcBorders>
              <w:left w:val="single" w:color="000000" w:sz="4" w:space="0"/>
              <w:right w:val="single" w:color="000000" w:sz="4" w:space="0"/>
            </w:tcBorders>
            <w:noWrap/>
            <w:vAlign w:val="center"/>
          </w:tcPr>
          <w:p w14:paraId="2A6E5BF4">
            <w:pPr>
              <w:jc w:val="center"/>
              <w:rPr>
                <w:rFonts w:cs="宋体"/>
                <w:color w:val="000000"/>
                <w:kern w:val="0"/>
                <w:sz w:val="22"/>
                <w:szCs w:val="22"/>
              </w:rPr>
            </w:pPr>
          </w:p>
        </w:tc>
        <w:tc>
          <w:tcPr>
            <w:tcW w:w="817" w:type="dxa"/>
            <w:tcBorders>
              <w:top w:val="single" w:color="000000" w:sz="4" w:space="0"/>
              <w:left w:val="single" w:color="000000" w:sz="4" w:space="0"/>
              <w:bottom w:val="single" w:color="000000" w:sz="4" w:space="0"/>
              <w:right w:val="single" w:color="000000" w:sz="4" w:space="0"/>
            </w:tcBorders>
            <w:vAlign w:val="center"/>
          </w:tcPr>
          <w:p w14:paraId="05694016">
            <w:pPr>
              <w:widowControl/>
              <w:jc w:val="center"/>
              <w:rPr>
                <w:rFonts w:cs="宋体"/>
                <w:color w:val="000000"/>
                <w:kern w:val="0"/>
                <w:sz w:val="22"/>
                <w:szCs w:val="22"/>
              </w:rPr>
            </w:pPr>
            <w:r>
              <w:rPr>
                <w:rFonts w:hint="eastAsia" w:cs="宋体"/>
                <w:color w:val="000000"/>
                <w:kern w:val="0"/>
                <w:sz w:val="22"/>
                <w:szCs w:val="22"/>
              </w:rPr>
              <w:t>项目人员资质</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33075CE7">
            <w:pPr>
              <w:widowControl/>
              <w:jc w:val="center"/>
              <w:rPr>
                <w:rFonts w:cs="宋体"/>
                <w:color w:val="000000"/>
                <w:kern w:val="0"/>
                <w:sz w:val="22"/>
                <w:szCs w:val="22"/>
              </w:rPr>
            </w:pPr>
            <w:r>
              <w:rPr>
                <w:rFonts w:hint="eastAsia" w:cs="宋体"/>
                <w:color w:val="000000"/>
                <w:kern w:val="0"/>
                <w:sz w:val="22"/>
                <w:szCs w:val="22"/>
              </w:rPr>
              <w:t>2</w:t>
            </w:r>
            <w:r>
              <w:rPr>
                <w:rFonts w:cs="宋体"/>
                <w:color w:val="000000"/>
                <w:kern w:val="0"/>
                <w:sz w:val="22"/>
                <w:szCs w:val="22"/>
              </w:rPr>
              <w:t>0</w:t>
            </w:r>
          </w:p>
        </w:tc>
        <w:tc>
          <w:tcPr>
            <w:tcW w:w="6807" w:type="dxa"/>
            <w:tcBorders>
              <w:top w:val="single" w:color="000000" w:sz="4" w:space="0"/>
              <w:left w:val="single" w:color="000000" w:sz="4" w:space="0"/>
              <w:bottom w:val="single" w:color="000000" w:sz="4" w:space="0"/>
              <w:right w:val="single" w:color="000000" w:sz="4" w:space="0"/>
            </w:tcBorders>
            <w:vAlign w:val="center"/>
          </w:tcPr>
          <w:p w14:paraId="5C7C52F2">
            <w:pPr>
              <w:keepNext w:val="0"/>
              <w:keepLines w:val="0"/>
              <w:pageBreakBefore w:val="0"/>
              <w:kinsoku/>
              <w:wordWrap/>
              <w:overflowPunct/>
              <w:topLinePunct w:val="0"/>
              <w:bidi w:val="0"/>
              <w:adjustRightInd/>
              <w:snapToGrid/>
              <w:spacing w:line="240" w:lineRule="auto"/>
              <w:ind w:firstLine="420" w:firstLineChars="200"/>
              <w:jc w:val="left"/>
              <w:textAlignment w:val="auto"/>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供应商提供的测评人员必须具有信息安全等级测评师证书或网络安全等级测评师证书，项目团队至少包含1名高级测评师、1名中级</w:t>
            </w:r>
            <w:r>
              <w:rPr>
                <w:rFonts w:hint="eastAsia" w:ascii="宋体" w:hAnsi="宋体" w:cs="宋体"/>
                <w:color w:val="auto"/>
                <w:szCs w:val="21"/>
                <w:lang w:eastAsia="zh-CN"/>
              </w:rPr>
              <w:t>（</w:t>
            </w:r>
            <w:r>
              <w:rPr>
                <w:rFonts w:hint="eastAsia" w:ascii="宋体" w:hAnsi="宋体" w:cs="宋体"/>
                <w:color w:val="auto"/>
                <w:szCs w:val="21"/>
                <w:lang w:val="en-US" w:eastAsia="zh-CN"/>
              </w:rPr>
              <w:t>含</w:t>
            </w:r>
            <w:r>
              <w:rPr>
                <w:rFonts w:hint="eastAsia" w:ascii="宋体" w:hAnsi="宋体" w:cs="宋体"/>
                <w:color w:val="auto"/>
                <w:szCs w:val="21"/>
                <w:lang w:eastAsia="zh-CN"/>
              </w:rPr>
              <w:t>）</w:t>
            </w:r>
            <w:r>
              <w:rPr>
                <w:rFonts w:hint="eastAsia" w:ascii="宋体" w:hAnsi="宋体" w:cs="宋体"/>
                <w:color w:val="auto"/>
                <w:szCs w:val="21"/>
                <w:lang w:val="en-US" w:eastAsia="zh-CN"/>
              </w:rPr>
              <w:t>以上</w:t>
            </w:r>
            <w:r>
              <w:rPr>
                <w:rFonts w:hint="eastAsia" w:ascii="宋体" w:hAnsi="宋体" w:cs="宋体"/>
                <w:color w:val="auto"/>
                <w:szCs w:val="21"/>
              </w:rPr>
              <w:t>测评师、2名初级</w:t>
            </w:r>
            <w:r>
              <w:rPr>
                <w:rFonts w:hint="eastAsia" w:ascii="宋体" w:hAnsi="宋体" w:cs="宋体"/>
                <w:color w:val="auto"/>
                <w:szCs w:val="21"/>
                <w:lang w:eastAsia="zh-CN"/>
              </w:rPr>
              <w:t>（</w:t>
            </w:r>
            <w:r>
              <w:rPr>
                <w:rFonts w:hint="eastAsia" w:ascii="宋体" w:hAnsi="宋体" w:cs="宋体"/>
                <w:color w:val="auto"/>
                <w:szCs w:val="21"/>
                <w:lang w:val="en-US" w:eastAsia="zh-CN"/>
              </w:rPr>
              <w:t>含</w:t>
            </w:r>
            <w:r>
              <w:rPr>
                <w:rFonts w:hint="eastAsia" w:ascii="宋体" w:hAnsi="宋体" w:cs="宋体"/>
                <w:color w:val="auto"/>
                <w:szCs w:val="21"/>
                <w:lang w:eastAsia="zh-CN"/>
              </w:rPr>
              <w:t>）</w:t>
            </w:r>
            <w:r>
              <w:rPr>
                <w:rFonts w:hint="eastAsia" w:ascii="宋体" w:hAnsi="宋体" w:cs="宋体"/>
                <w:color w:val="auto"/>
                <w:szCs w:val="21"/>
                <w:lang w:val="en-US" w:eastAsia="zh-CN"/>
              </w:rPr>
              <w:t>以上</w:t>
            </w:r>
            <w:r>
              <w:rPr>
                <w:rFonts w:hint="eastAsia" w:ascii="宋体" w:hAnsi="宋体" w:cs="宋体"/>
                <w:color w:val="auto"/>
                <w:szCs w:val="21"/>
              </w:rPr>
              <w:t>测评师和1名CISP注册信息安全专业人员。满足以上要求的得</w:t>
            </w:r>
            <w:r>
              <w:rPr>
                <w:rFonts w:hint="eastAsia" w:ascii="宋体" w:hAnsi="宋体" w:cs="宋体"/>
                <w:color w:val="auto"/>
                <w:szCs w:val="21"/>
                <w:lang w:val="en-US" w:eastAsia="zh-CN"/>
              </w:rPr>
              <w:t>4</w:t>
            </w:r>
            <w:r>
              <w:rPr>
                <w:rFonts w:hint="eastAsia" w:ascii="宋体" w:hAnsi="宋体" w:cs="宋体"/>
                <w:color w:val="auto"/>
                <w:szCs w:val="21"/>
              </w:rPr>
              <w:t>分。</w:t>
            </w:r>
          </w:p>
          <w:p w14:paraId="005D5C99">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cs="宋体"/>
                <w:color w:val="auto"/>
                <w:szCs w:val="21"/>
              </w:rPr>
              <w:t>项目组成人员至少</w:t>
            </w:r>
            <w:r>
              <w:rPr>
                <w:rFonts w:hint="eastAsia" w:ascii="宋体" w:hAnsi="宋体" w:cs="宋体"/>
                <w:color w:val="auto"/>
                <w:szCs w:val="21"/>
                <w:lang w:val="en-US" w:eastAsia="zh-CN"/>
              </w:rPr>
              <w:t>有</w:t>
            </w:r>
            <w:r>
              <w:rPr>
                <w:rFonts w:hint="eastAsia" w:ascii="宋体" w:hAnsi="宋体" w:cs="宋体"/>
                <w:color w:val="auto"/>
                <w:szCs w:val="21"/>
              </w:rPr>
              <w:t>3人</w:t>
            </w:r>
            <w:r>
              <w:rPr>
                <w:rFonts w:hint="eastAsia" w:ascii="宋体" w:hAnsi="宋体" w:cs="宋体"/>
                <w:color w:val="auto"/>
                <w:szCs w:val="21"/>
                <w:lang w:val="en-US" w:eastAsia="zh-CN"/>
              </w:rPr>
              <w:t>具有</w:t>
            </w:r>
            <w:r>
              <w:rPr>
                <w:rFonts w:hint="eastAsia" w:ascii="宋体" w:hAnsi="宋体" w:cs="宋体"/>
                <w:color w:val="auto"/>
                <w:szCs w:val="21"/>
              </w:rPr>
              <w:t>商用密码应用安全性评估人员测评能力考核证书，</w:t>
            </w:r>
            <w:r>
              <w:rPr>
                <w:rFonts w:hint="eastAsia" w:ascii="宋体" w:hAnsi="宋体" w:cs="宋体"/>
                <w:color w:val="auto"/>
                <w:szCs w:val="21"/>
                <w:lang w:val="en-US" w:eastAsia="zh-CN"/>
              </w:rPr>
              <w:t>得4分。</w:t>
            </w:r>
          </w:p>
          <w:p w14:paraId="26A7886F">
            <w:pPr>
              <w:keepNext w:val="0"/>
              <w:keepLines w:val="0"/>
              <w:pageBreakBefore w:val="0"/>
              <w:kinsoku/>
              <w:wordWrap/>
              <w:overflowPunct/>
              <w:topLinePunct w:val="0"/>
              <w:bidi w:val="0"/>
              <w:adjustRightInd/>
              <w:snapToGrid/>
              <w:spacing w:line="240" w:lineRule="auto"/>
              <w:ind w:firstLine="420" w:firstLineChars="200"/>
              <w:jc w:val="left"/>
              <w:textAlignment w:val="auto"/>
              <w:rPr>
                <w:rFonts w:hint="eastAsia" w:ascii="宋体" w:hAnsi="宋体" w:cs="宋体"/>
                <w:color w:val="auto"/>
                <w:szCs w:val="21"/>
              </w:rPr>
            </w:pPr>
            <w:r>
              <w:rPr>
                <w:rFonts w:hint="eastAsia" w:ascii="宋体" w:hAnsi="宋体" w:cs="宋体"/>
                <w:color w:val="auto"/>
                <w:szCs w:val="21"/>
              </w:rPr>
              <w:t>①在以上要求的基础上，每增加1名高级测评师加1分，每增加1名中级测评师加0.5分，最多加</w:t>
            </w:r>
            <w:r>
              <w:rPr>
                <w:rFonts w:hint="eastAsia" w:ascii="宋体" w:hAnsi="宋体" w:cs="宋体"/>
                <w:color w:val="auto"/>
                <w:szCs w:val="21"/>
                <w:lang w:val="en-US" w:eastAsia="zh-CN"/>
              </w:rPr>
              <w:t>2</w:t>
            </w:r>
            <w:r>
              <w:rPr>
                <w:rFonts w:hint="eastAsia" w:ascii="宋体" w:hAnsi="宋体" w:cs="宋体"/>
                <w:color w:val="auto"/>
                <w:szCs w:val="21"/>
              </w:rPr>
              <w:t>分。</w:t>
            </w:r>
          </w:p>
          <w:p w14:paraId="428DB634">
            <w:pPr>
              <w:keepNext w:val="0"/>
              <w:keepLines w:val="0"/>
              <w:pageBreakBefore w:val="0"/>
              <w:widowControl/>
              <w:kinsoku/>
              <w:wordWrap/>
              <w:overflowPunct/>
              <w:topLinePunct w:val="0"/>
              <w:bidi w:val="0"/>
              <w:adjustRightInd/>
              <w:snapToGrid/>
              <w:spacing w:line="240" w:lineRule="auto"/>
              <w:ind w:firstLine="420" w:firstLineChars="200"/>
              <w:jc w:val="left"/>
              <w:textAlignment w:val="auto"/>
              <w:rPr>
                <w:rFonts w:hint="eastAsia" w:ascii="宋体" w:hAnsi="宋体" w:cs="宋体"/>
                <w:color w:val="auto"/>
                <w:kern w:val="2"/>
                <w:sz w:val="21"/>
                <w:szCs w:val="21"/>
              </w:rPr>
            </w:pPr>
            <w:r>
              <w:rPr>
                <w:rFonts w:hint="eastAsia" w:ascii="宋体" w:hAnsi="宋体" w:cs="宋体"/>
                <w:color w:val="auto"/>
                <w:kern w:val="2"/>
                <w:sz w:val="21"/>
                <w:szCs w:val="21"/>
              </w:rPr>
              <w:t>②除上述人员要求外，每增加1名CISP注册信息安全专业人员加0.5分，最多加</w:t>
            </w:r>
            <w:r>
              <w:rPr>
                <w:rFonts w:hint="eastAsia" w:ascii="宋体" w:hAnsi="宋体" w:cs="宋体"/>
                <w:color w:val="auto"/>
                <w:kern w:val="2"/>
                <w:sz w:val="21"/>
                <w:szCs w:val="21"/>
                <w:lang w:val="en-US" w:eastAsia="zh-CN"/>
              </w:rPr>
              <w:t>2</w:t>
            </w:r>
            <w:r>
              <w:rPr>
                <w:rFonts w:hint="eastAsia" w:ascii="宋体" w:hAnsi="宋体" w:cs="宋体"/>
                <w:color w:val="auto"/>
                <w:kern w:val="2"/>
                <w:sz w:val="21"/>
                <w:szCs w:val="21"/>
              </w:rPr>
              <w:t>分。</w:t>
            </w:r>
          </w:p>
          <w:p w14:paraId="642EC76F">
            <w:pPr>
              <w:keepNext w:val="0"/>
              <w:keepLines w:val="0"/>
              <w:pageBreakBefore w:val="0"/>
              <w:kinsoku/>
              <w:wordWrap/>
              <w:overflowPunct/>
              <w:topLinePunct w:val="0"/>
              <w:autoSpaceDE w:val="0"/>
              <w:bidi w:val="0"/>
              <w:adjustRightInd/>
              <w:snapToGrid/>
              <w:spacing w:line="240" w:lineRule="auto"/>
              <w:ind w:firstLine="440" w:firstLineChars="200"/>
              <w:textAlignment w:val="auto"/>
              <w:rPr>
                <w:rFonts w:hint="default" w:cs="宋体" w:eastAsiaTheme="minorEastAsia"/>
                <w:color w:val="000000"/>
                <w:kern w:val="0"/>
                <w:sz w:val="22"/>
                <w:szCs w:val="22"/>
                <w:lang w:val="en-US" w:eastAsia="zh-CN"/>
              </w:rPr>
            </w:pPr>
            <w:r>
              <w:rPr>
                <w:rFonts w:cs="宋体"/>
                <w:color w:val="000000"/>
                <w:kern w:val="0"/>
                <w:sz w:val="22"/>
                <w:szCs w:val="22"/>
              </w:rPr>
              <w:t>3</w:t>
            </w:r>
            <w:r>
              <w:rPr>
                <w:rFonts w:hint="eastAsia" w:cs="宋体"/>
                <w:color w:val="000000"/>
                <w:kern w:val="0"/>
                <w:sz w:val="22"/>
                <w:szCs w:val="22"/>
              </w:rPr>
              <w:t>、</w:t>
            </w:r>
            <w:r>
              <w:rPr>
                <w:rFonts w:hint="eastAsia" w:cs="宋体"/>
                <w:color w:val="000000"/>
                <w:kern w:val="0"/>
                <w:sz w:val="22"/>
                <w:szCs w:val="22"/>
                <w:lang w:val="en-US" w:eastAsia="zh-CN"/>
              </w:rPr>
              <w:t>项目组成员具有</w:t>
            </w:r>
            <w:r>
              <w:rPr>
                <w:rFonts w:hint="eastAsia" w:cs="宋体"/>
                <w:color w:val="000000"/>
                <w:kern w:val="0"/>
                <w:sz w:val="22"/>
                <w:szCs w:val="22"/>
              </w:rPr>
              <w:t>N</w:t>
            </w:r>
            <w:r>
              <w:rPr>
                <w:rFonts w:cs="宋体"/>
                <w:color w:val="000000"/>
                <w:kern w:val="0"/>
                <w:sz w:val="22"/>
                <w:szCs w:val="22"/>
              </w:rPr>
              <w:t>SATP-A</w:t>
            </w:r>
            <w:r>
              <w:rPr>
                <w:rFonts w:hint="eastAsia" w:cs="宋体"/>
                <w:color w:val="000000"/>
                <w:kern w:val="0"/>
                <w:sz w:val="22"/>
                <w:szCs w:val="22"/>
              </w:rPr>
              <w:t>国家网络安全应用检测专业测评人员证书</w:t>
            </w:r>
            <w:r>
              <w:rPr>
                <w:rFonts w:hint="eastAsia" w:cs="宋体"/>
                <w:color w:val="000000"/>
                <w:kern w:val="0"/>
                <w:sz w:val="22"/>
                <w:szCs w:val="22"/>
                <w:lang w:val="en-US" w:eastAsia="zh-CN"/>
              </w:rPr>
              <w:t>得 4分</w:t>
            </w:r>
          </w:p>
          <w:p w14:paraId="6A028717">
            <w:pPr>
              <w:pStyle w:val="2"/>
              <w:keepNext w:val="0"/>
              <w:keepLines w:val="0"/>
              <w:pageBreakBefore w:val="0"/>
              <w:kinsoku/>
              <w:wordWrap/>
              <w:overflowPunct/>
              <w:topLinePunct w:val="0"/>
              <w:bidi w:val="0"/>
              <w:adjustRightInd/>
              <w:snapToGrid/>
              <w:spacing w:line="240" w:lineRule="auto"/>
              <w:ind w:firstLine="480" w:firstLineChars="200"/>
              <w:textAlignment w:val="auto"/>
              <w:rPr>
                <w:rFonts w:hint="default" w:eastAsia="宋体"/>
                <w:lang w:val="en-US" w:eastAsia="zh-CN"/>
              </w:rPr>
            </w:pPr>
            <w:r>
              <w:rPr>
                <w:rFonts w:hint="eastAsia"/>
                <w:lang w:val="en-US" w:eastAsia="zh-CN"/>
              </w:rPr>
              <w:t>4、</w:t>
            </w:r>
            <w:r>
              <w:rPr>
                <w:rFonts w:hint="eastAsia" w:cs="宋体"/>
                <w:color w:val="000000"/>
                <w:kern w:val="0"/>
                <w:sz w:val="22"/>
                <w:szCs w:val="22"/>
                <w:lang w:val="en-US" w:eastAsia="zh-CN"/>
              </w:rPr>
              <w:t>项目组成员具有</w:t>
            </w:r>
            <w:r>
              <w:rPr>
                <w:rFonts w:hint="eastAsia" w:ascii="宋体" w:hAnsi="宋体" w:eastAsia="宋体" w:cs="宋体"/>
                <w:color w:val="000000"/>
                <w:kern w:val="0"/>
                <w:sz w:val="22"/>
                <w:szCs w:val="22"/>
              </w:rPr>
              <w:t>CCSC国家互联网应急中心颁发的网络安全能力认证证书，认证级别II级</w:t>
            </w:r>
            <w:r>
              <w:rPr>
                <w:rFonts w:hint="eastAsia" w:cs="宋体"/>
                <w:color w:val="000000"/>
                <w:kern w:val="0"/>
                <w:sz w:val="22"/>
                <w:szCs w:val="22"/>
                <w:lang w:eastAsia="zh-CN"/>
              </w:rPr>
              <w:t>，</w:t>
            </w:r>
            <w:r>
              <w:rPr>
                <w:rFonts w:hint="eastAsia" w:cs="宋体"/>
                <w:color w:val="000000"/>
                <w:kern w:val="0"/>
                <w:sz w:val="22"/>
                <w:szCs w:val="22"/>
                <w:lang w:val="en-US" w:eastAsia="zh-CN"/>
              </w:rPr>
              <w:t>得4分。</w:t>
            </w:r>
          </w:p>
          <w:p w14:paraId="3B2CA07D">
            <w:pPr>
              <w:keepNext w:val="0"/>
              <w:keepLines w:val="0"/>
              <w:pageBreakBefore w:val="0"/>
              <w:kinsoku/>
              <w:wordWrap/>
              <w:overflowPunct/>
              <w:topLinePunct w:val="0"/>
              <w:autoSpaceDE w:val="0"/>
              <w:bidi w:val="0"/>
              <w:adjustRightInd/>
              <w:snapToGrid/>
              <w:spacing w:line="240" w:lineRule="auto"/>
              <w:ind w:firstLine="420" w:firstLineChars="200"/>
              <w:textAlignment w:val="auto"/>
              <w:rPr>
                <w:rFonts w:cs="宋体"/>
                <w:color w:val="000000"/>
                <w:kern w:val="0"/>
                <w:sz w:val="22"/>
                <w:szCs w:val="22"/>
              </w:rPr>
            </w:pPr>
            <w:r>
              <w:rPr>
                <w:rFonts w:hint="eastAsia" w:ascii="宋体" w:hAnsi="宋体" w:cs="宋体"/>
                <w:color w:val="000000" w:themeColor="text1"/>
                <w:szCs w:val="21"/>
                <w14:textFill>
                  <w14:solidFill>
                    <w14:schemeClr w14:val="tx1"/>
                  </w14:solidFill>
                </w14:textFill>
              </w:rPr>
              <w:t>相关人员须提供在本单位投标截止日期前半年内连续3个月的社保证明</w:t>
            </w:r>
            <w:r>
              <w:rPr>
                <w:rFonts w:hint="eastAsia"/>
                <w:lang w:eastAsia="zh-CN"/>
              </w:rPr>
              <w:t>（</w:t>
            </w:r>
            <w:r>
              <w:rPr>
                <w:rFonts w:hint="eastAsia"/>
              </w:rPr>
              <w:t>注册不足六个月的，提供任意一个月社保缴纳证明或依法无需缴纳社保的证明</w:t>
            </w:r>
            <w:r>
              <w:rPr>
                <w:rFonts w:hint="eastAsia"/>
                <w:lang w:eastAsia="zh-CN"/>
              </w:rPr>
              <w:t>），</w:t>
            </w:r>
            <w:r>
              <w:rPr>
                <w:rFonts w:hint="eastAsia" w:ascii="宋体" w:hAnsi="宋体" w:cs="宋体"/>
                <w:color w:val="000000" w:themeColor="text1"/>
                <w:szCs w:val="21"/>
                <w14:textFill>
                  <w14:solidFill>
                    <w14:schemeClr w14:val="tx1"/>
                  </w14:solidFill>
                </w14:textFill>
              </w:rPr>
              <w:t>且所提供的相关资质证书均在有效期内；</w:t>
            </w:r>
          </w:p>
        </w:tc>
      </w:tr>
      <w:tr w14:paraId="5F253D91">
        <w:tblPrEx>
          <w:tblCellMar>
            <w:top w:w="0" w:type="dxa"/>
            <w:left w:w="108" w:type="dxa"/>
            <w:bottom w:w="0" w:type="dxa"/>
            <w:right w:w="108" w:type="dxa"/>
          </w:tblCellMar>
        </w:tblPrEx>
        <w:trPr>
          <w:trHeight w:val="1400" w:hRule="atLeast"/>
          <w:jc w:val="center"/>
        </w:trPr>
        <w:tc>
          <w:tcPr>
            <w:tcW w:w="1134" w:type="dxa"/>
            <w:tcBorders>
              <w:top w:val="single" w:color="000000" w:sz="4" w:space="0"/>
              <w:left w:val="single" w:color="000000" w:sz="4" w:space="0"/>
              <w:bottom w:val="single" w:color="000000" w:sz="4" w:space="0"/>
              <w:right w:val="single" w:color="000000" w:sz="4" w:space="0"/>
            </w:tcBorders>
            <w:noWrap/>
            <w:vAlign w:val="center"/>
          </w:tcPr>
          <w:p w14:paraId="6669E2CC">
            <w:pPr>
              <w:widowControl/>
              <w:jc w:val="center"/>
              <w:rPr>
                <w:rFonts w:cs="宋体"/>
                <w:color w:val="000000"/>
                <w:kern w:val="0"/>
                <w:sz w:val="22"/>
                <w:szCs w:val="22"/>
              </w:rPr>
            </w:pPr>
            <w:r>
              <w:rPr>
                <w:rFonts w:hint="eastAsia" w:cs="宋体"/>
                <w:color w:val="000000"/>
                <w:kern w:val="0"/>
                <w:sz w:val="22"/>
                <w:szCs w:val="22"/>
              </w:rPr>
              <w:t>价格评议</w:t>
            </w:r>
          </w:p>
          <w:p w14:paraId="16364A88">
            <w:pPr>
              <w:widowControl/>
              <w:jc w:val="center"/>
              <w:rPr>
                <w:rFonts w:cs="宋体"/>
                <w:color w:val="000000"/>
                <w:kern w:val="0"/>
                <w:sz w:val="22"/>
                <w:szCs w:val="22"/>
              </w:rPr>
            </w:pPr>
            <w:r>
              <w:rPr>
                <w:rFonts w:hint="eastAsia" w:cs="宋体"/>
                <w:color w:val="000000"/>
                <w:kern w:val="0"/>
                <w:sz w:val="22"/>
                <w:szCs w:val="22"/>
              </w:rPr>
              <w:t>（2</w:t>
            </w:r>
            <w:r>
              <w:rPr>
                <w:rFonts w:cs="宋体"/>
                <w:color w:val="000000"/>
                <w:kern w:val="0"/>
                <w:sz w:val="22"/>
                <w:szCs w:val="22"/>
              </w:rPr>
              <w:t>0</w:t>
            </w:r>
            <w:r>
              <w:rPr>
                <w:rFonts w:hint="eastAsia" w:cs="宋体"/>
                <w:color w:val="000000"/>
                <w:kern w:val="0"/>
                <w:sz w:val="22"/>
                <w:szCs w:val="22"/>
              </w:rPr>
              <w:t>分）</w:t>
            </w:r>
          </w:p>
        </w:tc>
        <w:tc>
          <w:tcPr>
            <w:tcW w:w="817" w:type="dxa"/>
            <w:tcBorders>
              <w:top w:val="single" w:color="000000" w:sz="4" w:space="0"/>
              <w:left w:val="single" w:color="000000" w:sz="4" w:space="0"/>
              <w:bottom w:val="single" w:color="000000" w:sz="4" w:space="0"/>
              <w:right w:val="single" w:color="000000" w:sz="4" w:space="0"/>
            </w:tcBorders>
            <w:vAlign w:val="center"/>
          </w:tcPr>
          <w:p w14:paraId="2EACA9F9">
            <w:pPr>
              <w:widowControl/>
              <w:jc w:val="center"/>
              <w:rPr>
                <w:rFonts w:cs="宋体"/>
                <w:color w:val="000000"/>
                <w:kern w:val="0"/>
                <w:sz w:val="22"/>
                <w:szCs w:val="22"/>
              </w:rPr>
            </w:pPr>
            <w:r>
              <w:rPr>
                <w:rFonts w:hint="eastAsia" w:cs="宋体"/>
                <w:color w:val="000000"/>
                <w:kern w:val="0"/>
                <w:sz w:val="22"/>
                <w:szCs w:val="22"/>
              </w:rPr>
              <w:t>总报价</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5120026E">
            <w:pPr>
              <w:widowControl/>
              <w:jc w:val="center"/>
              <w:rPr>
                <w:rFonts w:cs="宋体"/>
                <w:color w:val="000000"/>
                <w:kern w:val="0"/>
                <w:sz w:val="22"/>
                <w:szCs w:val="22"/>
              </w:rPr>
            </w:pPr>
            <w:r>
              <w:rPr>
                <w:rFonts w:hint="eastAsia" w:cs="宋体"/>
                <w:color w:val="000000"/>
                <w:kern w:val="0"/>
                <w:sz w:val="22"/>
                <w:szCs w:val="22"/>
              </w:rPr>
              <w:t>2</w:t>
            </w:r>
            <w:r>
              <w:rPr>
                <w:rFonts w:cs="宋体"/>
                <w:color w:val="000000"/>
                <w:kern w:val="0"/>
                <w:sz w:val="22"/>
                <w:szCs w:val="22"/>
              </w:rPr>
              <w:t>0</w:t>
            </w:r>
          </w:p>
        </w:tc>
        <w:tc>
          <w:tcPr>
            <w:tcW w:w="6807" w:type="dxa"/>
            <w:tcBorders>
              <w:top w:val="single" w:color="000000" w:sz="4" w:space="0"/>
              <w:left w:val="single" w:color="000000" w:sz="4" w:space="0"/>
              <w:bottom w:val="single" w:color="000000" w:sz="4" w:space="0"/>
              <w:right w:val="single" w:color="000000" w:sz="4" w:space="0"/>
            </w:tcBorders>
            <w:vAlign w:val="center"/>
          </w:tcPr>
          <w:p w14:paraId="19E86268">
            <w:pPr>
              <w:spacing w:line="240" w:lineRule="auto"/>
              <w:ind w:firstLine="422" w:firstLineChars="200"/>
              <w:rPr>
                <w:rFonts w:ascii="宋体" w:hAnsi="宋体" w:cs="宋体"/>
                <w:b/>
                <w:bCs/>
                <w:color w:val="auto"/>
                <w:szCs w:val="21"/>
              </w:rPr>
            </w:pPr>
            <w:r>
              <w:rPr>
                <w:rFonts w:hint="eastAsia" w:ascii="宋体" w:hAnsi="宋体" w:cs="宋体"/>
                <w:b/>
                <w:bCs/>
                <w:color w:val="auto"/>
                <w:szCs w:val="21"/>
              </w:rPr>
              <w:t>一、政府采购政策扣除：本项目为专门面向中小企业采购的项目，不再执行价格评审优惠的扶持政策</w:t>
            </w:r>
            <w:r>
              <w:rPr>
                <w:rFonts w:hint="eastAsia" w:ascii="宋体" w:hAnsi="宋体" w:cs="宋体"/>
                <w:bCs/>
                <w:color w:val="auto"/>
                <w:szCs w:val="21"/>
              </w:rPr>
              <w:t>，评审报价＝磋商报价</w:t>
            </w:r>
            <w:r>
              <w:rPr>
                <w:rFonts w:hint="eastAsia" w:ascii="宋体" w:hAnsi="宋体" w:cs="宋体"/>
                <w:b/>
                <w:bCs/>
                <w:color w:val="auto"/>
                <w:szCs w:val="21"/>
              </w:rPr>
              <w:t>。</w:t>
            </w:r>
          </w:p>
          <w:p w14:paraId="20F34DAF">
            <w:pPr>
              <w:pStyle w:val="8"/>
              <w:spacing w:line="240" w:lineRule="auto"/>
              <w:ind w:firstLine="422" w:firstLineChars="200"/>
              <w:outlineLvl w:val="0"/>
              <w:rPr>
                <w:rFonts w:hAnsi="宋体" w:cs="宋体"/>
                <w:b/>
                <w:color w:val="auto"/>
                <w:sz w:val="21"/>
              </w:rPr>
            </w:pPr>
            <w:r>
              <w:rPr>
                <w:rFonts w:hint="eastAsia" w:hAnsi="宋体" w:cs="宋体"/>
                <w:b/>
                <w:color w:val="auto"/>
                <w:sz w:val="21"/>
              </w:rPr>
              <w:t>二、报价分（满分20分）</w:t>
            </w:r>
          </w:p>
          <w:p w14:paraId="31D59792">
            <w:pPr>
              <w:pStyle w:val="8"/>
              <w:spacing w:line="240" w:lineRule="auto"/>
              <w:ind w:firstLine="420" w:firstLineChars="200"/>
              <w:rPr>
                <w:rFonts w:hAnsi="宋体" w:cs="宋体"/>
                <w:bCs/>
                <w:color w:val="auto"/>
                <w:sz w:val="21"/>
              </w:rPr>
            </w:pPr>
            <w:r>
              <w:rPr>
                <w:rFonts w:hint="eastAsia" w:hAnsi="宋体" w:cs="宋体"/>
                <w:color w:val="auto"/>
                <w:sz w:val="21"/>
              </w:rPr>
              <w:t>1、</w:t>
            </w:r>
            <w:r>
              <w:rPr>
                <w:rFonts w:hint="eastAsia" w:hAnsi="宋体" w:cs="宋体"/>
                <w:bCs/>
                <w:color w:val="auto"/>
                <w:sz w:val="21"/>
              </w:rPr>
              <w:t>报价分采用低价优先法计算，满足磋商文件要求且评标价最低的有效供应商的评标价为评标基准价，其报价分为满分。</w:t>
            </w:r>
          </w:p>
          <w:p w14:paraId="5A6AC70E">
            <w:pPr>
              <w:pStyle w:val="8"/>
              <w:spacing w:line="240" w:lineRule="auto"/>
              <w:ind w:firstLine="420" w:firstLineChars="200"/>
              <w:rPr>
                <w:rFonts w:hAnsi="宋体" w:cs="宋体"/>
                <w:bCs/>
                <w:color w:val="auto"/>
                <w:sz w:val="21"/>
              </w:rPr>
            </w:pPr>
            <w:r>
              <w:rPr>
                <w:rFonts w:hint="eastAsia" w:hAnsi="宋体" w:cs="宋体"/>
                <w:bCs/>
                <w:color w:val="auto"/>
                <w:sz w:val="21"/>
              </w:rPr>
              <w:t>2、其他供应商的价格分统一按照下列公式计算：</w:t>
            </w:r>
          </w:p>
          <w:p w14:paraId="106A1E3B">
            <w:pPr>
              <w:spacing w:line="240" w:lineRule="auto"/>
            </w:pPr>
            <w:r>
              <w:rPr>
                <w:rFonts w:hint="eastAsia" w:hAnsi="宋体" w:cs="宋体"/>
                <w:bCs/>
                <w:color w:val="auto"/>
                <w:sz w:val="21"/>
              </w:rPr>
              <w:t>某有效供应商的报价分=（评标基准价／某有效供应商评标价）×</w:t>
            </w:r>
            <w:r>
              <w:rPr>
                <w:rFonts w:hint="eastAsia" w:hAnsi="宋体" w:cs="宋体"/>
                <w:bCs/>
                <w:color w:val="auto"/>
                <w:sz w:val="21"/>
                <w:lang w:val="en-US" w:eastAsia="zh-CN"/>
              </w:rPr>
              <w:t>2</w:t>
            </w:r>
            <w:r>
              <w:rPr>
                <w:rFonts w:hint="eastAsia" w:hAnsi="宋体" w:cs="宋体"/>
                <w:bCs/>
                <w:color w:val="auto"/>
                <w:sz w:val="21"/>
              </w:rPr>
              <w:t>0分</w:t>
            </w:r>
          </w:p>
          <w:p w14:paraId="4FD4E744">
            <w:pPr>
              <w:widowControl/>
              <w:spacing w:line="240" w:lineRule="auto"/>
              <w:jc w:val="left"/>
              <w:rPr>
                <w:rFonts w:cs="宋体"/>
                <w:color w:val="000000"/>
                <w:kern w:val="0"/>
                <w:sz w:val="22"/>
                <w:szCs w:val="22"/>
              </w:rPr>
            </w:pPr>
          </w:p>
        </w:tc>
      </w:tr>
      <w:tr w14:paraId="3D213589">
        <w:tblPrEx>
          <w:tblCellMar>
            <w:top w:w="0" w:type="dxa"/>
            <w:left w:w="108" w:type="dxa"/>
            <w:bottom w:w="0" w:type="dxa"/>
            <w:right w:w="108" w:type="dxa"/>
          </w:tblCellMar>
        </w:tblPrEx>
        <w:trPr>
          <w:trHeight w:val="1400" w:hRule="atLeast"/>
          <w:jc w:val="center"/>
        </w:trPr>
        <w:tc>
          <w:tcPr>
            <w:tcW w:w="1134" w:type="dxa"/>
            <w:tcBorders>
              <w:top w:val="single" w:color="000000" w:sz="4" w:space="0"/>
              <w:left w:val="single" w:color="000000" w:sz="4" w:space="0"/>
              <w:bottom w:val="single" w:color="000000" w:sz="4" w:space="0"/>
              <w:right w:val="single" w:color="000000" w:sz="4" w:space="0"/>
            </w:tcBorders>
            <w:noWrap/>
            <w:vAlign w:val="center"/>
          </w:tcPr>
          <w:p w14:paraId="3D4F5E8E">
            <w:pPr>
              <w:widowControl/>
              <w:jc w:val="center"/>
              <w:rPr>
                <w:rFonts w:cs="宋体"/>
                <w:color w:val="000000"/>
                <w:kern w:val="0"/>
                <w:sz w:val="22"/>
                <w:szCs w:val="22"/>
              </w:rPr>
            </w:pPr>
            <w:r>
              <w:rPr>
                <w:rFonts w:hint="eastAsia" w:cs="宋体"/>
                <w:color w:val="000000"/>
                <w:kern w:val="0"/>
                <w:sz w:val="22"/>
                <w:szCs w:val="22"/>
              </w:rPr>
              <w:t>成交候选推荐原则</w:t>
            </w:r>
          </w:p>
        </w:tc>
        <w:tc>
          <w:tcPr>
            <w:tcW w:w="8332" w:type="dxa"/>
            <w:gridSpan w:val="3"/>
            <w:tcBorders>
              <w:top w:val="single" w:color="000000" w:sz="4" w:space="0"/>
              <w:left w:val="single" w:color="000000" w:sz="4" w:space="0"/>
              <w:bottom w:val="single" w:color="000000" w:sz="4" w:space="0"/>
              <w:right w:val="single" w:color="000000" w:sz="4" w:space="0"/>
            </w:tcBorders>
            <w:vAlign w:val="center"/>
          </w:tcPr>
          <w:p w14:paraId="34DE7A8A">
            <w:pPr>
              <w:autoSpaceDE w:val="0"/>
              <w:ind w:firstLine="440" w:firstLineChars="200"/>
              <w:rPr>
                <w:rFonts w:cs="宋体"/>
                <w:color w:val="000000"/>
                <w:kern w:val="0"/>
                <w:sz w:val="22"/>
                <w:szCs w:val="22"/>
              </w:rPr>
            </w:pPr>
            <w:r>
              <w:rPr>
                <w:rFonts w:hint="eastAsia" w:cs="宋体"/>
                <w:color w:val="000000"/>
                <w:kern w:val="0"/>
                <w:sz w:val="22"/>
                <w:szCs w:val="22"/>
              </w:rPr>
              <w:t>评审小组将根据得分由高到低排列次序（总得分相同时，依次按最终报价低优先、技术分高优先、商务分高优先的顺序排列）推荐综合排名第一名的供应商为成交候选供应商。排名第一的成交候选人放弃成交、因不可抗力提出不能履行合同，采购单位可以确定排名第二的成交候选人为成交人，以此类推。采购人也可以重新组织采购。</w:t>
            </w:r>
          </w:p>
          <w:p w14:paraId="31E6B360">
            <w:pPr>
              <w:widowControl/>
              <w:jc w:val="left"/>
              <w:rPr>
                <w:rFonts w:cs="宋体"/>
                <w:color w:val="000000"/>
                <w:kern w:val="0"/>
                <w:sz w:val="22"/>
                <w:szCs w:val="22"/>
              </w:rPr>
            </w:pPr>
          </w:p>
        </w:tc>
      </w:tr>
    </w:tbl>
    <w:p w14:paraId="4E31B6E8">
      <w:pPr>
        <w:pStyle w:val="14"/>
      </w:pPr>
    </w:p>
    <w:p w14:paraId="10D0565C">
      <w:pPr>
        <w:pStyle w:val="14"/>
      </w:pPr>
    </w:p>
    <w:sectPr>
      <w:pgSz w:w="11906" w:h="16838"/>
      <w:pgMar w:top="2120" w:right="1463" w:bottom="2007"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OWYyMjJhOWQxYzQzMzM4NjYzODdkODlmOWZkNjMifQ=="/>
  </w:docVars>
  <w:rsids>
    <w:rsidRoot w:val="00115A8C"/>
    <w:rsid w:val="00115A8C"/>
    <w:rsid w:val="001A4A2B"/>
    <w:rsid w:val="0039236C"/>
    <w:rsid w:val="006573DE"/>
    <w:rsid w:val="00974438"/>
    <w:rsid w:val="00BB37F8"/>
    <w:rsid w:val="0BD50485"/>
    <w:rsid w:val="0D7110D5"/>
    <w:rsid w:val="0FEA3799"/>
    <w:rsid w:val="1C8224DB"/>
    <w:rsid w:val="1E3D17D2"/>
    <w:rsid w:val="1E9A7E51"/>
    <w:rsid w:val="21E07116"/>
    <w:rsid w:val="21EC1240"/>
    <w:rsid w:val="237C4249"/>
    <w:rsid w:val="23FE3883"/>
    <w:rsid w:val="26742E59"/>
    <w:rsid w:val="27B04BAD"/>
    <w:rsid w:val="28A408E4"/>
    <w:rsid w:val="2F803CE6"/>
    <w:rsid w:val="31A741EB"/>
    <w:rsid w:val="3FC06D0E"/>
    <w:rsid w:val="44CC1190"/>
    <w:rsid w:val="47866DB1"/>
    <w:rsid w:val="4E2344C8"/>
    <w:rsid w:val="50F500AF"/>
    <w:rsid w:val="552C6FE0"/>
    <w:rsid w:val="56011243"/>
    <w:rsid w:val="5E5A7488"/>
    <w:rsid w:val="64700D8F"/>
    <w:rsid w:val="678D4827"/>
    <w:rsid w:val="6A7838FC"/>
    <w:rsid w:val="6AD241B8"/>
    <w:rsid w:val="6BD35BF3"/>
    <w:rsid w:val="6D1A0CE5"/>
    <w:rsid w:val="6D774B43"/>
    <w:rsid w:val="6E24139B"/>
    <w:rsid w:val="6E444503"/>
    <w:rsid w:val="71B11502"/>
    <w:rsid w:val="79DB1EE6"/>
    <w:rsid w:val="7A2F6982"/>
    <w:rsid w:val="7A8A1456"/>
    <w:rsid w:val="7ABD5F02"/>
    <w:rsid w:val="7E3A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4">
    <w:name w:val="annotation text"/>
    <w:basedOn w:val="1"/>
    <w:link w:val="21"/>
    <w:qFormat/>
    <w:uiPriority w:val="0"/>
    <w:pPr>
      <w:jc w:val="left"/>
    </w:pPr>
  </w:style>
  <w:style w:type="paragraph" w:styleId="5">
    <w:name w:val="Body Text"/>
    <w:basedOn w:val="1"/>
    <w:next w:val="6"/>
    <w:qFormat/>
    <w:uiPriority w:val="0"/>
    <w:rPr>
      <w:rFonts w:ascii="金山简黑体" w:hAnsi="Courier New" w:eastAsia="金山简黑体"/>
      <w:b/>
      <w:spacing w:val="-8"/>
      <w:sz w:val="44"/>
      <w:szCs w:val="20"/>
    </w:rPr>
  </w:style>
  <w:style w:type="paragraph" w:styleId="6">
    <w:name w:val="toc 2"/>
    <w:basedOn w:val="1"/>
    <w:next w:val="1"/>
    <w:qFormat/>
    <w:uiPriority w:val="0"/>
    <w:pPr>
      <w:ind w:left="420" w:leftChars="200"/>
    </w:pPr>
  </w:style>
  <w:style w:type="paragraph" w:styleId="7">
    <w:name w:val="Body Text Indent"/>
    <w:basedOn w:val="1"/>
    <w:qFormat/>
    <w:uiPriority w:val="0"/>
    <w:pPr>
      <w:spacing w:line="200" w:lineRule="exact"/>
      <w:ind w:firstLine="301"/>
    </w:pPr>
    <w:rPr>
      <w:rFonts w:ascii="宋体" w:hAnsi="Courier New"/>
      <w:spacing w:val="-4"/>
      <w:sz w:val="18"/>
      <w:szCs w:val="20"/>
    </w:rPr>
  </w:style>
  <w:style w:type="paragraph" w:styleId="8">
    <w:name w:val="Plain Text"/>
    <w:basedOn w:val="1"/>
    <w:next w:val="3"/>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tabs>
        <w:tab w:val="center" w:pos="4153"/>
        <w:tab w:val="right" w:pos="8306"/>
      </w:tabs>
      <w:snapToGrid w:val="0"/>
      <w:jc w:val="center"/>
    </w:pPr>
    <w:rPr>
      <w:sz w:val="18"/>
      <w:szCs w:val="18"/>
    </w:rPr>
  </w:style>
  <w:style w:type="paragraph" w:styleId="11">
    <w:name w:val="toc 9"/>
    <w:basedOn w:val="1"/>
    <w:next w:val="1"/>
    <w:unhideWhenUsed/>
    <w:qFormat/>
    <w:uiPriority w:val="0"/>
    <w:pPr>
      <w:ind w:left="1680"/>
      <w:jc w:val="left"/>
    </w:pPr>
    <w:rPr>
      <w:rFonts w:ascii="Calibri" w:hAnsi="Calibri"/>
      <w:sz w:val="18"/>
      <w:szCs w:val="18"/>
    </w:rPr>
  </w:style>
  <w:style w:type="paragraph" w:styleId="12">
    <w:name w:val="Title"/>
    <w:basedOn w:val="1"/>
    <w:qFormat/>
    <w:uiPriority w:val="0"/>
    <w:pPr>
      <w:spacing w:before="240" w:after="60"/>
      <w:jc w:val="center"/>
      <w:outlineLvl w:val="0"/>
    </w:pPr>
    <w:rPr>
      <w:rFonts w:ascii="宋体" w:hAnsi="宋体" w:cs="Arial"/>
      <w:b/>
      <w:bCs/>
      <w:sz w:val="36"/>
      <w:szCs w:val="32"/>
    </w:rPr>
  </w:style>
  <w:style w:type="paragraph" w:styleId="13">
    <w:name w:val="annotation subject"/>
    <w:basedOn w:val="4"/>
    <w:next w:val="4"/>
    <w:link w:val="22"/>
    <w:qFormat/>
    <w:uiPriority w:val="0"/>
    <w:rPr>
      <w:b/>
      <w:bCs/>
    </w:rPr>
  </w:style>
  <w:style w:type="paragraph" w:styleId="14">
    <w:name w:val="Body Text First Indent 2"/>
    <w:basedOn w:val="7"/>
    <w:next w:val="1"/>
    <w:qFormat/>
    <w:uiPriority w:val="0"/>
    <w:pPr>
      <w:spacing w:line="360" w:lineRule="auto"/>
      <w:ind w:firstLine="0"/>
    </w:pPr>
    <w:rPr>
      <w:sz w:val="24"/>
    </w:rPr>
  </w:style>
  <w:style w:type="character" w:styleId="17">
    <w:name w:val="annotation reference"/>
    <w:basedOn w:val="16"/>
    <w:qFormat/>
    <w:uiPriority w:val="0"/>
    <w:rPr>
      <w:sz w:val="21"/>
      <w:szCs w:val="21"/>
    </w:rPr>
  </w:style>
  <w:style w:type="paragraph" w:customStyle="1" w:styleId="18">
    <w:name w:val="表格文字"/>
    <w:basedOn w:val="1"/>
    <w:next w:val="5"/>
    <w:autoRedefine/>
    <w:qFormat/>
    <w:uiPriority w:val="99"/>
    <w:pPr>
      <w:spacing w:before="25" w:after="25"/>
      <w:jc w:val="left"/>
    </w:pPr>
    <w:rPr>
      <w:bCs/>
      <w:spacing w:val="10"/>
      <w:kern w:val="0"/>
      <w:sz w:val="24"/>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页眉 字符"/>
    <w:basedOn w:val="16"/>
    <w:link w:val="10"/>
    <w:qFormat/>
    <w:uiPriority w:val="0"/>
    <w:rPr>
      <w:kern w:val="2"/>
      <w:sz w:val="18"/>
      <w:szCs w:val="18"/>
    </w:rPr>
  </w:style>
  <w:style w:type="character" w:customStyle="1" w:styleId="21">
    <w:name w:val="批注文字 字符"/>
    <w:basedOn w:val="16"/>
    <w:link w:val="4"/>
    <w:qFormat/>
    <w:uiPriority w:val="0"/>
    <w:rPr>
      <w:kern w:val="2"/>
      <w:sz w:val="21"/>
      <w:szCs w:val="24"/>
    </w:rPr>
  </w:style>
  <w:style w:type="character" w:customStyle="1" w:styleId="22">
    <w:name w:val="批注主题 字符"/>
    <w:basedOn w:val="21"/>
    <w:link w:val="13"/>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5804</Words>
  <Characters>6052</Characters>
  <Lines>40</Lines>
  <Paragraphs>11</Paragraphs>
  <TotalTime>75</TotalTime>
  <ScaleCrop>false</ScaleCrop>
  <LinksUpToDate>false</LinksUpToDate>
  <CharactersWithSpaces>6080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2023-12-12T01:19:00Z</dcterms:created>
  <dc:creator>Administrator</dc:creator>
  <cp:lastModifiedBy>茶白</cp:lastModifiedBy>
  <dcterms:modified xsi:type="dcterms:W3CDTF">2024-08-08T09:54:47Z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77FD0E8785D343798D6E3537E2C45EE4_13</vt:lpwstr>
  </property>
</Properties>
</file>