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exact"/>
        <w:jc w:val="center"/>
        <w:rPr>
          <w:rFonts w:ascii="Times New Roman" w:hAnsi="Times New Roman" w:eastAsia="黑体"/>
          <w:sz w:val="52"/>
          <w:szCs w:val="52"/>
        </w:rPr>
      </w:pPr>
      <w:bookmarkStart w:id="0" w:name="_Hlk51916269"/>
    </w:p>
    <w:p>
      <w:pPr>
        <w:widowControl/>
        <w:spacing w:line="800" w:lineRule="exact"/>
        <w:jc w:val="center"/>
        <w:rPr>
          <w:rFonts w:ascii="Times New Roman" w:hAnsi="Times New Roman" w:eastAsia="黑体"/>
          <w:sz w:val="52"/>
          <w:szCs w:val="52"/>
        </w:rPr>
      </w:pPr>
    </w:p>
    <w:p>
      <w:pPr>
        <w:widowControl/>
        <w:spacing w:line="800" w:lineRule="exact"/>
        <w:jc w:val="center"/>
        <w:rPr>
          <w:rFonts w:ascii="Times New Roman" w:hAnsi="Times New Roman" w:eastAsia="黑体"/>
          <w:sz w:val="52"/>
          <w:szCs w:val="52"/>
        </w:rPr>
      </w:pPr>
    </w:p>
    <w:p>
      <w:pPr>
        <w:widowControl/>
        <w:spacing w:line="800" w:lineRule="exact"/>
        <w:jc w:val="center"/>
        <w:rPr>
          <w:rFonts w:ascii="Times New Roman" w:hAnsi="Times New Roman" w:eastAsia="黑体"/>
          <w:sz w:val="52"/>
          <w:szCs w:val="52"/>
        </w:rPr>
      </w:pPr>
      <w:r>
        <w:rPr>
          <w:rFonts w:hint="eastAsia" w:ascii="Times New Roman" w:hAnsi="Times New Roman" w:eastAsia="黑体"/>
          <w:sz w:val="52"/>
          <w:szCs w:val="52"/>
        </w:rPr>
        <w:t>广西数字化转型促进中心项目</w:t>
      </w:r>
    </w:p>
    <w:bookmarkEnd w:id="0"/>
    <w:p>
      <w:pPr>
        <w:widowControl/>
        <w:spacing w:line="800" w:lineRule="exact"/>
        <w:jc w:val="center"/>
        <w:rPr>
          <w:rFonts w:hint="eastAsia" w:ascii="Times New Roman" w:hAnsi="Times New Roman" w:eastAsia="黑体"/>
          <w:sz w:val="52"/>
          <w:szCs w:val="52"/>
          <w:lang w:eastAsia="zh-CN"/>
        </w:rPr>
      </w:pPr>
      <w:r>
        <w:rPr>
          <w:rFonts w:hint="eastAsia" w:ascii="Times New Roman" w:hAnsi="Times New Roman" w:eastAsia="黑体"/>
          <w:sz w:val="52"/>
          <w:szCs w:val="52"/>
        </w:rPr>
        <w:t>初步设计方案和</w:t>
      </w:r>
      <w:r>
        <w:rPr>
          <w:rFonts w:hint="eastAsia" w:ascii="Times New Roman" w:hAnsi="Times New Roman" w:eastAsia="黑体"/>
          <w:sz w:val="52"/>
          <w:szCs w:val="52"/>
          <w:lang w:eastAsia="zh-CN"/>
        </w:rPr>
        <w:t>报价模板</w:t>
      </w:r>
    </w:p>
    <w:p>
      <w:pPr>
        <w:widowControl/>
        <w:spacing w:line="800" w:lineRule="exact"/>
        <w:jc w:val="center"/>
        <w:rPr>
          <w:rFonts w:ascii="Times New Roman" w:hAnsi="Times New Roman" w:eastAsia="黑体"/>
          <w:sz w:val="52"/>
          <w:szCs w:val="52"/>
        </w:rPr>
      </w:pPr>
      <w:r>
        <w:rPr>
          <w:rFonts w:hint="eastAsia" w:ascii="Times New Roman" w:hAnsi="Times New Roman" w:eastAsia="黑体"/>
          <w:sz w:val="52"/>
          <w:szCs w:val="52"/>
        </w:rPr>
        <w:t>（简版）</w:t>
      </w:r>
    </w:p>
    <w:p>
      <w:pPr>
        <w:widowControl/>
        <w:spacing w:line="800" w:lineRule="exact"/>
        <w:jc w:val="center"/>
        <w:rPr>
          <w:rFonts w:ascii="Times New Roman" w:hAnsi="Times New Roman" w:eastAsia="黑体"/>
          <w:sz w:val="52"/>
          <w:szCs w:val="52"/>
        </w:rPr>
      </w:pPr>
    </w:p>
    <w:p>
      <w:pPr>
        <w:widowControl/>
        <w:spacing w:line="800" w:lineRule="exact"/>
        <w:jc w:val="center"/>
        <w:rPr>
          <w:rFonts w:ascii="Times New Roman" w:hAnsi="Times New Roman" w:eastAsia="黑体"/>
          <w:sz w:val="52"/>
          <w:szCs w:val="52"/>
        </w:rPr>
      </w:pPr>
    </w:p>
    <w:p>
      <w:pPr>
        <w:widowControl/>
        <w:spacing w:line="800" w:lineRule="exact"/>
        <w:jc w:val="center"/>
        <w:rPr>
          <w:rFonts w:ascii="Times New Roman" w:hAnsi="Times New Roman" w:eastAsia="黑体"/>
          <w:sz w:val="52"/>
          <w:szCs w:val="52"/>
        </w:rPr>
      </w:pPr>
    </w:p>
    <w:p>
      <w:pPr>
        <w:widowControl/>
        <w:spacing w:line="800" w:lineRule="exact"/>
        <w:jc w:val="center"/>
        <w:rPr>
          <w:rFonts w:ascii="Times New Roman" w:hAnsi="Times New Roman" w:eastAsia="黑体"/>
          <w:sz w:val="52"/>
          <w:szCs w:val="52"/>
        </w:rPr>
      </w:pPr>
    </w:p>
    <w:p>
      <w:pPr>
        <w:widowControl/>
        <w:spacing w:line="800" w:lineRule="exact"/>
        <w:jc w:val="center"/>
        <w:rPr>
          <w:rFonts w:ascii="Times New Roman" w:hAnsi="Times New Roman" w:eastAsia="黑体"/>
          <w:sz w:val="48"/>
          <w:szCs w:val="48"/>
        </w:rPr>
      </w:pPr>
    </w:p>
    <w:p>
      <w:pPr>
        <w:widowControl/>
        <w:spacing w:line="800" w:lineRule="exact"/>
        <w:jc w:val="center"/>
        <w:rPr>
          <w:rFonts w:ascii="Times New Roman" w:hAnsi="Times New Roman" w:eastAsia="黑体"/>
          <w:sz w:val="48"/>
          <w:szCs w:val="48"/>
        </w:rPr>
      </w:pPr>
    </w:p>
    <w:p>
      <w:pPr>
        <w:widowControl/>
        <w:spacing w:line="800" w:lineRule="exact"/>
        <w:jc w:val="center"/>
        <w:rPr>
          <w:rFonts w:ascii="Times New Roman" w:hAnsi="Times New Roman" w:eastAsia="黑体"/>
          <w:sz w:val="48"/>
          <w:szCs w:val="48"/>
        </w:rPr>
      </w:pPr>
    </w:p>
    <w:p>
      <w:pPr>
        <w:widowControl/>
        <w:spacing w:line="800" w:lineRule="exact"/>
        <w:jc w:val="center"/>
        <w:rPr>
          <w:rFonts w:ascii="Times New Roman" w:hAnsi="Times New Roman" w:eastAsia="黑体"/>
          <w:sz w:val="48"/>
          <w:szCs w:val="48"/>
        </w:rPr>
      </w:pPr>
    </w:p>
    <w:p>
      <w:pPr>
        <w:widowControl/>
        <w:spacing w:line="480" w:lineRule="auto"/>
        <w:ind w:left="840" w:leftChars="300" w:firstLine="755" w:firstLineChars="236"/>
        <w:jc w:val="left"/>
        <w:rPr>
          <w:rFonts w:ascii="Times New Roman" w:hAnsi="Times New Roman" w:eastAsia="黑体"/>
          <w:sz w:val="32"/>
          <w:szCs w:val="52"/>
        </w:rPr>
      </w:pPr>
      <w:bookmarkStart w:id="1" w:name="_Hlk154061790"/>
    </w:p>
    <w:p>
      <w:pPr>
        <w:jc w:val="center"/>
        <w:rPr>
          <w:rFonts w:ascii="Times New Roman" w:hAnsi="Times New Roman" w:eastAsia="黑体"/>
          <w:sz w:val="32"/>
          <w:szCs w:val="52"/>
        </w:rPr>
      </w:pPr>
      <w:r>
        <w:rPr>
          <w:rFonts w:hint="eastAsia" w:ascii="Times New Roman" w:hAnsi="Times New Roman" w:eastAsia="黑体"/>
          <w:sz w:val="32"/>
          <w:szCs w:val="52"/>
        </w:rPr>
        <w:t>二〇二四年九月</w:t>
      </w:r>
      <w:bookmarkEnd w:id="1"/>
    </w:p>
    <w:p>
      <w:r>
        <w:br w:type="page"/>
      </w:r>
    </w:p>
    <w:sdt>
      <w:sdtPr>
        <w:rPr>
          <w:rFonts w:ascii="仿宋_GB2312" w:hAnsi="Calibri" w:eastAsia="仿宋_GB2312" w:cs="Times New Roman"/>
          <w:color w:val="auto"/>
          <w:sz w:val="28"/>
          <w:szCs w:val="22"/>
          <w:lang w:val="zh-CN"/>
        </w:rPr>
        <w:id w:val="671841844"/>
        <w:docPartObj>
          <w:docPartGallery w:val="Table of Contents"/>
          <w:docPartUnique/>
        </w:docPartObj>
      </w:sdtPr>
      <w:sdtEndPr>
        <w:rPr>
          <w:rFonts w:ascii="仿宋_GB2312" w:hAnsi="Calibri" w:eastAsia="仿宋_GB2312" w:cs="Times New Roman"/>
          <w:b/>
          <w:bCs/>
          <w:color w:val="auto"/>
          <w:sz w:val="28"/>
          <w:szCs w:val="22"/>
          <w:lang w:val="zh-CN"/>
        </w:rPr>
      </w:sdtEndPr>
      <w:sdtContent>
        <w:p>
          <w:pPr>
            <w:pStyle w:val="13"/>
            <w:jc w:val="center"/>
            <w:rPr>
              <w:rFonts w:hint="eastAsia"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pPr>
            <w:pStyle w:val="5"/>
            <w:tabs>
              <w:tab w:val="left" w:pos="840"/>
              <w:tab w:val="right" w:leader="dot" w:pos="8296"/>
            </w:tabs>
          </w:pPr>
          <w:r>
            <w:fldChar w:fldCharType="begin"/>
          </w:r>
          <w:r>
            <w:instrText xml:space="preserve"> TOC \o "1-3" \h \z \u </w:instrText>
          </w:r>
          <w:r>
            <w:fldChar w:fldCharType="separate"/>
          </w:r>
          <w:r>
            <w:fldChar w:fldCharType="begin"/>
          </w:r>
          <w:r>
            <w:instrText xml:space="preserve"> HYPERLINK \l "_Toc170136636" </w:instrText>
          </w:r>
          <w:r>
            <w:fldChar w:fldCharType="separate"/>
          </w:r>
          <w:r>
            <w:rPr>
              <w:rStyle w:val="8"/>
              <w:rFonts w:ascii="黑体" w:hAnsi="黑体" w:eastAsia="黑体"/>
            </w:rPr>
            <w:t>一、</w:t>
          </w:r>
          <w:r>
            <w:tab/>
          </w:r>
          <w:r>
            <w:rPr>
              <w:rStyle w:val="8"/>
              <w:rFonts w:ascii="黑体" w:hAnsi="黑体" w:eastAsia="黑体"/>
            </w:rPr>
            <w:t>项目建设背景</w:t>
          </w:r>
          <w:r>
            <w:tab/>
          </w:r>
          <w:r>
            <w:fldChar w:fldCharType="begin"/>
          </w:r>
          <w:r>
            <w:instrText xml:space="preserve"> PAGEREF _Toc170136636 \h </w:instrText>
          </w:r>
          <w:r>
            <w:fldChar w:fldCharType="separate"/>
          </w:r>
          <w:r>
            <w:t>1</w:t>
          </w:r>
          <w:r>
            <w:fldChar w:fldCharType="end"/>
          </w:r>
          <w:r>
            <w:fldChar w:fldCharType="end"/>
          </w:r>
        </w:p>
        <w:p>
          <w:pPr>
            <w:pStyle w:val="5"/>
            <w:tabs>
              <w:tab w:val="left" w:pos="840"/>
              <w:tab w:val="right" w:leader="dot" w:pos="8296"/>
            </w:tabs>
          </w:pPr>
          <w:r>
            <w:fldChar w:fldCharType="begin"/>
          </w:r>
          <w:r>
            <w:instrText xml:space="preserve"> HYPERLINK \l "_Toc170136637" </w:instrText>
          </w:r>
          <w:r>
            <w:fldChar w:fldCharType="separate"/>
          </w:r>
          <w:r>
            <w:rPr>
              <w:rStyle w:val="8"/>
              <w:rFonts w:ascii="黑体" w:hAnsi="黑体" w:eastAsia="黑体"/>
            </w:rPr>
            <w:t>二、</w:t>
          </w:r>
          <w:r>
            <w:tab/>
          </w:r>
          <w:r>
            <w:rPr>
              <w:rStyle w:val="8"/>
              <w:rFonts w:ascii="黑体" w:hAnsi="黑体" w:eastAsia="黑体"/>
            </w:rPr>
            <w:t>项目建设目标</w:t>
          </w:r>
          <w:r>
            <w:tab/>
          </w:r>
          <w:r>
            <w:fldChar w:fldCharType="begin"/>
          </w:r>
          <w:r>
            <w:instrText xml:space="preserve"> PAGEREF _Toc170136637 \h </w:instrText>
          </w:r>
          <w:r>
            <w:fldChar w:fldCharType="separate"/>
          </w:r>
          <w:r>
            <w:t>3</w:t>
          </w:r>
          <w:r>
            <w:fldChar w:fldCharType="end"/>
          </w:r>
          <w:r>
            <w:fldChar w:fldCharType="end"/>
          </w:r>
        </w:p>
        <w:p>
          <w:pPr>
            <w:pStyle w:val="5"/>
            <w:tabs>
              <w:tab w:val="left" w:pos="840"/>
              <w:tab w:val="right" w:leader="dot" w:pos="8296"/>
            </w:tabs>
          </w:pPr>
          <w:r>
            <w:fldChar w:fldCharType="begin"/>
          </w:r>
          <w:r>
            <w:instrText xml:space="preserve"> HYPERLINK \l "_Toc170136638" </w:instrText>
          </w:r>
          <w:r>
            <w:fldChar w:fldCharType="separate"/>
          </w:r>
          <w:r>
            <w:rPr>
              <w:rStyle w:val="8"/>
              <w:rFonts w:ascii="黑体" w:hAnsi="黑体" w:eastAsia="黑体"/>
            </w:rPr>
            <w:t>三、</w:t>
          </w:r>
          <w:r>
            <w:tab/>
          </w:r>
          <w:r>
            <w:rPr>
              <w:rStyle w:val="8"/>
              <w:rFonts w:ascii="黑体" w:hAnsi="黑体" w:eastAsia="黑体"/>
            </w:rPr>
            <w:t>项目建设规模</w:t>
          </w:r>
          <w:r>
            <w:tab/>
          </w:r>
          <w:r>
            <w:fldChar w:fldCharType="begin"/>
          </w:r>
          <w:r>
            <w:instrText xml:space="preserve"> PAGEREF _Toc170136638 \h </w:instrText>
          </w:r>
          <w:r>
            <w:fldChar w:fldCharType="separate"/>
          </w:r>
          <w:r>
            <w:t>3</w:t>
          </w:r>
          <w:r>
            <w:fldChar w:fldCharType="end"/>
          </w:r>
          <w:r>
            <w:fldChar w:fldCharType="end"/>
          </w:r>
        </w:p>
        <w:p>
          <w:pPr>
            <w:pStyle w:val="5"/>
            <w:tabs>
              <w:tab w:val="left" w:pos="840"/>
              <w:tab w:val="right" w:leader="dot" w:pos="8296"/>
            </w:tabs>
          </w:pPr>
          <w:r>
            <w:fldChar w:fldCharType="begin"/>
          </w:r>
          <w:r>
            <w:instrText xml:space="preserve"> HYPERLINK \l "_Toc170136639" </w:instrText>
          </w:r>
          <w:r>
            <w:fldChar w:fldCharType="separate"/>
          </w:r>
          <w:r>
            <w:rPr>
              <w:rStyle w:val="8"/>
              <w:rFonts w:ascii="黑体" w:hAnsi="黑体" w:eastAsia="黑体"/>
            </w:rPr>
            <w:t>四、</w:t>
          </w:r>
          <w:r>
            <w:tab/>
          </w:r>
          <w:r>
            <w:rPr>
              <w:rStyle w:val="8"/>
              <w:rFonts w:ascii="黑体" w:hAnsi="黑体" w:eastAsia="黑体"/>
            </w:rPr>
            <w:t>项目建设内容</w:t>
          </w:r>
          <w:r>
            <w:tab/>
          </w:r>
          <w:r>
            <w:fldChar w:fldCharType="begin"/>
          </w:r>
          <w:r>
            <w:instrText xml:space="preserve"> PAGEREF _Toc170136639 \h </w:instrText>
          </w:r>
          <w:r>
            <w:fldChar w:fldCharType="separate"/>
          </w:r>
          <w:r>
            <w:t>4</w:t>
          </w:r>
          <w:r>
            <w:fldChar w:fldCharType="end"/>
          </w:r>
          <w:r>
            <w:fldChar w:fldCharType="end"/>
          </w:r>
        </w:p>
        <w:p>
          <w:pPr>
            <w:pStyle w:val="5"/>
            <w:tabs>
              <w:tab w:val="left" w:pos="840"/>
              <w:tab w:val="right" w:leader="dot" w:pos="8296"/>
            </w:tabs>
          </w:pPr>
          <w:r>
            <w:fldChar w:fldCharType="begin"/>
          </w:r>
          <w:r>
            <w:instrText xml:space="preserve"> HYPERLINK \l "_Toc170136640" </w:instrText>
          </w:r>
          <w:r>
            <w:fldChar w:fldCharType="separate"/>
          </w:r>
          <w:r>
            <w:rPr>
              <w:rStyle w:val="8"/>
              <w:rFonts w:ascii="黑体" w:hAnsi="黑体" w:eastAsia="黑体"/>
            </w:rPr>
            <w:t>五、</w:t>
          </w:r>
          <w:r>
            <w:tab/>
          </w:r>
          <w:r>
            <w:rPr>
              <w:rStyle w:val="8"/>
              <w:rFonts w:ascii="黑体" w:hAnsi="黑体" w:eastAsia="黑体"/>
            </w:rPr>
            <w:t>项目总体架构</w:t>
          </w:r>
          <w:r>
            <w:tab/>
          </w:r>
          <w:r>
            <w:fldChar w:fldCharType="begin"/>
          </w:r>
          <w:r>
            <w:instrText xml:space="preserve"> PAGEREF _Toc170136640 \h </w:instrText>
          </w:r>
          <w:r>
            <w:fldChar w:fldCharType="separate"/>
          </w:r>
          <w:r>
            <w:t>6</w:t>
          </w:r>
          <w:r>
            <w:fldChar w:fldCharType="end"/>
          </w:r>
          <w:r>
            <w:fldChar w:fldCharType="end"/>
          </w:r>
        </w:p>
        <w:p>
          <w:pPr>
            <w:pStyle w:val="5"/>
            <w:tabs>
              <w:tab w:val="left" w:pos="840"/>
              <w:tab w:val="right" w:leader="dot" w:pos="8296"/>
            </w:tabs>
          </w:pPr>
          <w:r>
            <w:fldChar w:fldCharType="begin"/>
          </w:r>
          <w:r>
            <w:instrText xml:space="preserve"> HYPERLINK \l "_Toc170136641" </w:instrText>
          </w:r>
          <w:r>
            <w:fldChar w:fldCharType="separate"/>
          </w:r>
          <w:r>
            <w:rPr>
              <w:rStyle w:val="8"/>
              <w:rFonts w:ascii="黑体" w:hAnsi="黑体" w:eastAsia="黑体"/>
            </w:rPr>
            <w:t>六、</w:t>
          </w:r>
          <w:r>
            <w:tab/>
          </w:r>
          <w:r>
            <w:rPr>
              <w:rStyle w:val="8"/>
              <w:rFonts w:ascii="黑体" w:hAnsi="黑体" w:eastAsia="黑体"/>
            </w:rPr>
            <w:t>设计实现主要功能</w:t>
          </w:r>
          <w:r>
            <w:tab/>
          </w:r>
          <w:r>
            <w:fldChar w:fldCharType="begin"/>
          </w:r>
          <w:r>
            <w:instrText xml:space="preserve"> PAGEREF _Toc170136641 \h </w:instrText>
          </w:r>
          <w:r>
            <w:fldChar w:fldCharType="separate"/>
          </w:r>
          <w:r>
            <w:t>8</w:t>
          </w:r>
          <w:r>
            <w:fldChar w:fldCharType="end"/>
          </w:r>
          <w:r>
            <w:fldChar w:fldCharType="end"/>
          </w:r>
        </w:p>
        <w:p>
          <w:pPr>
            <w:pStyle w:val="5"/>
            <w:tabs>
              <w:tab w:val="left" w:pos="840"/>
              <w:tab w:val="right" w:leader="dot" w:pos="8296"/>
            </w:tabs>
          </w:pPr>
          <w:r>
            <w:fldChar w:fldCharType="begin"/>
          </w:r>
          <w:r>
            <w:instrText xml:space="preserve"> HYPERLINK \l "_Toc170136642" </w:instrText>
          </w:r>
          <w:r>
            <w:fldChar w:fldCharType="separate"/>
          </w:r>
          <w:r>
            <w:rPr>
              <w:rStyle w:val="8"/>
              <w:rFonts w:ascii="黑体" w:hAnsi="黑体" w:eastAsia="黑体"/>
            </w:rPr>
            <w:t>七、</w:t>
          </w:r>
          <w:r>
            <w:tab/>
          </w:r>
          <w:r>
            <w:rPr>
              <w:rStyle w:val="8"/>
              <w:rFonts w:ascii="黑体" w:hAnsi="黑体" w:eastAsia="黑体"/>
            </w:rPr>
            <w:t>项目建设周期</w:t>
          </w:r>
          <w:r>
            <w:tab/>
          </w:r>
          <w:r>
            <w:fldChar w:fldCharType="begin"/>
          </w:r>
          <w:r>
            <w:instrText xml:space="preserve"> PAGEREF _Toc170136642 \h </w:instrText>
          </w:r>
          <w:r>
            <w:fldChar w:fldCharType="separate"/>
          </w:r>
          <w:r>
            <w:t>15</w:t>
          </w:r>
          <w:r>
            <w:fldChar w:fldCharType="end"/>
          </w:r>
          <w:r>
            <w:fldChar w:fldCharType="end"/>
          </w:r>
        </w:p>
        <w:p>
          <w:pPr>
            <w:pStyle w:val="5"/>
            <w:tabs>
              <w:tab w:val="left" w:pos="840"/>
              <w:tab w:val="right" w:leader="dot" w:pos="8296"/>
            </w:tabs>
          </w:pPr>
          <w:r>
            <w:fldChar w:fldCharType="begin"/>
          </w:r>
          <w:r>
            <w:instrText xml:space="preserve"> HYPERLINK \l "_Toc170136643" </w:instrText>
          </w:r>
          <w:r>
            <w:fldChar w:fldCharType="separate"/>
          </w:r>
          <w:r>
            <w:rPr>
              <w:rStyle w:val="8"/>
              <w:rFonts w:ascii="黑体" w:hAnsi="黑体" w:eastAsia="黑体"/>
            </w:rPr>
            <w:t>八、</w:t>
          </w:r>
          <w:r>
            <w:tab/>
          </w:r>
          <w:r>
            <w:rPr>
              <w:rStyle w:val="8"/>
              <w:rFonts w:ascii="黑体" w:hAnsi="黑体" w:eastAsia="黑体"/>
            </w:rPr>
            <w:t>项目总投资概算及资金来源</w:t>
          </w:r>
          <w:r>
            <w:tab/>
          </w:r>
          <w:r>
            <w:fldChar w:fldCharType="begin"/>
          </w:r>
          <w:r>
            <w:instrText xml:space="preserve"> PAGEREF _Toc170136643 \h </w:instrText>
          </w:r>
          <w:r>
            <w:fldChar w:fldCharType="separate"/>
          </w:r>
          <w:r>
            <w:t>16</w:t>
          </w:r>
          <w:r>
            <w:fldChar w:fldCharType="end"/>
          </w:r>
          <w:r>
            <w:fldChar w:fldCharType="end"/>
          </w:r>
        </w:p>
        <w:p>
          <w:pPr>
            <w:pStyle w:val="5"/>
            <w:tabs>
              <w:tab w:val="right" w:leader="dot" w:pos="8296"/>
            </w:tabs>
          </w:pPr>
          <w:r>
            <w:fldChar w:fldCharType="begin"/>
          </w:r>
          <w:r>
            <w:instrText xml:space="preserve"> HYPERLINK \l "_Toc170136644" </w:instrText>
          </w:r>
          <w:r>
            <w:fldChar w:fldCharType="separate"/>
          </w:r>
          <w:r>
            <w:rPr>
              <w:rStyle w:val="8"/>
              <w:rFonts w:ascii="黑体" w:hAnsi="黑体" w:eastAsia="黑体"/>
            </w:rPr>
            <w:t>附表</w:t>
          </w:r>
          <w:r>
            <w:tab/>
          </w:r>
          <w:r>
            <w:fldChar w:fldCharType="begin"/>
          </w:r>
          <w:r>
            <w:instrText xml:space="preserve"> PAGEREF _Toc170136644 \h </w:instrText>
          </w:r>
          <w:r>
            <w:fldChar w:fldCharType="separate"/>
          </w:r>
          <w:r>
            <w:t>18</w:t>
          </w:r>
          <w:r>
            <w:fldChar w:fldCharType="end"/>
          </w:r>
          <w:r>
            <w:fldChar w:fldCharType="end"/>
          </w:r>
        </w:p>
        <w:p>
          <w:pPr>
            <w:pStyle w:val="5"/>
            <w:tabs>
              <w:tab w:val="left" w:pos="630"/>
              <w:tab w:val="right" w:leader="dot" w:pos="8296"/>
            </w:tabs>
          </w:pPr>
          <w:r>
            <w:fldChar w:fldCharType="begin"/>
          </w:r>
          <w:r>
            <w:instrText xml:space="preserve"> HYPERLINK \l "_Toc170136645" </w:instrText>
          </w:r>
          <w:r>
            <w:fldChar w:fldCharType="separate"/>
          </w:r>
          <w:r>
            <w:rPr>
              <w:rStyle w:val="8"/>
              <w:rFonts w:ascii="黑体" w:hAnsi="黑体" w:eastAsia="黑体"/>
            </w:rPr>
            <w:t>1.</w:t>
          </w:r>
          <w:r>
            <w:tab/>
          </w:r>
          <w:r>
            <w:rPr>
              <w:rStyle w:val="8"/>
              <w:rFonts w:ascii="黑体" w:hAnsi="黑体" w:eastAsia="黑体"/>
            </w:rPr>
            <w:t>项目总投资概算表</w:t>
          </w:r>
          <w:r>
            <w:tab/>
          </w:r>
          <w:r>
            <w:fldChar w:fldCharType="begin"/>
          </w:r>
          <w:r>
            <w:instrText xml:space="preserve"> PAGEREF _Toc170136645 \h </w:instrText>
          </w:r>
          <w:r>
            <w:fldChar w:fldCharType="separate"/>
          </w:r>
          <w:r>
            <w:t>18</w:t>
          </w:r>
          <w:r>
            <w:fldChar w:fldCharType="end"/>
          </w:r>
          <w:r>
            <w:fldChar w:fldCharType="end"/>
          </w:r>
        </w:p>
        <w:p>
          <w:pPr>
            <w:pStyle w:val="5"/>
            <w:tabs>
              <w:tab w:val="left" w:pos="630"/>
              <w:tab w:val="right" w:leader="dot" w:pos="8296"/>
            </w:tabs>
          </w:pPr>
          <w:r>
            <w:fldChar w:fldCharType="begin"/>
          </w:r>
          <w:r>
            <w:instrText xml:space="preserve"> HYPERLINK \l "_Toc170136646" </w:instrText>
          </w:r>
          <w:r>
            <w:fldChar w:fldCharType="separate"/>
          </w:r>
          <w:r>
            <w:rPr>
              <w:rStyle w:val="8"/>
              <w:rFonts w:ascii="黑体" w:hAnsi="黑体" w:eastAsia="黑体"/>
            </w:rPr>
            <w:t>2.</w:t>
          </w:r>
          <w:r>
            <w:tab/>
          </w:r>
          <w:r>
            <w:rPr>
              <w:rStyle w:val="8"/>
              <w:rFonts w:ascii="黑体" w:hAnsi="黑体" w:eastAsia="黑体"/>
            </w:rPr>
            <w:t>项目软硬件配置清单</w:t>
          </w:r>
          <w:r>
            <w:tab/>
          </w:r>
          <w:r>
            <w:fldChar w:fldCharType="begin"/>
          </w:r>
          <w:r>
            <w:instrText xml:space="preserve"> PAGEREF _Toc170136646 \h </w:instrText>
          </w:r>
          <w:r>
            <w:fldChar w:fldCharType="separate"/>
          </w:r>
          <w:r>
            <w:t>21</w:t>
          </w:r>
          <w:r>
            <w:fldChar w:fldCharType="end"/>
          </w:r>
          <w:r>
            <w:fldChar w:fldCharType="end"/>
          </w:r>
        </w:p>
        <w:p>
          <w:r>
            <w:rPr>
              <w:b/>
              <w:bCs/>
              <w:lang w:val="zh-CN"/>
            </w:rPr>
            <w:fldChar w:fldCharType="end"/>
          </w:r>
        </w:p>
      </w:sdtContent>
    </w:sdt>
    <w:p/>
    <w:p>
      <w:pPr>
        <w:sectPr>
          <w:footerReference r:id="rId5" w:type="default"/>
          <w:pgSz w:w="11906" w:h="16838"/>
          <w:pgMar w:top="1440" w:right="1800" w:bottom="1440" w:left="1800" w:header="851" w:footer="992" w:gutter="0"/>
          <w:cols w:space="425" w:num="1"/>
          <w:docGrid w:type="lines" w:linePitch="381" w:charSpace="0"/>
        </w:sectPr>
      </w:pPr>
    </w:p>
    <w:p>
      <w:pPr>
        <w:pStyle w:val="9"/>
        <w:numPr>
          <w:ilvl w:val="0"/>
          <w:numId w:val="1"/>
        </w:numPr>
        <w:ind w:firstLineChars="0"/>
        <w:outlineLvl w:val="0"/>
        <w:rPr>
          <w:rFonts w:hint="eastAsia" w:ascii="黑体" w:hAnsi="黑体" w:eastAsia="黑体"/>
          <w:sz w:val="32"/>
          <w:szCs w:val="24"/>
        </w:rPr>
      </w:pPr>
      <w:bookmarkStart w:id="2" w:name="_Toc170136636"/>
      <w:r>
        <w:rPr>
          <w:rFonts w:hint="eastAsia" w:ascii="黑体" w:hAnsi="黑体" w:eastAsia="黑体"/>
          <w:sz w:val="32"/>
          <w:szCs w:val="24"/>
        </w:rPr>
        <w:t>项目建设背景</w:t>
      </w:r>
      <w:bookmarkEnd w:id="2"/>
    </w:p>
    <w:p>
      <w:pPr>
        <w:ind w:firstLine="560" w:firstLineChars="200"/>
      </w:pPr>
      <w:r>
        <w:rPr>
          <w:rFonts w:hint="eastAsia"/>
        </w:rPr>
        <w:t>2020年4月，国家发展改革委、中央网信办联合印发《关于推进“上云用数赋智”行动 培育新经济发展实施方案》，提出开展数字化转型促进中心建设，“支持在产业集群、园区等建立公共型数字化转型促进中心，强化平台、服务商、专家、人才、金融等数字化转型公共服务。支持企业建立开放型数字化转型促进中心，面向产业链上下游企业和行业内中小微企业提供需求撮合、转型咨询、解决方案等服务。”随后，《国家十四五规划纲要》提出实施“上云用数赋智”行动，在重点行业和区域建设若干国际水准的工业互联网平台和数字化转型促进中心，深化研发设计、生产制造、经营管理、市场服务等环节的数字化应用。《“十四五”数字经济发展规划》提出建设数字化转型促进中心，衔接集聚各类资源条件，提供数字化转型公共服务，打造区域产业数字化创新综合体，带动传统产业数字化转型。这一系列规划政策文件的陆续出台，为加快推动数字化转型促进中心建设提供了基本遵循，推动政府、平台、金融、服务商、专家、人才、中介、研发机构、用户等广泛合作的数字生态共同体有了指导方向。</w:t>
      </w:r>
    </w:p>
    <w:p>
      <w:pPr>
        <w:ind w:firstLine="560" w:firstLineChars="200"/>
      </w:pPr>
      <w:r>
        <w:rPr>
          <w:rFonts w:hint="eastAsia"/>
        </w:rPr>
        <w:t>一直以来，自治区党委、政府高度重视数字经济发展，对深入各行业各领域数字化转型工作多次作了安排部署。在“十四五”开局之年，自治区大数据发展局、发展改革委联合印发《数字广西发展“十四五”规划》，提出在重点行业和区域建设若干具有较强影响力的数字化转型促进中心，打造数字化转型创新资源池，促进项目实施和成果转化。数字广西建设领导小组发布《广西数字经济发展三年行动计划（2021—2023年）》，提出支持在中国—东盟数字经济产业园等重点园区建立公共型数字化转型促进中心，强化平台、服务商、专家、人才、金融等数字化转型公共服务。自治区党委、政府联合印发《关于加快数字化转型发展深入推进数字广西建设的实施意见》（桂发〔2022〕18号），对今后一个时间广西加快数字化转型发展，从数据要素、数字政府、中国-东盟信息港、数字基础设施、经济和社会及乡村数字化转型等方面深入推进数字广西建设作出全面部署。在2022年8月，数字广西建设领导小组印发《推进广西行业数字化转型促进中心建设实施方案》，并于2022年11月认定了广西数字化转型促进中心（自治区信息中心）以及第一批行业数字化转型促进中心，涉及汽车、糖业、冶金3个行业。</w:t>
      </w:r>
    </w:p>
    <w:p>
      <w:pPr>
        <w:ind w:firstLine="560" w:firstLineChars="200"/>
      </w:pPr>
      <w:r>
        <w:rPr>
          <w:rFonts w:hint="eastAsia"/>
        </w:rPr>
        <w:t>本项目建设是在严格按照统筹整合、集约建设原则下，贯彻落实广西数字化转型促进中心体系的发展定位，助力推动全区各产业中具备数字化转型共性技术、关键技术、带动作用突出的龙头企业、行业协会、高等院校、科研院所等主体面向各类用户提供政策服务、诊断评估、供需撮合及对接融合、决策支撑等综合服务，提升不同产业链、供应链、创新链、价值链企业数字化转型和创新能力，加快推动形成良好数字氛围，营造数字环境。</w:t>
      </w:r>
    </w:p>
    <w:p>
      <w:pPr>
        <w:ind w:firstLine="560" w:firstLineChars="200"/>
      </w:pPr>
      <w:r>
        <w:rPr>
          <w:rFonts w:hint="eastAsia"/>
        </w:rPr>
        <w:t>对于政府，建设广西数字化转型促进中心可以推动广西地区数字化转型，促进自治区区域经济的发展。政府可以通过广西数字化转型促进中心引导和帮助企业用户进行数字化转型，降低转型成本，缩短转型周期，解决“不会转、不能转、不敢转”问题。</w:t>
      </w:r>
    </w:p>
    <w:p>
      <w:pPr>
        <w:ind w:firstLine="560" w:firstLineChars="200"/>
      </w:pPr>
      <w:r>
        <w:rPr>
          <w:rFonts w:hint="eastAsia"/>
        </w:rPr>
        <w:t>对于社会来看，本项目建设将有助于加速广西经济社会数字化转型的进程，通过提供全方位技术支持、场景化解决方案、多样化转型产品及服务、数字化人才培训与辅导等服务，提高社会数字化水平，推动社会信息化、智能化发展，可以提高社会生产效率，提升社会整体发展质量。</w:t>
      </w:r>
    </w:p>
    <w:p>
      <w:pPr>
        <w:ind w:firstLine="560" w:firstLineChars="200"/>
      </w:pPr>
      <w:r>
        <w:rPr>
          <w:rFonts w:hint="eastAsia"/>
        </w:rPr>
        <w:t>对于企业来说，本项目建设将为区内企业专业的技术支持和服务提供供需对接渠道，帮助各行各业大中小企业促进数字化转型，提高生产效率、降低运营成本、开拓新的市场，推动实现转型升级，提升自身竞争力。</w:t>
      </w:r>
    </w:p>
    <w:p>
      <w:pPr>
        <w:ind w:firstLine="560" w:firstLineChars="200"/>
      </w:pPr>
      <w:r>
        <w:rPr>
          <w:rFonts w:hint="eastAsia"/>
        </w:rPr>
        <w:t>综上所述，在“十四五”期间，建设具有较强影响力的广西数字化转型促进中心，打造数字化转型创新资源池，对于推动构建全区数字化转型公共服务体系，实现全区不同数字化转型业务跨区域、跨行业、跨企业的协同创新和集约发展，形成并共享特色鲜明的数字化转型先进经验和典型示范案例，引导和拓展全区各行各业数字化转型发展路径，促进广西数字经济创新发展，加快推进数字广西建设发展具有重要意义。</w:t>
      </w:r>
    </w:p>
    <w:p>
      <w:pPr>
        <w:pStyle w:val="9"/>
        <w:numPr>
          <w:ilvl w:val="0"/>
          <w:numId w:val="1"/>
        </w:numPr>
        <w:ind w:firstLineChars="0"/>
        <w:outlineLvl w:val="0"/>
        <w:rPr>
          <w:rFonts w:hint="eastAsia" w:ascii="黑体" w:hAnsi="黑体" w:eastAsia="黑体"/>
          <w:sz w:val="32"/>
          <w:szCs w:val="24"/>
        </w:rPr>
      </w:pPr>
      <w:bookmarkStart w:id="3" w:name="_Toc170136637"/>
      <w:r>
        <w:rPr>
          <w:rFonts w:hint="eastAsia" w:ascii="黑体" w:hAnsi="黑体" w:eastAsia="黑体"/>
          <w:sz w:val="32"/>
          <w:szCs w:val="24"/>
        </w:rPr>
        <w:t>项目建设目标</w:t>
      </w:r>
      <w:bookmarkEnd w:id="3"/>
    </w:p>
    <w:p>
      <w:pPr>
        <w:pStyle w:val="9"/>
        <w:ind w:firstLine="560"/>
      </w:pPr>
      <w:r>
        <w:rPr>
          <w:rFonts w:hint="eastAsia"/>
        </w:rPr>
        <w:t>依托广西电子政务外网和壮美广西·政务云，通过建设广西数字化转型促进中心公共服务平台，利用新一代信息技术加快衔接集聚政府部门、行业协会、科研院所、咨询机构、企业厂商等各类资源条件，建设综合支撑、智能评估、供需撮合、政策服务、数据可视化、大模型服务及对接融合等系统功能，提供数字化转型政策服务、诊断评估、供需撮合及对接融合、决策支撑等公共服务，构建优质共享的广西数字化转型公共服务体系，助力解决区内数字化建设发展面临的因认识不深“不愿转”、支撑不够“不会转”、资源不足“不敢转”等转型难题，带动全区数字化转型资源复用、能力共享、产业协同、集约发展。</w:t>
      </w:r>
    </w:p>
    <w:p>
      <w:pPr>
        <w:pStyle w:val="9"/>
        <w:numPr>
          <w:ilvl w:val="0"/>
          <w:numId w:val="1"/>
        </w:numPr>
        <w:ind w:firstLineChars="0"/>
        <w:outlineLvl w:val="0"/>
        <w:rPr>
          <w:rFonts w:hint="eastAsia" w:ascii="黑体" w:hAnsi="黑体" w:eastAsia="黑体"/>
          <w:sz w:val="32"/>
          <w:szCs w:val="24"/>
        </w:rPr>
      </w:pPr>
      <w:bookmarkStart w:id="4" w:name="_Toc170136638"/>
      <w:r>
        <w:rPr>
          <w:rFonts w:hint="eastAsia" w:ascii="黑体" w:hAnsi="黑体" w:eastAsia="黑体"/>
          <w:sz w:val="32"/>
          <w:szCs w:val="24"/>
        </w:rPr>
        <w:t>项目建设规模</w:t>
      </w:r>
      <w:bookmarkEnd w:id="4"/>
    </w:p>
    <w:p>
      <w:pPr>
        <w:pStyle w:val="9"/>
        <w:ind w:firstLine="560"/>
      </w:pPr>
      <w:r>
        <w:rPr>
          <w:rFonts w:hint="eastAsia"/>
        </w:rPr>
        <w:t>（一）本项目建设1个广西数字化转型促进中心，主要面向全区存在转型需求的社会大中小企业、数字化转型服务企业以及相关政府部门用户和公众用户，用户量年均预计为85.39万人次。</w:t>
      </w:r>
    </w:p>
    <w:p>
      <w:pPr>
        <w:pStyle w:val="9"/>
        <w:ind w:firstLine="560"/>
      </w:pPr>
      <w:r>
        <w:rPr>
          <w:rFonts w:hint="eastAsia"/>
        </w:rPr>
        <w:t>（二）本项目主要建设数字化转型公共服务平台，包括平台门户、综合支撑系统、智能评估系统、数据场景化应用及价值评估系统、供需撮合系统、政策服务系统、数据可视化系统、大模型服务系统及对接融合系统等9项内容。</w:t>
      </w:r>
    </w:p>
    <w:p>
      <w:pPr>
        <w:pStyle w:val="9"/>
        <w:ind w:firstLine="560"/>
      </w:pPr>
      <w:r>
        <w:rPr>
          <w:rFonts w:hint="eastAsia"/>
        </w:rPr>
        <w:t>（三）本项目公共服务平台网络安全保护等级和密码应用安全性评估按第二级进行防护。</w:t>
      </w:r>
    </w:p>
    <w:p>
      <w:pPr>
        <w:pStyle w:val="9"/>
        <w:ind w:firstLine="560"/>
      </w:pPr>
      <w:r>
        <w:rPr>
          <w:rFonts w:hint="eastAsia"/>
        </w:rPr>
        <w:t>（四）本项目公共服务平台申请配置15台应用服务器虚拟机，5台数据库服务器虚拟机，电子政务云数据存储量需求为17.36TB，电子政务外网带宽需求为647.72MB/s，互联网出口带宽需求为323.88MB/s。</w:t>
      </w:r>
    </w:p>
    <w:p>
      <w:pPr>
        <w:pStyle w:val="9"/>
        <w:numPr>
          <w:ilvl w:val="0"/>
          <w:numId w:val="1"/>
        </w:numPr>
        <w:ind w:firstLineChars="0"/>
        <w:outlineLvl w:val="0"/>
        <w:rPr>
          <w:rFonts w:hint="eastAsia" w:ascii="黑体" w:hAnsi="黑体" w:eastAsia="黑体"/>
          <w:sz w:val="32"/>
          <w:szCs w:val="24"/>
        </w:rPr>
      </w:pPr>
      <w:bookmarkStart w:id="5" w:name="_Toc170136639"/>
      <w:r>
        <w:rPr>
          <w:rFonts w:hint="eastAsia" w:ascii="黑体" w:hAnsi="黑体" w:eastAsia="黑体"/>
          <w:sz w:val="32"/>
          <w:szCs w:val="24"/>
        </w:rPr>
        <w:t>项目建设内容</w:t>
      </w:r>
      <w:bookmarkEnd w:id="5"/>
    </w:p>
    <w:p>
      <w:pPr>
        <w:pStyle w:val="9"/>
        <w:ind w:firstLine="560"/>
      </w:pPr>
      <w:r>
        <w:rPr>
          <w:rFonts w:hint="eastAsia"/>
        </w:rPr>
        <w:t>本项目主要建设广西数字化转型促进中心公共服务平台，主要包括平台门户、综合支撑系统、智能评估系统、数据场景化应用及价值评估系统、供需撮合系统、政策服务系统、数据可视化系统、大模型服务系统及对接融合系统等功能模块，具体为：</w:t>
      </w:r>
    </w:p>
    <w:p>
      <w:pPr>
        <w:pStyle w:val="9"/>
        <w:ind w:firstLine="560"/>
      </w:pPr>
      <w:r>
        <w:rPr>
          <w:rFonts w:hint="eastAsia"/>
        </w:rPr>
        <w:t>（一）平台门户</w:t>
      </w:r>
    </w:p>
    <w:p>
      <w:pPr>
        <w:pStyle w:val="9"/>
        <w:ind w:firstLine="560"/>
      </w:pPr>
      <w:r>
        <w:rPr>
          <w:rFonts w:hint="eastAsia"/>
        </w:rPr>
        <w:t>包括信息公开、网上办事、互动交流、管理后台等功能，面向各类用户提供与数字化转型相关的一站式信息资源门户服务。</w:t>
      </w:r>
    </w:p>
    <w:p>
      <w:pPr>
        <w:pStyle w:val="9"/>
        <w:ind w:firstLine="560"/>
      </w:pPr>
      <w:r>
        <w:rPr>
          <w:rFonts w:hint="eastAsia"/>
        </w:rPr>
        <w:t>（二）综合支撑系统</w:t>
      </w:r>
    </w:p>
    <w:p>
      <w:pPr>
        <w:pStyle w:val="9"/>
        <w:ind w:firstLine="560"/>
      </w:pPr>
      <w:r>
        <w:rPr>
          <w:rFonts w:hint="eastAsia"/>
        </w:rPr>
        <w:t>包括数据管理平台（数据底座）和模型管理平台（大模型底座），提供数据采集、数据治理、数据服务、数据资产以及模型管理、模型训练、模型部署等功能，提供基础数据底座、大模型底座能力并分层支撑。</w:t>
      </w:r>
    </w:p>
    <w:p>
      <w:pPr>
        <w:pStyle w:val="9"/>
        <w:ind w:firstLine="560"/>
      </w:pPr>
      <w:r>
        <w:rPr>
          <w:rFonts w:hint="eastAsia"/>
        </w:rPr>
        <w:t>（三）智能评估系统</w:t>
      </w:r>
    </w:p>
    <w:p>
      <w:pPr>
        <w:pStyle w:val="9"/>
        <w:ind w:firstLine="560"/>
      </w:pPr>
      <w:r>
        <w:rPr>
          <w:rFonts w:hint="eastAsia"/>
        </w:rPr>
        <w:t>包括数字化转型成熟度调查问卷、企业画像、行业画像与趋势分析及评估评分系统等，基于大模型和人工智能技术，为各行业数字化转型评估提供预设问卷模板，利用互联网技术采集相关信息形成企业画像，提供个性化的数字化水平量化评估诊断和数字化转型对策建议。</w:t>
      </w:r>
    </w:p>
    <w:p>
      <w:pPr>
        <w:pStyle w:val="9"/>
        <w:ind w:firstLine="560"/>
      </w:pPr>
      <w:r>
        <w:rPr>
          <w:rFonts w:hint="eastAsia"/>
        </w:rPr>
        <w:t>（四）数据场景化应用及价值评估系统</w:t>
      </w:r>
    </w:p>
    <w:p>
      <w:pPr>
        <w:pStyle w:val="9"/>
        <w:ind w:firstLine="560"/>
      </w:pPr>
      <w:r>
        <w:rPr>
          <w:rFonts w:hint="eastAsia"/>
        </w:rPr>
        <w:t>包括政企数字化评估和数据场景化应用及价值评估，将数据转化为可操作可利用的资产，助力政企评估对象完成从传统管理模式向数据驱动型管理模式的转变，发挥数据在数字化转型的推动作用。</w:t>
      </w:r>
    </w:p>
    <w:p>
      <w:pPr>
        <w:pStyle w:val="9"/>
        <w:ind w:firstLine="560"/>
      </w:pPr>
      <w:r>
        <w:rPr>
          <w:rFonts w:hint="eastAsia"/>
        </w:rPr>
        <w:t>（五）供需撮合系统</w:t>
      </w:r>
    </w:p>
    <w:p>
      <w:pPr>
        <w:pStyle w:val="9"/>
        <w:ind w:firstLine="560"/>
      </w:pPr>
      <w:r>
        <w:rPr>
          <w:rFonts w:hint="eastAsia"/>
        </w:rPr>
        <w:t>包括专家服务清单、产品资源展示、数据资源对接、金融资金匹配、专业人才推荐等系统，支持企业根据自身需求在相应模块内进行条件搜索和筛选，后台根据匹配算法和数据分析实现专家、产品、金融资金、数据资源及专业人才的智能撮合。</w:t>
      </w:r>
    </w:p>
    <w:p>
      <w:pPr>
        <w:pStyle w:val="9"/>
        <w:ind w:firstLine="560"/>
      </w:pPr>
      <w:r>
        <w:rPr>
          <w:rFonts w:hint="eastAsia"/>
        </w:rPr>
        <w:t>（六）政策服务系统</w:t>
      </w:r>
    </w:p>
    <w:p>
      <w:pPr>
        <w:pStyle w:val="9"/>
        <w:ind w:firstLine="560"/>
      </w:pPr>
      <w:r>
        <w:rPr>
          <w:rFonts w:hint="eastAsia"/>
        </w:rPr>
        <w:t>包括政策搜索及筛选、智能匹配与推送、政策解读和解答、政策申请指导、政策跟踪和提醒等，通过与惠企惠民政策兑现平台对接，后台根据企业画像及政策信息进行智能匹配和推送，帮助企业和个人查询、理解和利用各类政策。</w:t>
      </w:r>
    </w:p>
    <w:p>
      <w:pPr>
        <w:pStyle w:val="9"/>
        <w:ind w:firstLine="560"/>
      </w:pPr>
      <w:r>
        <w:rPr>
          <w:rFonts w:hint="eastAsia"/>
        </w:rPr>
        <w:t>（七）数据可视化系统</w:t>
      </w:r>
    </w:p>
    <w:p>
      <w:pPr>
        <w:pStyle w:val="9"/>
        <w:ind w:firstLine="560"/>
      </w:pPr>
      <w:r>
        <w:rPr>
          <w:rFonts w:hint="eastAsia"/>
        </w:rPr>
        <w:t>包括企业地图、全区数字化转型概览、行业促进中心数据概览、区域促进中心数据概览、全区数字经济发展概览等，支持统计分析平台各类业务应用使用情况，为用户提供全面且可视化的数据视图和洞察分析。</w:t>
      </w:r>
    </w:p>
    <w:p>
      <w:pPr>
        <w:pStyle w:val="9"/>
        <w:ind w:firstLine="560"/>
      </w:pPr>
      <w:r>
        <w:rPr>
          <w:rFonts w:hint="eastAsia"/>
        </w:rPr>
        <w:t>（八）大模型服务系统</w:t>
      </w:r>
    </w:p>
    <w:p>
      <w:pPr>
        <w:pStyle w:val="9"/>
        <w:ind w:firstLine="560"/>
      </w:pPr>
      <w:r>
        <w:rPr>
          <w:rFonts w:hint="eastAsia"/>
        </w:rPr>
        <w:t>包括虚拟数字人知识问答、全息数字人客服、用户语义识别服务、一键式智能搜索、业务智能推荐、报告内容概要提取等，为数字化转型提供数字人、智能推荐、智能客服等服务，辅助平台提升服务用户水平和效率。</w:t>
      </w:r>
    </w:p>
    <w:p>
      <w:pPr>
        <w:pStyle w:val="9"/>
        <w:ind w:firstLine="560"/>
      </w:pPr>
      <w:r>
        <w:rPr>
          <w:rFonts w:hint="eastAsia"/>
        </w:rPr>
        <w:t>（九）对接融合系统</w:t>
      </w:r>
    </w:p>
    <w:p>
      <w:pPr>
        <w:pStyle w:val="9"/>
        <w:ind w:firstLine="560"/>
      </w:pPr>
      <w:r>
        <w:rPr>
          <w:rFonts w:hint="eastAsia"/>
        </w:rPr>
        <w:t>包括对接中国—东盟（华为）人工智能创新中心等大数据创新应用平台，面向全区已有共性技术支撑平台和服务提供轻量化、平台化、低代码、快部署，以及整合共享区内数字化平台能力，推动轻量化服务、解决方案共建共享共用。</w:t>
      </w:r>
    </w:p>
    <w:p>
      <w:pPr>
        <w:pStyle w:val="9"/>
        <w:ind w:firstLine="560"/>
      </w:pPr>
      <w:r>
        <w:rPr>
          <w:rFonts w:hint="eastAsia"/>
        </w:rPr>
        <w:t>按照总体设计、分步实施、突出重点、保证质量的原则,统筹推进本项目各项建设内容建设，2024年完成智能评估系统建设和数据场景化应用及价值评估系统建设，2025年完成余下的平台门户、综合支撑系统、供需撮合系统、政策服务系统、数据可视化系统、大模型服务系统、对接融合系统等功能模块建设。</w:t>
      </w:r>
    </w:p>
    <w:p>
      <w:pPr>
        <w:pStyle w:val="9"/>
        <w:numPr>
          <w:ilvl w:val="0"/>
          <w:numId w:val="1"/>
        </w:numPr>
        <w:ind w:firstLineChars="0"/>
        <w:outlineLvl w:val="0"/>
        <w:rPr>
          <w:rFonts w:hint="eastAsia" w:ascii="黑体" w:hAnsi="黑体" w:eastAsia="黑体"/>
          <w:sz w:val="32"/>
          <w:szCs w:val="24"/>
        </w:rPr>
      </w:pPr>
      <w:bookmarkStart w:id="6" w:name="_Toc170136640"/>
      <w:r>
        <w:rPr>
          <w:rFonts w:hint="eastAsia" w:ascii="黑体" w:hAnsi="黑体" w:eastAsia="黑体"/>
          <w:sz w:val="32"/>
          <w:szCs w:val="24"/>
        </w:rPr>
        <w:t>项目总体架构</w:t>
      </w:r>
      <w:bookmarkEnd w:id="6"/>
    </w:p>
    <w:p>
      <w:pPr>
        <w:pStyle w:val="9"/>
        <w:ind w:firstLine="560"/>
      </w:pPr>
      <w:r>
        <w:rPr>
          <w:rFonts w:hint="eastAsia"/>
        </w:rPr>
        <w:t>本项目总体架构由基础设施层、数据层、支撑层、应用层、展示层，以及安全保障体系、运行维护体系和标准规范体系组成，总体架构图如下：</w:t>
      </w:r>
    </w:p>
    <w:p>
      <w:pPr>
        <w:pStyle w:val="9"/>
        <w:ind w:firstLine="0" w:firstLineChars="0"/>
      </w:pPr>
      <w:r>
        <w:rPr>
          <w:rFonts w:hint="eastAsia" w:hAnsi="宋体" w:cs="仿宋"/>
          <w:szCs w:val="28"/>
        </w:rPr>
        <w:drawing>
          <wp:inline distT="0" distB="0" distL="0" distR="0">
            <wp:extent cx="5274310" cy="2670175"/>
            <wp:effectExtent l="0" t="0" r="2540" b="0"/>
            <wp:docPr id="12246238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23828"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2670463"/>
                    </a:xfrm>
                    <a:prstGeom prst="rect">
                      <a:avLst/>
                    </a:prstGeom>
                    <a:noFill/>
                  </pic:spPr>
                </pic:pic>
              </a:graphicData>
            </a:graphic>
          </wp:inline>
        </w:drawing>
      </w:r>
    </w:p>
    <w:p>
      <w:pPr>
        <w:pStyle w:val="9"/>
        <w:ind w:firstLine="560"/>
      </w:pPr>
      <w:r>
        <w:rPr>
          <w:rFonts w:hint="eastAsia"/>
        </w:rPr>
        <w:t>（一）基础设施层</w:t>
      </w:r>
    </w:p>
    <w:p>
      <w:pPr>
        <w:pStyle w:val="9"/>
        <w:ind w:firstLine="560"/>
      </w:pPr>
      <w:r>
        <w:rPr>
          <w:rFonts w:hint="eastAsia" w:hAnsi="宋体" w:cs="仿宋"/>
          <w:szCs w:val="28"/>
        </w:rPr>
        <w:t>主要包括本项目建设广西数字化转型促进中心公共服务平台涉及到的服务器、网络、安全、存储等，利旧广西电子政务外网、壮美广西·政务云及其安全防护设备措施，实现资源灵活配置。</w:t>
      </w:r>
    </w:p>
    <w:p>
      <w:pPr>
        <w:pStyle w:val="9"/>
        <w:ind w:firstLine="560"/>
      </w:pPr>
      <w:r>
        <w:rPr>
          <w:rFonts w:hint="eastAsia"/>
        </w:rPr>
        <w:t>（二）数据层</w:t>
      </w:r>
    </w:p>
    <w:p>
      <w:pPr>
        <w:pStyle w:val="9"/>
        <w:ind w:firstLine="560"/>
      </w:pPr>
      <w:r>
        <w:rPr>
          <w:rFonts w:hint="eastAsia" w:hAnsi="宋体" w:cs="仿宋"/>
          <w:szCs w:val="28"/>
        </w:rPr>
        <w:t>主要包括本项目建设过程通过政务数据共享交换平台获取现有的人口库、法人库、地理空间信息库、电子证照库、社会信用库及相关的业务和主题信息库，建设数字化转型产品信息资源库、专家信息资源库、政策信息资源库等，以及对接项目建设单位三大创新中心，区直单位已建数字平台等系统获取相关数据。</w:t>
      </w:r>
    </w:p>
    <w:p>
      <w:pPr>
        <w:pStyle w:val="9"/>
        <w:ind w:firstLine="560"/>
      </w:pPr>
      <w:r>
        <w:rPr>
          <w:rFonts w:hint="eastAsia"/>
        </w:rPr>
        <w:t>（三）支撑层</w:t>
      </w:r>
    </w:p>
    <w:p>
      <w:pPr>
        <w:pStyle w:val="9"/>
        <w:ind w:firstLine="560"/>
      </w:pPr>
      <w:bookmarkStart w:id="7" w:name="_Hlk156915545"/>
      <w:r>
        <w:rPr>
          <w:rFonts w:hint="eastAsia" w:hAnsi="宋体" w:cs="仿宋"/>
          <w:szCs w:val="28"/>
        </w:rPr>
        <w:t>主要包括应用服务器中间件、数据库软件、操作系统等申请现有壮美广西·政务云资源及公共应用支撑组件，以及新建的综合支撑平台（含数据底座和大模型底座）。</w:t>
      </w:r>
      <w:bookmarkEnd w:id="7"/>
    </w:p>
    <w:p>
      <w:pPr>
        <w:pStyle w:val="9"/>
        <w:ind w:firstLine="560"/>
      </w:pPr>
      <w:r>
        <w:rPr>
          <w:rFonts w:hint="eastAsia"/>
        </w:rPr>
        <w:t>（四）应用层</w:t>
      </w:r>
    </w:p>
    <w:p>
      <w:pPr>
        <w:pStyle w:val="9"/>
        <w:ind w:firstLine="560"/>
      </w:pPr>
      <w:r>
        <w:rPr>
          <w:rFonts w:hint="eastAsia"/>
        </w:rPr>
        <w:t>主要是建设广西数字化转型促进中心公共服务平台，功能模块包括智能评估系统、数据场景化应用及价值评估系统、供需撮合系统、政策服务系统、大模型服务系统等新建内容。</w:t>
      </w:r>
    </w:p>
    <w:p>
      <w:pPr>
        <w:pStyle w:val="9"/>
        <w:ind w:firstLine="560"/>
      </w:pPr>
      <w:r>
        <w:rPr>
          <w:rFonts w:hint="eastAsia"/>
        </w:rPr>
        <w:t>（五）用户层</w:t>
      </w:r>
    </w:p>
    <w:p>
      <w:pPr>
        <w:pStyle w:val="9"/>
        <w:ind w:firstLine="560"/>
      </w:pPr>
      <w:r>
        <w:rPr>
          <w:rFonts w:hint="eastAsia"/>
        </w:rPr>
        <w:t>主要是指通过公共服务平台的平台门户和数据可视化系统面向全区政府部门、行业、企业等不同服务对象提供多样化数字化转型公共服务。</w:t>
      </w:r>
    </w:p>
    <w:p>
      <w:pPr>
        <w:pStyle w:val="9"/>
        <w:ind w:firstLine="560"/>
      </w:pPr>
      <w:r>
        <w:rPr>
          <w:rFonts w:hint="eastAsia"/>
        </w:rPr>
        <w:t>（六）标准规范体系</w:t>
      </w:r>
    </w:p>
    <w:p>
      <w:pPr>
        <w:pStyle w:val="9"/>
        <w:ind w:firstLine="560"/>
      </w:pPr>
      <w:r>
        <w:rPr>
          <w:rFonts w:hint="eastAsia" w:hAnsi="宋体" w:cs="仿宋"/>
          <w:szCs w:val="28"/>
        </w:rPr>
        <w:t>主要是指通过在遵循国家相关标准规范基础上按需制定全区统一的数字化转型相关标准规范，制定出台符合广西本土特色的行业、区域等维度数字化转型标准规范。</w:t>
      </w:r>
    </w:p>
    <w:p>
      <w:pPr>
        <w:pStyle w:val="9"/>
        <w:ind w:firstLine="560"/>
      </w:pPr>
      <w:r>
        <w:rPr>
          <w:rFonts w:hint="eastAsia"/>
        </w:rPr>
        <w:t>（七）运行维护体系</w:t>
      </w:r>
    </w:p>
    <w:p>
      <w:pPr>
        <w:pStyle w:val="9"/>
        <w:ind w:firstLine="560"/>
      </w:pPr>
      <w:r>
        <w:rPr>
          <w:rFonts w:hint="eastAsia" w:hAnsi="宋体" w:cs="仿宋"/>
          <w:szCs w:val="28"/>
        </w:rPr>
        <w:t>运行维护体系依托壮美广西·政务云，主要为基础层、数据层、支撑层、应用层等提供技术和运行管理服务。</w:t>
      </w:r>
    </w:p>
    <w:p>
      <w:pPr>
        <w:pStyle w:val="9"/>
        <w:ind w:firstLine="560"/>
      </w:pPr>
      <w:r>
        <w:rPr>
          <w:rFonts w:hint="eastAsia"/>
        </w:rPr>
        <w:t>（八）安全保障体系</w:t>
      </w:r>
    </w:p>
    <w:p>
      <w:pPr>
        <w:pStyle w:val="9"/>
        <w:ind w:firstLine="560"/>
      </w:pPr>
      <w:r>
        <w:rPr>
          <w:rFonts w:hint="eastAsia"/>
        </w:rPr>
        <w:t>安全保障体系</w:t>
      </w:r>
      <w:r>
        <w:rPr>
          <w:rFonts w:hint="eastAsia" w:hAnsi="宋体" w:cs="仿宋"/>
          <w:szCs w:val="28"/>
        </w:rPr>
        <w:t>依托壮美广西·政务云，主要为基础层、数据层、支撑层、应用层等提供安全保障服务</w:t>
      </w:r>
      <w:r>
        <w:rPr>
          <w:rFonts w:hint="eastAsia"/>
        </w:rPr>
        <w:t>。</w:t>
      </w:r>
    </w:p>
    <w:p>
      <w:pPr>
        <w:pStyle w:val="9"/>
        <w:numPr>
          <w:ilvl w:val="0"/>
          <w:numId w:val="1"/>
        </w:numPr>
        <w:ind w:firstLineChars="0"/>
        <w:outlineLvl w:val="0"/>
        <w:rPr>
          <w:rFonts w:hint="eastAsia" w:ascii="黑体" w:hAnsi="黑体" w:eastAsia="黑体"/>
          <w:sz w:val="32"/>
          <w:szCs w:val="24"/>
        </w:rPr>
      </w:pPr>
      <w:bookmarkStart w:id="8" w:name="_Toc170136641"/>
      <w:r>
        <w:rPr>
          <w:rFonts w:hint="eastAsia" w:ascii="黑体" w:hAnsi="黑体" w:eastAsia="黑体"/>
          <w:sz w:val="32"/>
          <w:szCs w:val="24"/>
        </w:rPr>
        <w:t>设计实现主要功能</w:t>
      </w:r>
      <w:bookmarkEnd w:id="8"/>
    </w:p>
    <w:p>
      <w:pPr>
        <w:pStyle w:val="9"/>
        <w:ind w:firstLine="560"/>
      </w:pPr>
      <w:r>
        <w:rPr>
          <w:rFonts w:hint="eastAsia"/>
        </w:rPr>
        <w:t>（一）平台门户</w:t>
      </w:r>
    </w:p>
    <w:p>
      <w:pPr>
        <w:pStyle w:val="9"/>
        <w:ind w:firstLine="560"/>
      </w:pPr>
      <w:r>
        <w:rPr>
          <w:rFonts w:hint="eastAsia"/>
        </w:rPr>
        <w:t>1.信息公开</w:t>
      </w:r>
    </w:p>
    <w:p>
      <w:pPr>
        <w:pStyle w:val="9"/>
        <w:ind w:firstLine="560"/>
      </w:pPr>
      <w:r>
        <w:rPr>
          <w:rFonts w:hint="eastAsia"/>
        </w:rPr>
        <w:t>含政策法规、文件公开、统计数据与报告、案例分享与经验交流、培训与研讨活动、咨询与支持服务、媒体报道与新闻动态等内容，作为平台提供数字化转型一站式信息资源的总入口。</w:t>
      </w:r>
    </w:p>
    <w:p>
      <w:pPr>
        <w:pStyle w:val="9"/>
        <w:ind w:firstLine="560"/>
      </w:pPr>
      <w:r>
        <w:rPr>
          <w:rFonts w:hint="eastAsia"/>
        </w:rPr>
        <w:t>2.网上办事</w:t>
      </w:r>
    </w:p>
    <w:p>
      <w:pPr>
        <w:pStyle w:val="9"/>
        <w:ind w:firstLine="560"/>
      </w:pPr>
      <w:r>
        <w:rPr>
          <w:rFonts w:hint="eastAsia"/>
        </w:rPr>
        <w:t>含数字化转型调查问卷、数字化转型评估结果查看、专家服务清单、产品资源查看、金融资金匹配、数据资源对接、专业人才推荐、政策查询解读、知识问答、数字化转型客服、公共数据查看等内容，作为平台提供数字化转型一站式服务业务的总入口。</w:t>
      </w:r>
    </w:p>
    <w:p>
      <w:pPr>
        <w:pStyle w:val="9"/>
        <w:ind w:firstLine="560"/>
      </w:pPr>
      <w:r>
        <w:rPr>
          <w:rFonts w:hint="eastAsia"/>
        </w:rPr>
        <w:t>3.互动交流</w:t>
      </w:r>
    </w:p>
    <w:p>
      <w:pPr>
        <w:pStyle w:val="9"/>
        <w:ind w:firstLine="560"/>
      </w:pPr>
      <w:r>
        <w:rPr>
          <w:rFonts w:hint="eastAsia"/>
        </w:rPr>
        <w:t>含专家答疑和咨询、在线研讨会和培训课程、用户故事和案例分享、技术资源和工具推荐等内容，为平台内入驻各方提供多种类的在线高效互动交流渠道。</w:t>
      </w:r>
    </w:p>
    <w:p>
      <w:pPr>
        <w:pStyle w:val="9"/>
        <w:ind w:firstLine="560"/>
      </w:pPr>
      <w:r>
        <w:rPr>
          <w:rFonts w:hint="eastAsia"/>
        </w:rPr>
        <w:t>4.管理后台</w:t>
      </w:r>
    </w:p>
    <w:p>
      <w:pPr>
        <w:pStyle w:val="9"/>
        <w:ind w:firstLine="560"/>
      </w:pPr>
      <w:r>
        <w:rPr>
          <w:rFonts w:hint="eastAsia"/>
        </w:rPr>
        <w:t>含注册与登录、用户信息管理、用户分类与标签、用户行为分析、安全管理、第三方整合、权限管理等管理内容。</w:t>
      </w:r>
    </w:p>
    <w:p>
      <w:pPr>
        <w:pStyle w:val="9"/>
        <w:ind w:firstLine="560"/>
      </w:pPr>
      <w:r>
        <w:rPr>
          <w:rFonts w:hint="eastAsia"/>
        </w:rPr>
        <w:t>（二）综合支撑系统</w:t>
      </w:r>
    </w:p>
    <w:p>
      <w:pPr>
        <w:pStyle w:val="9"/>
        <w:ind w:firstLine="560"/>
      </w:pPr>
      <w:r>
        <w:rPr>
          <w:rFonts w:hint="eastAsia"/>
        </w:rPr>
        <w:t>1.数据管理平台（数据底座）</w:t>
      </w:r>
    </w:p>
    <w:p>
      <w:pPr>
        <w:pStyle w:val="9"/>
        <w:ind w:firstLine="560"/>
      </w:pPr>
      <w:r>
        <w:rPr>
          <w:rFonts w:hint="eastAsia"/>
        </w:rPr>
        <w:t>含系统接口数据采集、数据治理、数据质量、调度中心、数据开发及资产、服务等功能模块，为平台各应用构建数据底座服务能力。</w:t>
      </w:r>
    </w:p>
    <w:p>
      <w:pPr>
        <w:pStyle w:val="9"/>
        <w:ind w:firstLine="560"/>
      </w:pPr>
      <w:r>
        <w:rPr>
          <w:rFonts w:hint="eastAsia"/>
        </w:rPr>
        <w:t>2.模型管理平台（大模型底座）</w:t>
      </w:r>
    </w:p>
    <w:p>
      <w:pPr>
        <w:pStyle w:val="9"/>
        <w:ind w:firstLine="560"/>
      </w:pPr>
      <w:r>
        <w:rPr>
          <w:rFonts w:hint="eastAsia"/>
        </w:rPr>
        <w:t>含模型管理、模型中心、应用中心、服务中心等功能模块，为平台各应用构建大模型底座服务能力。</w:t>
      </w:r>
    </w:p>
    <w:p>
      <w:pPr>
        <w:pStyle w:val="9"/>
        <w:ind w:firstLine="560"/>
      </w:pPr>
      <w:r>
        <w:rPr>
          <w:rFonts w:hint="eastAsia"/>
        </w:rPr>
        <w:t>（三）智能评估系统</w:t>
      </w:r>
    </w:p>
    <w:p>
      <w:pPr>
        <w:pStyle w:val="9"/>
        <w:ind w:firstLine="560"/>
      </w:pPr>
      <w:r>
        <w:rPr>
          <w:rFonts w:hint="eastAsia"/>
        </w:rPr>
        <w:t>1.数字化转型成熟度调查问卷</w:t>
      </w:r>
    </w:p>
    <w:p>
      <w:pPr>
        <w:pStyle w:val="9"/>
        <w:ind w:firstLine="560"/>
      </w:pPr>
      <w:r>
        <w:rPr>
          <w:rFonts w:hint="eastAsia"/>
        </w:rPr>
        <w:t>依据国家及行业内主流数字化转型标准规范,设计和开发智能调查问卷系统，含问卷设计与编辑、问卷分发与调度、数据分析与报告、问卷智能抽样分发等功能模块，帮助企业在线智能评估自身在数字化转型方面的成熟度，并提供相应的改进和发展建议。</w:t>
      </w:r>
    </w:p>
    <w:p>
      <w:pPr>
        <w:pStyle w:val="9"/>
        <w:ind w:firstLine="560"/>
      </w:pPr>
      <w:r>
        <w:rPr>
          <w:rFonts w:hint="eastAsia"/>
        </w:rPr>
        <w:t>2.企业画像</w:t>
      </w:r>
    </w:p>
    <w:p>
      <w:pPr>
        <w:pStyle w:val="9"/>
        <w:ind w:firstLine="560"/>
      </w:pPr>
      <w:r>
        <w:rPr>
          <w:rFonts w:hint="eastAsia"/>
        </w:rPr>
        <w:t>构建企业基础画像，为用户提供全面、准确的企业信息和分析结果，帮助用户了解企业的基本情况、发展历程、经营风险评估和业务领域等方面信息。</w:t>
      </w:r>
    </w:p>
    <w:p>
      <w:pPr>
        <w:pStyle w:val="9"/>
        <w:ind w:firstLine="560"/>
      </w:pPr>
      <w:r>
        <w:rPr>
          <w:rFonts w:hint="eastAsia"/>
        </w:rPr>
        <w:t>3.行业画像与趋势分析</w:t>
      </w:r>
    </w:p>
    <w:p>
      <w:pPr>
        <w:pStyle w:val="9"/>
        <w:ind w:firstLine="560"/>
      </w:pPr>
      <w:r>
        <w:rPr>
          <w:rFonts w:hint="eastAsia"/>
        </w:rPr>
        <w:t>含行业画像构建、同行业横向比较、多企业画像分析等，将企业的经营状况与同行业其他企业进行比较，构建多企业画像并分析行业的趋势和发展情况，提供有关企业在行业中的竞争地位和市场表现的洞察。</w:t>
      </w:r>
    </w:p>
    <w:p>
      <w:pPr>
        <w:pStyle w:val="9"/>
        <w:ind w:firstLine="560"/>
      </w:pPr>
      <w:r>
        <w:rPr>
          <w:rFonts w:hint="eastAsia"/>
        </w:rPr>
        <w:t>4.评估系统</w:t>
      </w:r>
    </w:p>
    <w:p>
      <w:pPr>
        <w:pStyle w:val="9"/>
        <w:ind w:firstLine="560"/>
      </w:pPr>
      <w:r>
        <w:rPr>
          <w:rFonts w:hint="eastAsia"/>
        </w:rPr>
        <w:t>通过自动评分、智能总结、成熟度评估、成效评估和评估报告、评估算法等模块，系统提供量化的评估结果和具体的改进建议，帮助企业制定和实施数字化转型的战略和计划，并优化数字化转型的效果。</w:t>
      </w:r>
    </w:p>
    <w:p>
      <w:pPr>
        <w:pStyle w:val="9"/>
        <w:ind w:firstLine="560"/>
      </w:pPr>
      <w:r>
        <w:rPr>
          <w:rFonts w:hint="eastAsia"/>
        </w:rPr>
        <w:t>（四）数据场景化应用及价值评估系统</w:t>
      </w:r>
    </w:p>
    <w:p>
      <w:pPr>
        <w:pStyle w:val="9"/>
        <w:ind w:firstLine="560"/>
        <w:rPr>
          <w:rFonts w:hint="eastAsia"/>
        </w:rPr>
      </w:pPr>
      <w:r>
        <w:rPr>
          <w:rFonts w:hint="eastAsia"/>
        </w:rPr>
        <w:t>1.政企数字化评估</w:t>
      </w:r>
    </w:p>
    <w:p>
      <w:pPr>
        <w:pStyle w:val="9"/>
        <w:ind w:firstLine="560"/>
      </w:pPr>
      <w:r>
        <w:rPr>
          <w:rFonts w:hint="eastAsia"/>
        </w:rPr>
        <w:t>含评估文件管理、指标关联展示、搜索与过滤及分析报告等，为数字化评估文件和相关数据分析确定具体的衡量标准，用户可以对相关数据进行精准的评估与分析，帮助确定指标的有效性与价值。</w:t>
      </w:r>
    </w:p>
    <w:p>
      <w:pPr>
        <w:pStyle w:val="9"/>
        <w:ind w:firstLine="560"/>
        <w:rPr>
          <w:rFonts w:hint="eastAsia"/>
        </w:rPr>
      </w:pPr>
      <w:r>
        <w:rPr>
          <w:rFonts w:hint="eastAsia"/>
        </w:rPr>
        <w:t>2. 数据场景化应用及价值评估</w:t>
      </w:r>
    </w:p>
    <w:p>
      <w:pPr>
        <w:pStyle w:val="9"/>
        <w:ind w:firstLine="560"/>
      </w:pPr>
      <w:r>
        <w:rPr>
          <w:rFonts w:hint="eastAsia"/>
        </w:rPr>
        <w:t>含数据资产输入、数据资产评价模型、数据评价报告等，实现数据的集中存储和统一管理、配置可视化报告及展示分析，帮助用户发现数据价值。</w:t>
      </w:r>
    </w:p>
    <w:p>
      <w:pPr>
        <w:pStyle w:val="9"/>
        <w:ind w:firstLine="560"/>
      </w:pPr>
      <w:r>
        <w:rPr>
          <w:rFonts w:hint="eastAsia"/>
        </w:rPr>
        <w:t>（五）供需撮合系统</w:t>
      </w:r>
    </w:p>
    <w:p>
      <w:pPr>
        <w:pStyle w:val="9"/>
        <w:ind w:firstLine="560"/>
      </w:pPr>
      <w:r>
        <w:rPr>
          <w:rFonts w:hint="eastAsia"/>
        </w:rPr>
        <w:t>1.专家服务清单</w:t>
      </w:r>
    </w:p>
    <w:p>
      <w:pPr>
        <w:pStyle w:val="9"/>
        <w:ind w:firstLine="560"/>
      </w:pPr>
      <w:r>
        <w:rPr>
          <w:rFonts w:hint="eastAsia"/>
        </w:rPr>
        <w:t>综合列出可提供数字化转型相关咨询、培训、实施等专业服务的专家和机构，含专家信息和评价与反馈等，企业可以根据自身需求，在清单中搜索和筛选合适的专家，并进行预约或洽谈服务。</w:t>
      </w:r>
    </w:p>
    <w:p>
      <w:pPr>
        <w:pStyle w:val="9"/>
        <w:ind w:firstLine="560"/>
      </w:pPr>
      <w:r>
        <w:rPr>
          <w:rFonts w:hint="eastAsia"/>
        </w:rPr>
        <w:t>2.产品资源展示</w:t>
      </w:r>
    </w:p>
    <w:p>
      <w:pPr>
        <w:pStyle w:val="9"/>
        <w:ind w:firstLine="560"/>
      </w:pPr>
      <w:r>
        <w:rPr>
          <w:rFonts w:hint="eastAsia"/>
        </w:rPr>
        <w:t>综合列出与数字化转型相关的各类产品和解决方案，含产品分类与目录、产品展示、产品搜素与筛选、产品评价与评论等，企业可以浏览和比较不同产品资源的功能、性能、价格等信息，选择感兴趣并适合自己的产品。</w:t>
      </w:r>
    </w:p>
    <w:p>
      <w:pPr>
        <w:pStyle w:val="9"/>
        <w:ind w:firstLine="560"/>
      </w:pPr>
      <w:r>
        <w:rPr>
          <w:rFonts w:hint="eastAsia"/>
        </w:rPr>
        <w:t>3.数据资源对接</w:t>
      </w:r>
    </w:p>
    <w:p>
      <w:pPr>
        <w:pStyle w:val="9"/>
        <w:ind w:firstLine="560"/>
      </w:pPr>
      <w:r>
        <w:rPr>
          <w:rFonts w:hint="eastAsia"/>
        </w:rPr>
        <w:t>对接集中管理数据资源，含数据分类与目录、数据预览与查询、数据质量与安全、数据共享与合作、数据许可与授权、数据价值评估等，企业可以获取所需的数据资源，支持数字化转型过程中的数据分析和决策。</w:t>
      </w:r>
    </w:p>
    <w:p>
      <w:pPr>
        <w:pStyle w:val="9"/>
        <w:ind w:firstLine="560"/>
      </w:pPr>
      <w:r>
        <w:rPr>
          <w:rFonts w:hint="eastAsia"/>
        </w:rPr>
        <w:t>4.金融资金匹配</w:t>
      </w:r>
    </w:p>
    <w:p>
      <w:pPr>
        <w:pStyle w:val="9"/>
        <w:ind w:firstLine="560"/>
      </w:pPr>
      <w:r>
        <w:rPr>
          <w:rFonts w:hint="eastAsia"/>
        </w:rPr>
        <w:t>含申请与审核、资金匹配、资金监控与执行、绩效评估等功能模块，提供数字化转型相关的金融资金支持信息，包括金融机构贷款资金申请指南等，企业可以了解各种数字化转型政策和资金的适用条件和申请流程，并进行匹配和申请。</w:t>
      </w:r>
    </w:p>
    <w:p>
      <w:pPr>
        <w:pStyle w:val="9"/>
        <w:ind w:firstLine="560"/>
      </w:pPr>
      <w:r>
        <w:rPr>
          <w:rFonts w:hint="eastAsia"/>
        </w:rPr>
        <w:t>5.专业人才推荐</w:t>
      </w:r>
    </w:p>
    <w:p>
      <w:pPr>
        <w:pStyle w:val="9"/>
        <w:ind w:firstLine="560"/>
      </w:pPr>
      <w:r>
        <w:rPr>
          <w:rFonts w:hint="eastAsia"/>
        </w:rPr>
        <w:t>与相关人才平台对接，列出与数字化转型相关的专业人才推荐服务，含人才推荐与匹配、推荐算法及管理，企业可以发布人才需求，系统会根据企业需求和人才数据库进行匹配，推荐合适的专业人才。</w:t>
      </w:r>
    </w:p>
    <w:p>
      <w:pPr>
        <w:pStyle w:val="9"/>
        <w:ind w:firstLine="560"/>
      </w:pPr>
      <w:r>
        <w:rPr>
          <w:rFonts w:hint="eastAsia"/>
        </w:rPr>
        <w:t>（六）政策服务系统</w:t>
      </w:r>
    </w:p>
    <w:p>
      <w:pPr>
        <w:pStyle w:val="9"/>
        <w:ind w:firstLine="560"/>
      </w:pPr>
      <w:r>
        <w:rPr>
          <w:rFonts w:hint="eastAsia"/>
        </w:rPr>
        <w:t>1.政策搜索及筛选</w:t>
      </w:r>
    </w:p>
    <w:p>
      <w:pPr>
        <w:pStyle w:val="9"/>
        <w:ind w:firstLine="560"/>
      </w:pPr>
      <w:r>
        <w:rPr>
          <w:rFonts w:hint="eastAsia"/>
        </w:rPr>
        <w:t>用户可以通过关键词、分类筛选、时间范围筛选、收藏和历史记录、详细政策信息展示等功能模块，满足不同的数字化转型政策查询需求，快速搜索和查找相关政策。</w:t>
      </w:r>
    </w:p>
    <w:p>
      <w:pPr>
        <w:pStyle w:val="9"/>
        <w:ind w:firstLine="560"/>
      </w:pPr>
      <w:r>
        <w:rPr>
          <w:rFonts w:hint="eastAsia"/>
        </w:rPr>
        <w:t>2.智能匹配与推送</w:t>
      </w:r>
    </w:p>
    <w:p>
      <w:pPr>
        <w:pStyle w:val="9"/>
        <w:ind w:firstLine="560"/>
      </w:pPr>
      <w:r>
        <w:rPr>
          <w:rFonts w:hint="eastAsia"/>
        </w:rPr>
        <w:t>含用户画像、政策内容特征与标签、匹配模型训练及评估、推荐策略与排序、推送引擎与通知等功能模块，通过与企业信息的匹配，自动筛选和推送符合企业需求和资格的政策。</w:t>
      </w:r>
    </w:p>
    <w:p>
      <w:pPr>
        <w:pStyle w:val="9"/>
        <w:ind w:firstLine="560"/>
      </w:pPr>
      <w:r>
        <w:rPr>
          <w:rFonts w:hint="eastAsia"/>
        </w:rPr>
        <w:t>3.政策解读和解答</w:t>
      </w:r>
    </w:p>
    <w:p>
      <w:pPr>
        <w:pStyle w:val="9"/>
        <w:ind w:firstLine="560"/>
      </w:pPr>
      <w:r>
        <w:rPr>
          <w:rFonts w:hint="eastAsia"/>
        </w:rPr>
        <w:t>含政策解读、问题识别、解答生成、用户交互、更新与维护等功能模块，用户可以提出对政策的疑问和问题，系统会通过智能引擎进行解答，并提供相应的解读和指导。</w:t>
      </w:r>
    </w:p>
    <w:p>
      <w:pPr>
        <w:pStyle w:val="9"/>
        <w:ind w:firstLine="560"/>
      </w:pPr>
      <w:r>
        <w:rPr>
          <w:rFonts w:hint="eastAsia"/>
        </w:rPr>
        <w:t>4.政策申请指导</w:t>
      </w:r>
    </w:p>
    <w:p>
      <w:pPr>
        <w:pStyle w:val="9"/>
        <w:ind w:firstLine="560"/>
      </w:pPr>
      <w:r>
        <w:rPr>
          <w:rFonts w:hint="eastAsia"/>
        </w:rPr>
        <w:t>含政策申请资格评估、申请指南指导、材料准备辅助、申请进度查询、咨询和支持等功能模块，用户可以获得政策申请的流程、所需材料等相关指导，并在申请过程中获取系统的辅助和支持。</w:t>
      </w:r>
    </w:p>
    <w:p>
      <w:pPr>
        <w:pStyle w:val="9"/>
        <w:ind w:firstLine="560"/>
      </w:pPr>
      <w:r>
        <w:rPr>
          <w:rFonts w:hint="eastAsia"/>
        </w:rPr>
        <w:t>5.政策跟踪和提醒</w:t>
      </w:r>
    </w:p>
    <w:p>
      <w:pPr>
        <w:pStyle w:val="9"/>
        <w:ind w:firstLine="560"/>
      </w:pPr>
      <w:r>
        <w:rPr>
          <w:rFonts w:hint="eastAsia"/>
        </w:rPr>
        <w:t>含政策信息收集、政策解读分析、个性化政策跟踪、提醒和通知、政策影响评估等功能模块，可以跟踪用户关注的政策动态，并定期向用户发送政策更新和提醒，以便用户及时了解与自身相关的政策变化。</w:t>
      </w:r>
    </w:p>
    <w:p>
      <w:pPr>
        <w:pStyle w:val="9"/>
        <w:ind w:firstLine="560"/>
      </w:pPr>
      <w:r>
        <w:rPr>
          <w:rFonts w:hint="eastAsia"/>
        </w:rPr>
        <w:t>（七）数据可视化系统</w:t>
      </w:r>
    </w:p>
    <w:p>
      <w:pPr>
        <w:pStyle w:val="9"/>
        <w:ind w:firstLine="560"/>
      </w:pPr>
      <w:r>
        <w:rPr>
          <w:rFonts w:hint="eastAsia"/>
        </w:rPr>
        <w:t>1.企业地图</w:t>
      </w:r>
    </w:p>
    <w:p>
      <w:pPr>
        <w:pStyle w:val="9"/>
        <w:ind w:firstLine="560"/>
      </w:pPr>
      <w:r>
        <w:rPr>
          <w:rFonts w:hint="eastAsia"/>
        </w:rPr>
        <w:t>对地图企业分布情况及信息、分类</w:t>
      </w:r>
      <w:r>
        <w:rPr>
          <w:rFonts w:hint="eastAsia" w:hAnsi="仿宋_GB2312" w:cs="仿宋_GB2312"/>
        </w:rPr>
        <w:t>筛选及交互功能、企业地图数据导出等进行分析和处理，直观地了解不同地区的企业分布和数字化转型的整体情况，从而为决策和资源配置提供参考依据。</w:t>
      </w:r>
    </w:p>
    <w:p>
      <w:pPr>
        <w:pStyle w:val="9"/>
        <w:ind w:firstLine="560"/>
      </w:pPr>
      <w:r>
        <w:rPr>
          <w:rFonts w:hint="eastAsia"/>
        </w:rPr>
        <w:t>2.全区数字化转型概览</w:t>
      </w:r>
    </w:p>
    <w:p>
      <w:pPr>
        <w:pStyle w:val="9"/>
        <w:ind w:firstLine="560"/>
      </w:pPr>
      <w:r>
        <w:rPr>
          <w:rFonts w:hint="eastAsia"/>
        </w:rPr>
        <w:t>对全区企业进行数字化转型覆盖率、应用程度、关键指标趋势分析、可视化图表展示、基准对比分析、预测及模型管理等内容进行</w:t>
      </w:r>
      <w:r>
        <w:rPr>
          <w:rFonts w:hint="eastAsia" w:hAnsi="仿宋_GB2312" w:cs="仿宋_GB2312"/>
        </w:rPr>
        <w:t>分析和处理，直观地了解不同地区数字化转型的整体情况</w:t>
      </w:r>
      <w:r>
        <w:rPr>
          <w:rFonts w:hint="eastAsia"/>
        </w:rPr>
        <w:t>。</w:t>
      </w:r>
    </w:p>
    <w:p>
      <w:pPr>
        <w:pStyle w:val="9"/>
        <w:ind w:firstLine="560"/>
      </w:pPr>
      <w:r>
        <w:rPr>
          <w:rFonts w:hint="eastAsia"/>
        </w:rPr>
        <w:t>3.行业促进中心数据概览</w:t>
      </w:r>
    </w:p>
    <w:p>
      <w:pPr>
        <w:pStyle w:val="9"/>
        <w:ind w:firstLine="560"/>
      </w:pPr>
      <w:r>
        <w:rPr>
          <w:rFonts w:hint="eastAsia"/>
        </w:rPr>
        <w:t>对行业分类、参与企业数量、转型项目进展、项目类型和特征及历史数据和趋势分析等内容进行分析和处理，以便用户快速了解不同行业的数字化转型情况。</w:t>
      </w:r>
    </w:p>
    <w:p>
      <w:pPr>
        <w:pStyle w:val="9"/>
        <w:ind w:firstLine="560"/>
      </w:pPr>
      <w:r>
        <w:rPr>
          <w:rFonts w:hint="eastAsia"/>
        </w:rPr>
        <w:t>4.区域促进中心数据概览</w:t>
      </w:r>
    </w:p>
    <w:p>
      <w:pPr>
        <w:pStyle w:val="9"/>
        <w:ind w:firstLine="560"/>
      </w:pPr>
      <w:r>
        <w:rPr>
          <w:rFonts w:hint="eastAsia"/>
        </w:rPr>
        <w:t>对地市分类、转型投资额、转型项目进展、区域特点和优势及历史数据和趋势分析等内容进行分析和处理，帮助决策者和相关机构了解不同地市数字化转型的状况和趋势。</w:t>
      </w:r>
    </w:p>
    <w:p>
      <w:pPr>
        <w:pStyle w:val="9"/>
        <w:ind w:firstLine="560"/>
      </w:pPr>
      <w:r>
        <w:rPr>
          <w:rFonts w:hint="eastAsia"/>
        </w:rPr>
        <w:t>5.全区数字经济发展概览</w:t>
      </w:r>
    </w:p>
    <w:p>
      <w:pPr>
        <w:pStyle w:val="9"/>
        <w:ind w:firstLine="560"/>
      </w:pPr>
      <w:r>
        <w:rPr>
          <w:rFonts w:hint="eastAsia"/>
        </w:rPr>
        <w:t>对数字经济规模、增长趋势、领域分布、就业情况及政策支持、历史数据和趋势分析等内容进行分析和处理，帮助用户了解全区数字经济的规模、增长趋势以及相关领域的发展情况。</w:t>
      </w:r>
    </w:p>
    <w:p>
      <w:pPr>
        <w:pStyle w:val="9"/>
        <w:ind w:firstLine="560"/>
      </w:pPr>
      <w:r>
        <w:rPr>
          <w:rFonts w:hint="eastAsia"/>
        </w:rPr>
        <w:t>（八）大模型服务系统</w:t>
      </w:r>
    </w:p>
    <w:p>
      <w:pPr>
        <w:pStyle w:val="9"/>
        <w:ind w:firstLine="560"/>
      </w:pPr>
      <w:r>
        <w:rPr>
          <w:rFonts w:hint="eastAsia"/>
        </w:rPr>
        <w:t>1.虚拟数字人知识问答</w:t>
      </w:r>
    </w:p>
    <w:p>
      <w:pPr>
        <w:pStyle w:val="9"/>
        <w:ind w:firstLine="560"/>
      </w:pPr>
      <w:r>
        <w:rPr>
          <w:rFonts w:hint="eastAsia"/>
        </w:rPr>
        <w:t>结合行业、区域、企业以及客户私有知识进行优化训练，提供基于大模型的虚拟数字人客服知识问答模型，含行业数据管理、停用词分组管理、知识库管理及提示工程管理、用户检索等功能模块，通过深度学习和自然语言处理技术，使得数字化转型虚拟数字人能够理解企业和个人用户提出的问题，并提供准确、详细的答案。</w:t>
      </w:r>
    </w:p>
    <w:p>
      <w:pPr>
        <w:pStyle w:val="9"/>
        <w:ind w:firstLine="560"/>
      </w:pPr>
      <w:r>
        <w:rPr>
          <w:rFonts w:hint="eastAsia"/>
        </w:rPr>
        <w:t>2.全息数字人客服</w:t>
      </w:r>
    </w:p>
    <w:p>
      <w:pPr>
        <w:pStyle w:val="9"/>
        <w:ind w:firstLine="560"/>
      </w:pPr>
      <w:r>
        <w:rPr>
          <w:rFonts w:hint="eastAsia"/>
        </w:rPr>
        <w:t>作为虚拟数字人，可以根据数字化转型服务场景进行定制虚拟数字外观、语音等特征，含唇形同步辨别器训练、数字人原型任务管理、检索结果转语音等功能模块，为数字化转型企业服务提供良好的服务效果和体验，满足促进中心转型服务宣传交互需求。</w:t>
      </w:r>
    </w:p>
    <w:p>
      <w:pPr>
        <w:pStyle w:val="9"/>
        <w:ind w:firstLine="560"/>
      </w:pPr>
      <w:r>
        <w:rPr>
          <w:rFonts w:hint="eastAsia"/>
        </w:rPr>
        <w:t>3.用户语义识别服务</w:t>
      </w:r>
    </w:p>
    <w:p>
      <w:pPr>
        <w:pStyle w:val="9"/>
        <w:ind w:firstLine="560"/>
      </w:pPr>
      <w:r>
        <w:rPr>
          <w:rFonts w:hint="eastAsia"/>
        </w:rPr>
        <w:t>通过大语言模型识别对话方的情绪状态，含服务评价客户满意度分析、舆情事件用户语义分析等功能模块，分辨出正面、负面、中立帮助在数字化转型过程中更好地理解和分析用户需求，改善数字化转型诊断评估服务质量、人机交互体验、舆情事件分析能力。</w:t>
      </w:r>
    </w:p>
    <w:p>
      <w:pPr>
        <w:pStyle w:val="9"/>
        <w:ind w:firstLine="560"/>
      </w:pPr>
      <w:r>
        <w:rPr>
          <w:rFonts w:hint="eastAsia"/>
        </w:rPr>
        <w:t>4.一键式智能搜索</w:t>
      </w:r>
    </w:p>
    <w:p>
      <w:pPr>
        <w:pStyle w:val="9"/>
        <w:ind w:firstLine="560"/>
      </w:pPr>
      <w:r>
        <w:rPr>
          <w:rFonts w:hint="eastAsia"/>
        </w:rPr>
        <w:t>通过AI搜索能力，将诊断评估用户以自然语言进行表达输入的交互信息，含行业数据集构建、行业模型训练、智能搜索等功能模块，结合企业、个人的行业、区域、业务领域知识进行深入搜索问答，输出精准、有效、个性化的搜索结果。</w:t>
      </w:r>
    </w:p>
    <w:p>
      <w:pPr>
        <w:pStyle w:val="9"/>
        <w:ind w:firstLine="560"/>
      </w:pPr>
      <w:r>
        <w:rPr>
          <w:rFonts w:hint="eastAsia"/>
        </w:rPr>
        <w:t>5.业务智能推荐</w:t>
      </w:r>
    </w:p>
    <w:p>
      <w:pPr>
        <w:pStyle w:val="9"/>
        <w:ind w:firstLine="560"/>
      </w:pPr>
      <w:r>
        <w:rPr>
          <w:rFonts w:hint="eastAsia"/>
        </w:rPr>
        <w:t>通过分析企业、行业、政策、区域等静态信息，以及行业态势、业务应用、市场偏好等动态信息，进行诊断评估企业、个人用户服务内容的智能推荐，帮助诊断评估企业、个人用户快速定位到数字化转型相关的需求。</w:t>
      </w:r>
    </w:p>
    <w:p>
      <w:pPr>
        <w:pStyle w:val="9"/>
        <w:ind w:firstLine="560"/>
      </w:pPr>
      <w:r>
        <w:rPr>
          <w:rFonts w:hint="eastAsia"/>
        </w:rPr>
        <w:t>6.报告内容概要提取</w:t>
      </w:r>
    </w:p>
    <w:p>
      <w:pPr>
        <w:pStyle w:val="9"/>
        <w:ind w:firstLine="560"/>
      </w:pPr>
      <w:r>
        <w:rPr>
          <w:rFonts w:hint="eastAsia"/>
        </w:rPr>
        <w:t>通过基于大模型的文本摘要捕捉，提取报告内容概要识别并总结报告中的主要信息和要点，帮助诊断评估企业及个人用户在短时间内高效准确的了解数字化转型文件、报告核心内容。</w:t>
      </w:r>
    </w:p>
    <w:p>
      <w:pPr>
        <w:pStyle w:val="9"/>
        <w:ind w:firstLine="560"/>
      </w:pPr>
      <w:r>
        <w:rPr>
          <w:rFonts w:hint="eastAsia"/>
        </w:rPr>
        <w:t>（九）对接融合系统</w:t>
      </w:r>
    </w:p>
    <w:p>
      <w:pPr>
        <w:pStyle w:val="9"/>
        <w:ind w:firstLine="560"/>
      </w:pPr>
      <w:r>
        <w:rPr>
          <w:rFonts w:hint="eastAsia"/>
        </w:rPr>
        <w:t>对接自治区已建成的大数据创新合作平台，包括中国-东盟信息港鲲鹏生态创新中心、中国-东盟区块链创新中心、广西适配认证中心、自治区统一身份认证系统、广西工业互联网平台、广西中小企业公共服务平台、广西惠企惠民政策兑现平台、自治区公共数据开放平台对接，并预留与地理信息公共服务平台、知识产权、法律和教育服务等平台对接接口，面向全区持续推进相关大数据创新资源复用，提供IT、研发等创新开放能力共享。</w:t>
      </w:r>
    </w:p>
    <w:p>
      <w:pPr>
        <w:pStyle w:val="9"/>
        <w:numPr>
          <w:ilvl w:val="0"/>
          <w:numId w:val="1"/>
        </w:numPr>
        <w:ind w:firstLineChars="0"/>
        <w:outlineLvl w:val="0"/>
        <w:rPr>
          <w:rFonts w:hint="eastAsia" w:ascii="黑体" w:hAnsi="黑体" w:eastAsia="黑体"/>
          <w:sz w:val="32"/>
          <w:szCs w:val="24"/>
        </w:rPr>
      </w:pPr>
      <w:bookmarkStart w:id="9" w:name="_Toc170136642"/>
      <w:r>
        <w:rPr>
          <w:rFonts w:hint="eastAsia" w:ascii="黑体" w:hAnsi="黑体" w:eastAsia="黑体"/>
          <w:sz w:val="32"/>
          <w:szCs w:val="24"/>
        </w:rPr>
        <w:t>项目建设周期</w:t>
      </w:r>
      <w:bookmarkEnd w:id="9"/>
    </w:p>
    <w:p>
      <w:pPr>
        <w:pStyle w:val="9"/>
        <w:ind w:firstLine="560"/>
      </w:pPr>
      <w:r>
        <w:rPr>
          <w:rFonts w:hint="eastAsia"/>
        </w:rPr>
        <w:t>本项目建设周期分为前期工作阶段和项目建设阶段，共计30个月，从2022年12月至2025年6月结束。</w:t>
      </w:r>
    </w:p>
    <w:p>
      <w:pPr>
        <w:pStyle w:val="9"/>
        <w:ind w:firstLine="560"/>
      </w:pPr>
      <w:r>
        <w:rPr>
          <w:rFonts w:hint="eastAsia"/>
        </w:rPr>
        <w:t>前期工作阶段（2022年12月底～2024年9月底）的工作为需求分析和调研、方案编制（包括需求分析和调研、项目建议书编制及报批、项目可行性研究报告编制及报批、初步设计编制及报批、项目概算申报和预算落实等）。</w:t>
      </w:r>
    </w:p>
    <w:p>
      <w:pPr>
        <w:pStyle w:val="9"/>
        <w:ind w:firstLine="560"/>
      </w:pPr>
      <w:r>
        <w:rPr>
          <w:rFonts w:hint="eastAsia"/>
        </w:rPr>
        <w:t>项目建设阶段（2024年10月初～2025年6月底）的工作包括编制招标文件，进行工程及服务招标，完成系统开发环境建设，单项系统开发，数据整合、系统集成、系统调试、系统上线推广和人员培训，完成项目初验、试运行和完成项目竣工验收等。</w:t>
      </w:r>
    </w:p>
    <w:p>
      <w:pPr>
        <w:pStyle w:val="9"/>
        <w:ind w:firstLine="560"/>
      </w:pPr>
      <w:r>
        <w:rPr>
          <w:rFonts w:hint="eastAsia"/>
        </w:rPr>
        <w:t>项目具体实施进度计划如下：</w:t>
      </w:r>
    </w:p>
    <w:p>
      <w:pPr>
        <w:pStyle w:val="9"/>
        <w:ind w:firstLine="560"/>
        <w:rPr>
          <w:rFonts w:hint="eastAsia"/>
        </w:rPr>
      </w:pPr>
      <w:r>
        <w:rPr>
          <w:rFonts w:hint="eastAsia"/>
        </w:rPr>
        <w:t>2022年12月中至2023年10月底，完成项目需求调研分析；</w:t>
      </w:r>
    </w:p>
    <w:p>
      <w:pPr>
        <w:pStyle w:val="9"/>
        <w:ind w:firstLine="560"/>
        <w:rPr>
          <w:rFonts w:hint="eastAsia"/>
        </w:rPr>
      </w:pPr>
      <w:r>
        <w:rPr>
          <w:rFonts w:hint="eastAsia"/>
        </w:rPr>
        <w:t>2023年11月初至2024年2月底，完成项目建议书编制及评审；</w:t>
      </w:r>
    </w:p>
    <w:p>
      <w:pPr>
        <w:pStyle w:val="9"/>
        <w:ind w:firstLine="560"/>
        <w:rPr>
          <w:rFonts w:hint="eastAsia"/>
        </w:rPr>
      </w:pPr>
      <w:r>
        <w:rPr>
          <w:rFonts w:hint="eastAsia"/>
        </w:rPr>
        <w:t>2024年3月初至2024年9月底，完成项目可行性研究报告编制及评审；</w:t>
      </w:r>
    </w:p>
    <w:p>
      <w:pPr>
        <w:pStyle w:val="9"/>
        <w:ind w:firstLine="560"/>
        <w:rPr>
          <w:rFonts w:hint="eastAsia"/>
        </w:rPr>
      </w:pPr>
      <w:r>
        <w:rPr>
          <w:rFonts w:hint="eastAsia"/>
        </w:rPr>
        <w:t>2024年9月初至2024年9月底，完成项目初步设计及投资概算方案编制及评审；</w:t>
      </w:r>
    </w:p>
    <w:p>
      <w:pPr>
        <w:pStyle w:val="9"/>
        <w:ind w:firstLine="560"/>
        <w:rPr>
          <w:rFonts w:hint="eastAsia"/>
        </w:rPr>
      </w:pPr>
      <w:r>
        <w:rPr>
          <w:rFonts w:hint="eastAsia"/>
        </w:rPr>
        <w:t>2024年10月初至2024年11月底，完成项目招标采购；</w:t>
      </w:r>
    </w:p>
    <w:p>
      <w:pPr>
        <w:pStyle w:val="9"/>
        <w:ind w:firstLine="560"/>
        <w:rPr>
          <w:rFonts w:hint="eastAsia"/>
        </w:rPr>
      </w:pPr>
      <w:r>
        <w:rPr>
          <w:rFonts w:hint="eastAsia"/>
        </w:rPr>
        <w:t>2024年11月初至2024年12月底，完成项目公共服务平台智能评估系统功能模块开发工作和数据场景化应用及价值评估系统功能模块开发工作；</w:t>
      </w:r>
    </w:p>
    <w:p>
      <w:pPr>
        <w:pStyle w:val="9"/>
        <w:ind w:firstLine="560"/>
        <w:rPr>
          <w:rFonts w:hint="eastAsia"/>
        </w:rPr>
      </w:pPr>
      <w:r>
        <w:rPr>
          <w:rFonts w:hint="eastAsia"/>
        </w:rPr>
        <w:t>2025年1月初至2025年4月底，完成公共服务平台余下的平台门户、综合支撑系统、供需撮合系统、政策服务系统、数据可视化系统、大模型服务系统、对接融合系统等功能模块开发工作；</w:t>
      </w:r>
    </w:p>
    <w:p>
      <w:pPr>
        <w:pStyle w:val="9"/>
        <w:ind w:firstLine="560"/>
        <w:rPr>
          <w:rFonts w:hint="eastAsia"/>
        </w:rPr>
      </w:pPr>
      <w:r>
        <w:rPr>
          <w:rFonts w:hint="eastAsia"/>
        </w:rPr>
        <w:t>2025年5月初至2025年5月底，项目系统集成、系统调试、上线推广和人员培训；</w:t>
      </w:r>
    </w:p>
    <w:p>
      <w:pPr>
        <w:pStyle w:val="9"/>
        <w:ind w:firstLine="560"/>
      </w:pPr>
      <w:r>
        <w:rPr>
          <w:rFonts w:hint="eastAsia"/>
        </w:rPr>
        <w:t>2025年6月初至2025年6月底，完成项目系统试运行、初步验收及终验。</w:t>
      </w:r>
    </w:p>
    <w:p>
      <w:pPr>
        <w:pStyle w:val="9"/>
        <w:numPr>
          <w:ilvl w:val="0"/>
          <w:numId w:val="1"/>
        </w:numPr>
        <w:ind w:firstLineChars="0"/>
        <w:outlineLvl w:val="0"/>
        <w:rPr>
          <w:rFonts w:hint="eastAsia" w:ascii="黑体" w:hAnsi="黑体" w:eastAsia="黑体"/>
          <w:sz w:val="32"/>
          <w:szCs w:val="24"/>
        </w:rPr>
      </w:pPr>
      <w:bookmarkStart w:id="10" w:name="_Toc170136643"/>
      <w:r>
        <w:rPr>
          <w:rFonts w:hint="eastAsia" w:ascii="黑体" w:hAnsi="黑体" w:eastAsia="黑体"/>
          <w:sz w:val="32"/>
          <w:szCs w:val="24"/>
        </w:rPr>
        <w:t>项目总投资概算及资金来源</w:t>
      </w:r>
      <w:bookmarkEnd w:id="10"/>
    </w:p>
    <w:p>
      <w:pPr>
        <w:pStyle w:val="9"/>
        <w:ind w:firstLine="560"/>
      </w:pPr>
      <w:bookmarkStart w:id="14" w:name="_GoBack"/>
      <w:bookmarkEnd w:id="14"/>
      <w:r>
        <w:rPr>
          <w:rFonts w:hint="eastAsia"/>
        </w:rPr>
        <w:t>项目资金使用将按照总体设计、分步实施、突出重点、保证质量的原则,根据项目建设需求急用程度及建设周期、进度和工程组织实施的工程量进行安排，2024年完成智能评估系统建设和数据场景化应用及价值评估系统建设，2025年完成余下的平台门户、综合支撑系统、供需撮合系统、政策服务系统、数据可视化系统、大模型服务系统、对接融合系统等功能模块建设，相应投资计划如下：</w:t>
      </w:r>
    </w:p>
    <w:tbl>
      <w:tblPr>
        <w:tblStyle w:val="6"/>
        <w:tblW w:w="0" w:type="auto"/>
        <w:jc w:val="center"/>
        <w:tblLayout w:type="autofit"/>
        <w:tblCellMar>
          <w:top w:w="0" w:type="dxa"/>
          <w:left w:w="108" w:type="dxa"/>
          <w:bottom w:w="0" w:type="dxa"/>
          <w:right w:w="108" w:type="dxa"/>
        </w:tblCellMar>
      </w:tblPr>
      <w:tblGrid>
        <w:gridCol w:w="833"/>
        <w:gridCol w:w="1533"/>
        <w:gridCol w:w="2783"/>
        <w:gridCol w:w="3373"/>
      </w:tblGrid>
      <w:tr>
        <w:tblPrEx>
          <w:tblCellMar>
            <w:top w:w="0" w:type="dxa"/>
            <w:left w:w="108" w:type="dxa"/>
            <w:bottom w:w="0" w:type="dxa"/>
            <w:right w:w="108" w:type="dxa"/>
          </w:tblCellMar>
        </w:tblPrEx>
        <w:trPr>
          <w:trHeight w:val="285"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b/>
                <w:bCs/>
                <w:sz w:val="24"/>
                <w:szCs w:val="24"/>
              </w:rPr>
            </w:pPr>
            <w:r>
              <w:rPr>
                <w:rFonts w:hint="eastAsia"/>
                <w:b/>
                <w:bCs/>
                <w:sz w:val="24"/>
                <w:szCs w:val="24"/>
              </w:rPr>
              <w:t>序号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b/>
                <w:bCs/>
                <w:sz w:val="24"/>
                <w:szCs w:val="24"/>
              </w:rPr>
            </w:pPr>
            <w:r>
              <w:rPr>
                <w:rFonts w:hint="eastAsia"/>
                <w:b/>
                <w:bCs/>
                <w:sz w:val="24"/>
                <w:szCs w:val="24"/>
              </w:rPr>
              <w:t>年度</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b/>
                <w:bCs/>
                <w:sz w:val="24"/>
                <w:szCs w:val="24"/>
              </w:rPr>
            </w:pPr>
            <w:r>
              <w:rPr>
                <w:rFonts w:hint="eastAsia"/>
                <w:b/>
                <w:bCs/>
                <w:sz w:val="24"/>
                <w:szCs w:val="24"/>
              </w:rPr>
              <w:t>投资计划（万元）</w:t>
            </w:r>
          </w:p>
        </w:tc>
        <w:tc>
          <w:tcPr>
            <w:tcW w:w="343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b/>
                <w:bCs/>
                <w:sz w:val="24"/>
                <w:szCs w:val="24"/>
              </w:rPr>
            </w:pPr>
            <w:r>
              <w:rPr>
                <w:rFonts w:hint="eastAsia"/>
                <w:b/>
                <w:bCs/>
                <w:sz w:val="24"/>
                <w:szCs w:val="24"/>
              </w:rPr>
              <w:t>说明</w:t>
            </w:r>
          </w:p>
        </w:tc>
      </w:tr>
      <w:tr>
        <w:tblPrEx>
          <w:tblCellMar>
            <w:top w:w="0" w:type="dxa"/>
            <w:left w:w="108" w:type="dxa"/>
            <w:bottom w:w="0" w:type="dxa"/>
            <w:right w:w="108" w:type="dxa"/>
          </w:tblCellMar>
        </w:tblPrEx>
        <w:trPr>
          <w:trHeight w:val="285"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4"/>
                <w:szCs w:val="24"/>
              </w:rPr>
            </w:pPr>
            <w:r>
              <w:rPr>
                <w:rFonts w:hint="eastAsia"/>
                <w:sz w:val="24"/>
                <w:szCs w:val="24"/>
              </w:rPr>
              <w:t>1</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4"/>
                <w:szCs w:val="24"/>
              </w:rPr>
            </w:pPr>
            <w:r>
              <w:rPr>
                <w:rFonts w:hint="eastAsia"/>
                <w:sz w:val="24"/>
                <w:szCs w:val="24"/>
              </w:rPr>
              <w:t>2024</w:t>
            </w:r>
          </w:p>
        </w:tc>
        <w:tc>
          <w:tcPr>
            <w:tcW w:w="2835"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4"/>
                <w:szCs w:val="24"/>
              </w:rPr>
            </w:pPr>
          </w:p>
        </w:tc>
        <w:tc>
          <w:tcPr>
            <w:tcW w:w="3436"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sz w:val="24"/>
                <w:szCs w:val="24"/>
              </w:rPr>
            </w:pPr>
            <w:r>
              <w:rPr>
                <w:rFonts w:hint="eastAsia"/>
                <w:sz w:val="24"/>
                <w:szCs w:val="24"/>
              </w:rPr>
              <w:t>项目分年度分步实施</w:t>
            </w:r>
          </w:p>
        </w:tc>
      </w:tr>
      <w:tr>
        <w:tblPrEx>
          <w:tblCellMar>
            <w:top w:w="0" w:type="dxa"/>
            <w:left w:w="108" w:type="dxa"/>
            <w:bottom w:w="0" w:type="dxa"/>
            <w:right w:w="108" w:type="dxa"/>
          </w:tblCellMar>
        </w:tblPrEx>
        <w:trPr>
          <w:trHeight w:val="285"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4"/>
                <w:szCs w:val="24"/>
              </w:rPr>
            </w:pPr>
            <w:r>
              <w:rPr>
                <w:rFonts w:hint="eastAsia"/>
                <w:sz w:val="24"/>
                <w:szCs w:val="24"/>
              </w:rPr>
              <w:t>2</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4"/>
                <w:szCs w:val="24"/>
              </w:rPr>
            </w:pPr>
            <w:r>
              <w:rPr>
                <w:rFonts w:hint="eastAsia"/>
                <w:sz w:val="24"/>
                <w:szCs w:val="24"/>
              </w:rPr>
              <w:t>2025</w:t>
            </w:r>
          </w:p>
        </w:tc>
        <w:tc>
          <w:tcPr>
            <w:tcW w:w="2835"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4"/>
                <w:szCs w:val="24"/>
              </w:rPr>
            </w:pPr>
          </w:p>
        </w:tc>
        <w:tc>
          <w:tcPr>
            <w:tcW w:w="3436" w:type="dxa"/>
            <w:vMerge w:val="continue"/>
            <w:tcBorders>
              <w:top w:val="nil"/>
              <w:left w:val="single" w:color="auto" w:sz="4" w:space="0"/>
              <w:bottom w:val="single" w:color="000000" w:sz="4" w:space="0"/>
              <w:right w:val="single" w:color="auto" w:sz="4" w:space="0"/>
            </w:tcBorders>
            <w:vAlign w:val="center"/>
          </w:tcPr>
          <w:p>
            <w:pPr>
              <w:spacing w:line="240" w:lineRule="auto"/>
              <w:jc w:val="center"/>
              <w:rPr>
                <w:sz w:val="24"/>
                <w:szCs w:val="24"/>
              </w:rPr>
            </w:pPr>
          </w:p>
        </w:tc>
      </w:tr>
      <w:tr>
        <w:tblPrEx>
          <w:tblCellMar>
            <w:top w:w="0" w:type="dxa"/>
            <w:left w:w="108" w:type="dxa"/>
            <w:bottom w:w="0" w:type="dxa"/>
            <w:right w:w="108" w:type="dxa"/>
          </w:tblCellMar>
        </w:tblPrEx>
        <w:trPr>
          <w:trHeight w:val="285" w:hRule="atLeast"/>
          <w:jc w:val="center"/>
        </w:trPr>
        <w:tc>
          <w:tcPr>
            <w:tcW w:w="240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sz w:val="24"/>
                <w:szCs w:val="24"/>
              </w:rPr>
            </w:pPr>
            <w:r>
              <w:rPr>
                <w:rFonts w:hint="eastAsia"/>
                <w:sz w:val="24"/>
                <w:szCs w:val="24"/>
              </w:rPr>
              <w:t>总计</w:t>
            </w:r>
          </w:p>
        </w:tc>
        <w:tc>
          <w:tcPr>
            <w:tcW w:w="2835"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4"/>
                <w:szCs w:val="24"/>
              </w:rPr>
            </w:pPr>
          </w:p>
        </w:tc>
        <w:tc>
          <w:tcPr>
            <w:tcW w:w="3436"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4"/>
                <w:szCs w:val="24"/>
              </w:rPr>
            </w:pPr>
          </w:p>
        </w:tc>
      </w:tr>
    </w:tbl>
    <w:p>
      <w:pPr>
        <w:pStyle w:val="9"/>
        <w:ind w:firstLine="560"/>
        <w:sectPr>
          <w:pgSz w:w="11906" w:h="16838"/>
          <w:pgMar w:top="1440" w:right="1800" w:bottom="1440" w:left="1800" w:header="851" w:footer="992" w:gutter="0"/>
          <w:pgNumType w:start="1"/>
          <w:cols w:space="425" w:num="1"/>
          <w:docGrid w:type="lines" w:linePitch="381" w:charSpace="0"/>
        </w:sectPr>
      </w:pPr>
      <w:r>
        <w:rPr>
          <w:rFonts w:hint="eastAsia"/>
        </w:rPr>
        <w:t>总投资概算表及工程建设其他费用表、软硬件配置清单详见以下附表。</w:t>
      </w:r>
    </w:p>
    <w:p>
      <w:pPr>
        <w:outlineLvl w:val="0"/>
        <w:rPr>
          <w:rFonts w:hint="eastAsia" w:ascii="黑体" w:hAnsi="黑体" w:eastAsia="黑体"/>
          <w:sz w:val="32"/>
          <w:szCs w:val="24"/>
        </w:rPr>
      </w:pPr>
      <w:bookmarkStart w:id="11" w:name="_Toc170136644"/>
      <w:r>
        <w:rPr>
          <w:rFonts w:hint="eastAsia" w:ascii="黑体" w:hAnsi="黑体" w:eastAsia="黑体"/>
          <w:sz w:val="32"/>
          <w:szCs w:val="24"/>
        </w:rPr>
        <w:t>附表</w:t>
      </w:r>
      <w:bookmarkEnd w:id="11"/>
    </w:p>
    <w:p>
      <w:pPr>
        <w:pStyle w:val="9"/>
        <w:numPr>
          <w:ilvl w:val="0"/>
          <w:numId w:val="2"/>
        </w:numPr>
        <w:ind w:firstLineChars="0"/>
        <w:outlineLvl w:val="0"/>
        <w:rPr>
          <w:rFonts w:hint="eastAsia" w:ascii="黑体" w:hAnsi="黑体" w:eastAsia="黑体"/>
          <w:sz w:val="32"/>
          <w:szCs w:val="24"/>
        </w:rPr>
      </w:pPr>
      <w:bookmarkStart w:id="12" w:name="_Toc170136645"/>
      <w:r>
        <w:rPr>
          <w:rFonts w:hint="eastAsia" w:ascii="黑体" w:hAnsi="黑体" w:eastAsia="黑体"/>
          <w:sz w:val="32"/>
          <w:szCs w:val="24"/>
        </w:rPr>
        <w:t>项目总投资概算表</w:t>
      </w:r>
      <w:bookmarkEnd w:id="12"/>
    </w:p>
    <w:tbl>
      <w:tblPr>
        <w:tblStyle w:val="6"/>
        <w:tblW w:w="5000" w:type="pct"/>
        <w:tblInd w:w="0" w:type="dxa"/>
        <w:tblLayout w:type="autofit"/>
        <w:tblCellMar>
          <w:top w:w="0" w:type="dxa"/>
          <w:left w:w="108" w:type="dxa"/>
          <w:bottom w:w="0" w:type="dxa"/>
          <w:right w:w="108" w:type="dxa"/>
        </w:tblCellMar>
      </w:tblPr>
      <w:tblGrid>
        <w:gridCol w:w="781"/>
        <w:gridCol w:w="3156"/>
        <w:gridCol w:w="1195"/>
        <w:gridCol w:w="1119"/>
        <w:gridCol w:w="1664"/>
        <w:gridCol w:w="1513"/>
        <w:gridCol w:w="1513"/>
        <w:gridCol w:w="969"/>
        <w:gridCol w:w="2264"/>
      </w:tblGrid>
      <w:tr>
        <w:tblPrEx>
          <w:tblCellMar>
            <w:top w:w="0" w:type="dxa"/>
            <w:left w:w="108" w:type="dxa"/>
            <w:bottom w:w="0" w:type="dxa"/>
            <w:right w:w="108" w:type="dxa"/>
          </w:tblCellMar>
        </w:tblPrEx>
        <w:trPr>
          <w:trHeight w:val="240" w:hRule="atLeast"/>
          <w:tblHeader/>
        </w:trPr>
        <w:tc>
          <w:tcPr>
            <w:tcW w:w="29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0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项目名称</w:t>
            </w:r>
          </w:p>
        </w:tc>
        <w:tc>
          <w:tcPr>
            <w:tcW w:w="1997" w:type="pct"/>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概算造价（万元）</w:t>
            </w:r>
          </w:p>
        </w:tc>
        <w:tc>
          <w:tcPr>
            <w:tcW w:w="5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w:t>
            </w: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投资占比</w:t>
            </w:r>
          </w:p>
        </w:tc>
        <w:tc>
          <w:tcPr>
            <w:tcW w:w="7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CellMar>
            <w:top w:w="0" w:type="dxa"/>
            <w:left w:w="108" w:type="dxa"/>
            <w:bottom w:w="0" w:type="dxa"/>
            <w:right w:w="108" w:type="dxa"/>
          </w:tblCellMar>
        </w:tblPrEx>
        <w:trPr>
          <w:trHeight w:val="240" w:hRule="atLeast"/>
          <w:tblHeader/>
        </w:trPr>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sz w:val="21"/>
                <w:szCs w:val="21"/>
              </w:rPr>
            </w:pPr>
          </w:p>
        </w:tc>
        <w:tc>
          <w:tcPr>
            <w:tcW w:w="10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sz w:val="21"/>
                <w:szCs w:val="21"/>
              </w:rPr>
            </w:pPr>
          </w:p>
        </w:tc>
        <w:tc>
          <w:tcPr>
            <w:tcW w:w="43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安装工程费</w:t>
            </w:r>
          </w:p>
        </w:tc>
        <w:tc>
          <w:tcPr>
            <w:tcW w:w="41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设备购置费</w:t>
            </w:r>
          </w:p>
        </w:tc>
        <w:tc>
          <w:tcPr>
            <w:tcW w:w="602"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软件定制开发费</w:t>
            </w:r>
          </w:p>
        </w:tc>
        <w:tc>
          <w:tcPr>
            <w:tcW w:w="54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其他费用</w:t>
            </w:r>
          </w:p>
        </w:tc>
        <w:tc>
          <w:tcPr>
            <w:tcW w:w="549"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合计</w:t>
            </w:r>
          </w:p>
        </w:tc>
        <w:tc>
          <w:tcPr>
            <w:tcW w:w="35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b/>
                <w:bCs/>
                <w:color w:val="000000"/>
                <w:sz w:val="21"/>
                <w:szCs w:val="21"/>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sz w:val="21"/>
                <w:szCs w:val="21"/>
              </w:rPr>
            </w:pP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w:t>
            </w:r>
          </w:p>
        </w:tc>
        <w:tc>
          <w:tcPr>
            <w:tcW w:w="108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工程费用</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sz w:val="21"/>
                <w:szCs w:val="21"/>
              </w:rPr>
            </w:pPr>
            <w:r>
              <w:rPr>
                <w:rFonts w:hint="eastAsia" w:ascii="宋体" w:hAnsi="宋体" w:eastAsia="宋体" w:cs="宋体"/>
                <w:b/>
                <w:bCs/>
                <w:sz w:val="21"/>
                <w:szCs w:val="21"/>
              </w:rPr>
              <w:t>数字化转型公共服务平台</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1.1</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平台门户</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2025年建设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1.2</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综合支撑系统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2025年建设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1.3</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智能评估系统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2024年建设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1.4</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数据场景化应用及价值评估系统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2024年建设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1.5</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供需撮合系统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2025年建设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1.6</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政策服务系统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2025年建设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1.7</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数据可视化系统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2025年建设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1.8</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大模型服务系统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2025年建设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1.9</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对接融合系统</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2025年建设</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二</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sz w:val="21"/>
                <w:szCs w:val="21"/>
              </w:rPr>
            </w:pPr>
            <w:r>
              <w:rPr>
                <w:rFonts w:hint="eastAsia" w:ascii="宋体" w:hAnsi="宋体" w:eastAsia="宋体" w:cs="宋体"/>
                <w:b/>
                <w:bCs/>
                <w:sz w:val="21"/>
                <w:szCs w:val="21"/>
              </w:rPr>
              <w:t>工程建设其他费用</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工程监理费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桂财建〔2023〕102号</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咨询设计费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桂财建〔2023〕102号</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风险评估与等保测评费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桂财建〔2023〕102号</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第三方测评费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桂财建〔2023〕102号</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密码测评费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桂财建〔2023〕102号</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决算审计费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桂财建〔2023〕102号</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三</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sz w:val="21"/>
                <w:szCs w:val="21"/>
              </w:rPr>
            </w:pPr>
            <w:r>
              <w:rPr>
                <w:rFonts w:hint="eastAsia" w:ascii="宋体" w:hAnsi="宋体" w:eastAsia="宋体" w:cs="宋体"/>
                <w:b/>
                <w:bCs/>
                <w:sz w:val="21"/>
                <w:szCs w:val="21"/>
              </w:rPr>
              <w:t>预备费用</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基本预备费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桂财建〔2023〕102号</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涨价预备费</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240" w:hRule="atLeast"/>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四</w:t>
            </w:r>
          </w:p>
        </w:tc>
        <w:tc>
          <w:tcPr>
            <w:tcW w:w="10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sz w:val="21"/>
                <w:szCs w:val="21"/>
              </w:rPr>
            </w:pPr>
            <w:r>
              <w:rPr>
                <w:rFonts w:hint="eastAsia" w:ascii="宋体" w:hAnsi="宋体" w:eastAsia="宋体" w:cs="宋体"/>
                <w:b/>
                <w:bCs/>
                <w:sz w:val="21"/>
                <w:szCs w:val="21"/>
              </w:rPr>
              <w:t>项目总投资</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60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100.00%</w:t>
            </w: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一+二+三</w:t>
            </w:r>
          </w:p>
        </w:tc>
      </w:tr>
    </w:tbl>
    <w:p>
      <w:pPr>
        <w:pStyle w:val="9"/>
        <w:ind w:firstLine="560"/>
      </w:pPr>
    </w:p>
    <w:tbl>
      <w:tblPr>
        <w:tblStyle w:val="6"/>
        <w:tblW w:w="5000" w:type="pct"/>
        <w:tblInd w:w="0" w:type="dxa"/>
        <w:tblLayout w:type="autofit"/>
        <w:tblCellMar>
          <w:top w:w="0" w:type="dxa"/>
          <w:left w:w="108" w:type="dxa"/>
          <w:bottom w:w="0" w:type="dxa"/>
          <w:right w:w="108" w:type="dxa"/>
        </w:tblCellMar>
      </w:tblPr>
      <w:tblGrid>
        <w:gridCol w:w="1415"/>
        <w:gridCol w:w="2327"/>
        <w:gridCol w:w="2160"/>
        <w:gridCol w:w="8272"/>
      </w:tblGrid>
      <w:tr>
        <w:tblPrEx>
          <w:tblCellMar>
            <w:top w:w="0" w:type="dxa"/>
            <w:left w:w="108" w:type="dxa"/>
            <w:bottom w:w="0" w:type="dxa"/>
            <w:right w:w="108" w:type="dxa"/>
          </w:tblCellMar>
        </w:tblPrEx>
        <w:trPr>
          <w:trHeight w:val="24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费用名称</w:t>
            </w:r>
          </w:p>
        </w:tc>
        <w:tc>
          <w:tcPr>
            <w:tcW w:w="76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金额（万元）</w:t>
            </w:r>
          </w:p>
        </w:tc>
        <w:tc>
          <w:tcPr>
            <w:tcW w:w="291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计算依据</w:t>
            </w:r>
          </w:p>
        </w:tc>
      </w:tr>
      <w:tr>
        <w:tblPrEx>
          <w:tblCellMar>
            <w:top w:w="0" w:type="dxa"/>
            <w:left w:w="108" w:type="dxa"/>
            <w:bottom w:w="0" w:type="dxa"/>
            <w:right w:w="108" w:type="dxa"/>
          </w:tblCellMar>
        </w:tblPrEx>
        <w:trPr>
          <w:trHeight w:val="48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工程监理费</w:t>
            </w:r>
          </w:p>
        </w:tc>
        <w:tc>
          <w:tcPr>
            <w:tcW w:w="76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p>
        </w:tc>
        <w:tc>
          <w:tcPr>
            <w:tcW w:w="291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根据桂财建〔2023〕102号，12+(计费额-500)*(20-12)/(1000-500)*调整系数</w:t>
            </w:r>
          </w:p>
        </w:tc>
      </w:tr>
      <w:tr>
        <w:tblPrEx>
          <w:tblCellMar>
            <w:top w:w="0" w:type="dxa"/>
            <w:left w:w="108" w:type="dxa"/>
            <w:bottom w:w="0" w:type="dxa"/>
            <w:right w:w="108" w:type="dxa"/>
          </w:tblCellMar>
        </w:tblPrEx>
        <w:trPr>
          <w:trHeight w:val="48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咨询设计费</w:t>
            </w:r>
          </w:p>
        </w:tc>
        <w:tc>
          <w:tcPr>
            <w:tcW w:w="762" w:type="pct"/>
            <w:tcBorders>
              <w:top w:val="nil"/>
              <w:left w:val="nil"/>
              <w:bottom w:val="nil"/>
              <w:right w:val="nil"/>
            </w:tcBorders>
            <w:shd w:val="clear" w:color="auto" w:fill="auto"/>
            <w:noWrap/>
            <w:vAlign w:val="center"/>
          </w:tcPr>
          <w:p>
            <w:pPr>
              <w:widowControl/>
              <w:spacing w:line="240" w:lineRule="auto"/>
              <w:jc w:val="center"/>
              <w:rPr>
                <w:rFonts w:hint="eastAsia" w:ascii="宋体" w:hAnsi="宋体" w:eastAsia="宋体" w:cs="宋体"/>
                <w:sz w:val="21"/>
                <w:szCs w:val="21"/>
              </w:rPr>
            </w:pPr>
          </w:p>
        </w:tc>
        <w:tc>
          <w:tcPr>
            <w:tcW w:w="291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根据桂财建〔2023〕102号，计费额工程建设费用不足1000万元，乘以2.4%和调整系数</w:t>
            </w:r>
          </w:p>
        </w:tc>
      </w:tr>
      <w:tr>
        <w:tblPrEx>
          <w:tblCellMar>
            <w:top w:w="0" w:type="dxa"/>
            <w:left w:w="108" w:type="dxa"/>
            <w:bottom w:w="0" w:type="dxa"/>
            <w:right w:w="108" w:type="dxa"/>
          </w:tblCellMar>
        </w:tblPrEx>
        <w:trPr>
          <w:trHeight w:val="48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风险评估与等保测评费</w:t>
            </w:r>
          </w:p>
        </w:tc>
        <w:tc>
          <w:tcPr>
            <w:tcW w:w="76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p>
        </w:tc>
        <w:tc>
          <w:tcPr>
            <w:tcW w:w="291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根据桂财建〔2023〕102号，二级系统风险评估与等保测评费用9万元/系统，本项目按1个系统计列</w:t>
            </w:r>
          </w:p>
        </w:tc>
      </w:tr>
      <w:tr>
        <w:tblPrEx>
          <w:tblCellMar>
            <w:top w:w="0" w:type="dxa"/>
            <w:left w:w="108" w:type="dxa"/>
            <w:bottom w:w="0" w:type="dxa"/>
            <w:right w:w="108" w:type="dxa"/>
          </w:tblCellMar>
        </w:tblPrEx>
        <w:trPr>
          <w:trHeight w:val="48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第三方测评费</w:t>
            </w:r>
          </w:p>
        </w:tc>
        <w:tc>
          <w:tcPr>
            <w:tcW w:w="76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p>
        </w:tc>
        <w:tc>
          <w:tcPr>
            <w:tcW w:w="291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根据桂财建〔2023〕102号，10+(计费额-500)*(15-10)/(1000-500)*调整系数</w:t>
            </w:r>
          </w:p>
        </w:tc>
      </w:tr>
      <w:tr>
        <w:tblPrEx>
          <w:tblCellMar>
            <w:top w:w="0" w:type="dxa"/>
            <w:left w:w="108" w:type="dxa"/>
            <w:bottom w:w="0" w:type="dxa"/>
            <w:right w:w="108" w:type="dxa"/>
          </w:tblCellMar>
        </w:tblPrEx>
        <w:trPr>
          <w:trHeight w:val="48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8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密码测评费</w:t>
            </w:r>
          </w:p>
        </w:tc>
        <w:tc>
          <w:tcPr>
            <w:tcW w:w="76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p>
        </w:tc>
        <w:tc>
          <w:tcPr>
            <w:tcW w:w="291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根据桂财建〔2023〕102号，二级信息系统密评费用5万元/系统</w:t>
            </w:r>
          </w:p>
        </w:tc>
      </w:tr>
      <w:tr>
        <w:tblPrEx>
          <w:tblCellMar>
            <w:top w:w="0" w:type="dxa"/>
            <w:left w:w="108" w:type="dxa"/>
            <w:bottom w:w="0" w:type="dxa"/>
            <w:right w:w="108" w:type="dxa"/>
          </w:tblCellMar>
        </w:tblPrEx>
        <w:trPr>
          <w:trHeight w:val="48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8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决算审计费</w:t>
            </w:r>
          </w:p>
        </w:tc>
        <w:tc>
          <w:tcPr>
            <w:tcW w:w="76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p>
        </w:tc>
        <w:tc>
          <w:tcPr>
            <w:tcW w:w="291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根据桂财建〔2023〕102号，投资总额5000万元（含5000万元）以下1‰</w:t>
            </w:r>
          </w:p>
        </w:tc>
      </w:tr>
      <w:tr>
        <w:tblPrEx>
          <w:tblCellMar>
            <w:top w:w="0" w:type="dxa"/>
            <w:left w:w="108" w:type="dxa"/>
            <w:bottom w:w="0" w:type="dxa"/>
            <w:right w:w="108" w:type="dxa"/>
          </w:tblCellMar>
        </w:tblPrEx>
        <w:trPr>
          <w:trHeight w:val="240" w:hRule="atLeast"/>
        </w:trPr>
        <w:tc>
          <w:tcPr>
            <w:tcW w:w="13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tc>
        <w:tc>
          <w:tcPr>
            <w:tcW w:w="76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bCs/>
                <w:sz w:val="21"/>
                <w:szCs w:val="21"/>
              </w:rPr>
            </w:pPr>
          </w:p>
        </w:tc>
        <w:tc>
          <w:tcPr>
            <w:tcW w:w="291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　</w:t>
            </w:r>
          </w:p>
        </w:tc>
      </w:tr>
    </w:tbl>
    <w:p>
      <w:pPr>
        <w:pStyle w:val="9"/>
        <w:ind w:firstLine="560"/>
        <w:rPr>
          <w:rFonts w:hint="eastAsia"/>
        </w:rPr>
      </w:pPr>
    </w:p>
    <w:p>
      <w:pPr>
        <w:pStyle w:val="9"/>
        <w:numPr>
          <w:ilvl w:val="0"/>
          <w:numId w:val="2"/>
        </w:numPr>
        <w:ind w:firstLineChars="0"/>
        <w:outlineLvl w:val="0"/>
        <w:rPr>
          <w:rFonts w:hint="eastAsia" w:ascii="黑体" w:hAnsi="黑体" w:eastAsia="黑体"/>
          <w:sz w:val="32"/>
          <w:szCs w:val="24"/>
        </w:rPr>
        <w:sectPr>
          <w:pgSz w:w="16838" w:h="11906" w:orient="landscape"/>
          <w:pgMar w:top="1800" w:right="1440" w:bottom="1800" w:left="1440" w:header="851" w:footer="992" w:gutter="0"/>
          <w:cols w:space="425" w:num="1"/>
          <w:docGrid w:type="lines" w:linePitch="381" w:charSpace="0"/>
        </w:sectPr>
      </w:pPr>
    </w:p>
    <w:p>
      <w:pPr>
        <w:pStyle w:val="9"/>
        <w:numPr>
          <w:ilvl w:val="0"/>
          <w:numId w:val="2"/>
        </w:numPr>
        <w:ind w:firstLineChars="0"/>
        <w:outlineLvl w:val="0"/>
        <w:rPr>
          <w:rFonts w:hint="eastAsia" w:ascii="黑体" w:hAnsi="黑体" w:eastAsia="黑体"/>
          <w:sz w:val="32"/>
          <w:szCs w:val="24"/>
        </w:rPr>
      </w:pPr>
      <w:bookmarkStart w:id="13" w:name="_Toc170136646"/>
      <w:r>
        <w:rPr>
          <w:rFonts w:hint="eastAsia" w:ascii="黑体" w:hAnsi="黑体" w:eastAsia="黑体"/>
          <w:sz w:val="32"/>
          <w:szCs w:val="24"/>
        </w:rPr>
        <w:t>项目软硬件配置清单</w:t>
      </w:r>
      <w:bookmarkEnd w:id="13"/>
    </w:p>
    <w:tbl>
      <w:tblPr>
        <w:tblStyle w:val="6"/>
        <w:tblW w:w="5000" w:type="pct"/>
        <w:tblInd w:w="0" w:type="dxa"/>
        <w:tblLayout w:type="autofit"/>
        <w:tblCellMar>
          <w:top w:w="0" w:type="dxa"/>
          <w:left w:w="108" w:type="dxa"/>
          <w:bottom w:w="0" w:type="dxa"/>
          <w:right w:w="108" w:type="dxa"/>
        </w:tblCellMar>
      </w:tblPr>
      <w:tblGrid>
        <w:gridCol w:w="862"/>
        <w:gridCol w:w="2591"/>
        <w:gridCol w:w="7200"/>
        <w:gridCol w:w="578"/>
        <w:gridCol w:w="575"/>
        <w:gridCol w:w="1154"/>
        <w:gridCol w:w="1214"/>
      </w:tblGrid>
      <w:tr>
        <w:tblPrEx>
          <w:tblCellMar>
            <w:top w:w="0" w:type="dxa"/>
            <w:left w:w="108" w:type="dxa"/>
            <w:bottom w:w="0" w:type="dxa"/>
            <w:right w:w="108" w:type="dxa"/>
          </w:tblCellMar>
        </w:tblPrEx>
        <w:trPr>
          <w:trHeight w:val="285" w:hRule="atLeast"/>
          <w:tblHeader/>
        </w:trPr>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1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254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参数</w:t>
            </w: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2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40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单价（万元）</w:t>
            </w:r>
          </w:p>
        </w:tc>
        <w:tc>
          <w:tcPr>
            <w:tcW w:w="42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合价（万元）</w:t>
            </w: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一</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广西数字化转型促进中心</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　</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数字化转型公共服务平台</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　</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平台门户</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作为广西数字化转型促进中心的首页，专门面向各类企业提供与数字化转型相关的一站式信息资源与服务</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1.1.1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信息公开</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含政策法规、政府文件公开、统计数据与报告、案例分享与经验交流、培训与研讨活动、咨询与支持服务、媒体报道与新闻动态等内容</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网上办事</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含数字化转型调查问卷、数字化转型评估结果查看、专家服务清单、产品资源查看、金融资金匹配、数据资源对接、专业人才推荐、政策查询解读、知识问答、数字化转型客服、公共数据查看等内容</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互动交流</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含专家答疑和咨询、在线研讨会和培训课程、用户故事和案例分享、技术资源和工具推荐等内容</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管理后台</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含注册与登录、用户信息管理、用户分类与标签、用户行为分析、安全管理、第三方整合、权限管理等管理内容</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综合支撑系统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集成和整合与数字化转型相关的各类数据资源，并提供数据清洗和质量管理功能</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1.2.1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数据管理平台（数据底座）</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提供系统接口数据采集、数据治理、数据质量、调度中心、数据开发及资产、服务等功能模块，构建数据底座服务能力</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1.2.2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模型管理平台（大模型底座）</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提供模型管理、模型中心、应用中心、服务中心等功能，构建大模型底座服务能力</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智能评估系统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依据相关标准，利用互联网技术采集相关信息，为企业提供量化的评估结果和具体的改进建议</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1.3.1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调查问卷系统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根据《数字化转型成熟度模型》（T/ZSA 162—2023）,设计和开发调查问卷系统，帮助企业评估自身在数字化转型方面的成熟度，并提供相应的改进和发展建议</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1.3.2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企业画像系统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构建企业基础画像，为用户提供全面、准确的企业信息和分析结果，帮助用户了解企业的基本情况、发展历程、经营风险评估和业务领域等方面</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1.3.3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行业画像与趋势分析</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将企业的经营状况与同行业其他企业进行比较，构建多企业画像并分析行业的趋势和发展情况，提供有关企业在行业中的竞争地位和市场表现的洞察</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1.3.4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评估系统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通过自动评分、智能总结、成熟度评估、成效评估和评估报告等模块，系统提供量化的评估结果和具体的改进建议</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数据场景化应用及价值评估系统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包括政企数字化评估和数据场景化应用及价值评估，将数据转化为可操作可利用的资产，助力政企评估对象完成从传统管理模式向数据驱动型管理模式的转变，发挥数据在数字化转型的推动作用。</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1.4.1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政企数字化评估</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含评估文件管理、指标关联展示、搜索与过滤及分析报告等，为数字化评估文件和相关数据分析确定具体的衡量标准，用户可以对相关数据进行精准的评估与分析，帮助确定指标的有效性与价值</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1.4.2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数据场景化应用及价值评估</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含数据资产输入、数据资产评价模型、数据评价报告等，实现数据的集中存储和统一管理、配置可视化报告及展示分析，帮助用户发现数据价值</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1.5</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供需撮合系统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支持企业根据自身需求在相应模块内进行条件搜索和筛选，根据匹配算法和数据分析实现专家、产品、金融资金、数据资源及专业人才的智能撮合</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1.5.1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专家服务清单系统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列出可提供数字化转型相关咨询、培训、实施等专业服务的专家和机构。企业可以根据自身需求，在清单中搜索和筛选合适的专家，并进行预约或洽谈服务</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1.5.2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产品资源展示系统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列出与数字化转型相关的各类产品和解决方案。企业可以浏览和比较不同产品资源的功能、性能、价格等信息，选择适合自己的产品</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1.5.3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金融资金匹配系统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提供数字化转型相关的金融资金支持信息，包括金融机构贷款资金申请指南等，企业可以了解各种政策和资金的适用条件和申请流程，并进行匹配和申请</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1.5.4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数据资源对接系统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集中管理和交易数据资源，企业可以获取所需的数据资源，支持数字化转型过程中的数据分析和决策</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1.5.5</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专业人才推荐系统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列出与数字化转型相关的专业人才推荐服务。企业可以发布人才需求，系统会根据企业需求和人才数据库进行匹配，推荐合适的专业人才</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1.6</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政策服务系统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通过与惠企惠民政策兑现平台的对接，系统能够获取到最新的政策信息，并根据用户的企业信息进行智能匹配和推送</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1.6.1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政策搜索及筛选</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用户可以通过关键词、政策分类等方式，快速搜索和查找相关政策</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1.6.2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智能匹配与推送</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通过与企业信息的匹配，自动筛选和推送符合企业需求和资格的政策</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1.6.3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政策解读和解答</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用户可以提出对政策的疑问和问题，系统会通过智能引擎进行解答，并提供相应的解读和指导</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1.6.4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政策申请指导</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用户可以获得政策申请的流程、所需材料等相关指导，并在申请过程中获取系统的辅助和支持</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1.6.5</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政策跟踪和提醒</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可以跟踪用户关注的政策动态，并定期向用户发送政策更新和提醒，以便用户及时了解与自身相关的政策变化</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1.7</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数据可视化系统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由企业地图、全区数字化转型概览、行业促进中心数据概览、区域促进中心数据概览、全区数字经济发展概览等模块组成，为用户提供全面的数据视图和洞察</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企业地图</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对地图企业分布情况及信息、分欸筛选及交互功能、企业地图数据导出等进行分析和处理</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全区数字化转型概览</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对全区企业进行地图标识展示、数字化转型趋势分析及统计图表、行业促进中心数据概览等内容进行可视化展示</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行业促进中心数据概览</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对行业分类、参与企业数量、转型项目进展、项目类型和特征及历史数据和趋势分析等内容进行可视化展示</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区域促进中心数据概览</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对地市分类、转型投资额、转型项目进展、区域特点和优势及历史数据和趋势分析等内容进行可视化展示</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1.7.5</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全区数字经济发展概览</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对数字经济规模、增长趋势、领域分布、就业情况及政策支持、历史数据和趋势分析等内容进行可视化展示</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1.7.6</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转型成果展示多媒体</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提供图像库、视频库、音频库的上传、存储、预览及编辑等操作</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1.7.7</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展示多媒体制作</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制作广西数字化转型会议成果、广西数字化转型组织架构、广西数字化转型媒体报道、来访领导图片及视频、广西数字化转型宣传片、广西数字化转型发展历程展墙、国家、自治区领导人对广西数字化转型调研、广西数字化转型重大会议与活动等展示多媒体</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1.8</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大模型服务系统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基于大模型的虚拟数字人知识问答、全息数字人客服、用户语义识别服务、一键式智能搜索、业务智能推荐、报告内容概要提取，为数字化转型提供个性化大模型智能服务</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1.8.1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数字人知识问答</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结合行业、区域、企业以及客户私有知识进行优化训练，提供基于大模型的虚拟数字人客服知识问答模型，通过深度学习和自然语言处理技术，使得数字化转型虚拟数字人能够理解企业和个人用户提出的问题，并提供准确、详细的答案</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1.8.2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全息数字人客服</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作为虚拟数字人，可以根据数字化转型服务场景进行定制虚拟数字外观、语音等特征，为数字化转型企业服务提供良好的服务效果和体验，满足促进中心转型服务宣传交互需求</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1.8.3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用户语义识别服务</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通过大语言模型识别对话方的情绪状态，分辨出正面、负面、中立帮助在数字化转型过程中更好地理解和分析用户需求，改善数字化转型服务质量、人机交互体验、舆情事件分析能力</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1.8.4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一键式智能搜索</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通过AI搜索能力，将用户以自然语言进行表达输入的交互信息，结合企业、个人的行业、区域、业务领域知识进行深入搜索问答，输出精准、有效、个性化的搜索结果</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1.8.5</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报告内容概要提取</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通过分析企业、行业、政策、区域等静态信息，以及行业态势、业务应用、市场偏好等动态信息，进行企业、个人用户服务内容的智能推荐，帮助企业、个人用户快速定位到数字化转型相关的需求</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1.8.6</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业务智能推荐</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通过基于大模型的文本摘要捕捉，提取报告内容概要识别并总结报告中的主要信息和要点，帮助企业及个人用户在短时间内高效准确的了解数字化转型文件、报告核心内容</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1.9</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对接融合系统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对接自治区已建成的中国—东盟（华为）人工智能创新中心等大数据创新合作平台，面向全区持续推进相关大数据创新资源复用，提供IT、研发等创新开放能力共享</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96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与中国-东盟（华为）人工智能创新中心对接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支持调用人工智能创新中心内人工智能应用API、人工智能模型一站式开发环境等人工智能类、大数据类、IaaS类底层基础算力技术能力（包括Model arts、人脸识别、自然语言处理、图像识别、大数据等技术，以及智慧园区、智慧农业、智慧医疗等解决方案）</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与中国-东盟信息港鲲鹏生态创新中心对接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经申请审批后由创新中心提供华为鲲鹏云服务的资源和开发工具包（包括兼容性认证、政务系统适配改造、信创云应用迁移解决方案以及算力地图等）</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2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1.9.3</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与中国-东盟区块链创新中心对接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经申请审批后提供区块链创新应用和产品的测试认证、标准研制、孵化带动、试点示范和专业人才培养等服务（包括公共存证、数据溯源等公共服务，信任锚定、监管接入、公共接口等服务，数据确权、安全加密、多方安全计算技术等数据服务）</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与广西数字基础设施重点实验室对接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经申请审批后由实验室内联合提供创新中心、解决方案验证中心、人才培养中心和成果推广中心的实验技术及产品</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1.9.5</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与广西适配认证中心对接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经申请审批后由适配认证中心提供信创产品适配测试服务（包括服务器、桌面整机等产品）</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1.9.6</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与自治区统一身份认证系统对接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实现所有业务系统的统一单点认证登录功能，用户只要一次登录，就可以进入用户有权访问的所有业务系统</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1.9.7</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与广西工业互联网平台对接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经接口对接访问机械、钢铁、化工、建筑、轻工、矿山、农业、汽车、食品、电子等工业领域多行业多场景整体解决方案</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1.9.8</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与广西中小企业公共服务平台对接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经接口获取包含人才服务、管理资讯、广西中小企业创业、政府扶持、专项资金、助保贷、投融资、信息服务等多品类一站式企业综合服务</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1.9.9</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与广西惠企惠民政策兑现平台对接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经接口获取、查阅相关区域、领域的惠企惠民政策，进一步加大惠企惠民政策兑现直达直享力度</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1.9.10</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与自治区公共数据开放平台对接</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推动来访企业链接进入使用广西壮族自治区公共数据开放平台进行公共数据的数据目录查阅、API目录开放，以及基于公共数据为基础依申请进行开放获取的相关数据</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0"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1.9.11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预留与自治区其他创新平台对接接口</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预留与自治区地理信息公共服务平台、知识产权、法律和教育服务等平台对接接口，推动公共服务资源复用、能力共享</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申请政务云资源</w:t>
            </w:r>
          </w:p>
        </w:tc>
        <w:tc>
          <w:tcPr>
            <w:tcW w:w="25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　</w:t>
            </w:r>
          </w:p>
        </w:tc>
        <w:tc>
          <w:tcPr>
            <w:tcW w:w="20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硬件</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应用服务器</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每台16核、32GB内存，申请政务云资源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数据库服务器</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每台16核 32GB内存，申请政务云资源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2.1.4</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存储系统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17.36TB，申请政务云资源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2.1.5</w:t>
            </w:r>
          </w:p>
        </w:tc>
        <w:tc>
          <w:tcPr>
            <w:tcW w:w="914" w:type="pct"/>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签名验签服务器</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使用的密码算法SM1/2/3/4，申请政务云资源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2.1.6</w:t>
            </w:r>
          </w:p>
        </w:tc>
        <w:tc>
          <w:tcPr>
            <w:tcW w:w="914" w:type="pct"/>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服务器密码机</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使用的密码算法SM1/2/3/4，申请政务云资源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2.1.7</w:t>
            </w:r>
          </w:p>
        </w:tc>
        <w:tc>
          <w:tcPr>
            <w:tcW w:w="914" w:type="pct"/>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SSL VPN综合安全网关</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使用的密码算法SM1/2/3/4，申请政务云资源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2.1.8</w:t>
            </w:r>
          </w:p>
        </w:tc>
        <w:tc>
          <w:tcPr>
            <w:tcW w:w="914" w:type="pct"/>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智能密码钥匙</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使用的密码算法SM1/2/3/4，申请政务云资源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系统软件</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2.2.1</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操作系统</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85"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2.2.2</w:t>
            </w:r>
          </w:p>
        </w:tc>
        <w:tc>
          <w:tcPr>
            <w:tcW w:w="914"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数据库</w:t>
            </w:r>
          </w:p>
        </w:tc>
        <w:tc>
          <w:tcPr>
            <w:tcW w:w="254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申请政务云资源</w:t>
            </w:r>
          </w:p>
        </w:tc>
        <w:tc>
          <w:tcPr>
            <w:tcW w:w="204"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3"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40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sz w:val="21"/>
                <w:szCs w:val="21"/>
              </w:rPr>
            </w:pP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sz w:val="21"/>
                <w:szCs w:val="21"/>
              </w:rPr>
            </w:pPr>
          </w:p>
        </w:tc>
      </w:tr>
    </w:tbl>
    <w:p>
      <w:pPr>
        <w:pStyle w:val="9"/>
        <w:ind w:firstLine="560"/>
      </w:pP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42346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80F94"/>
    <w:multiLevelType w:val="multilevel"/>
    <w:tmpl w:val="08C80F9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D7740F1"/>
    <w:multiLevelType w:val="multilevel"/>
    <w:tmpl w:val="3D7740F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iYTE4MWM4M2E0N2RmYWI3YTI0MjFhZjBkYmRlOTkifQ=="/>
  </w:docVars>
  <w:rsids>
    <w:rsidRoot w:val="004F4C5D"/>
    <w:rsid w:val="000147FB"/>
    <w:rsid w:val="0006121F"/>
    <w:rsid w:val="00093551"/>
    <w:rsid w:val="000D427F"/>
    <w:rsid w:val="0011718D"/>
    <w:rsid w:val="00176403"/>
    <w:rsid w:val="00240E9D"/>
    <w:rsid w:val="003024A3"/>
    <w:rsid w:val="00315BF0"/>
    <w:rsid w:val="00343D40"/>
    <w:rsid w:val="003D6D49"/>
    <w:rsid w:val="003F0912"/>
    <w:rsid w:val="004030ED"/>
    <w:rsid w:val="004F2318"/>
    <w:rsid w:val="004F4C5D"/>
    <w:rsid w:val="00532D5C"/>
    <w:rsid w:val="006936D5"/>
    <w:rsid w:val="006B059A"/>
    <w:rsid w:val="00755C56"/>
    <w:rsid w:val="00795F2F"/>
    <w:rsid w:val="007B39E9"/>
    <w:rsid w:val="008640C1"/>
    <w:rsid w:val="00900538"/>
    <w:rsid w:val="00925B5F"/>
    <w:rsid w:val="009E1B43"/>
    <w:rsid w:val="00B07010"/>
    <w:rsid w:val="00B361A9"/>
    <w:rsid w:val="00B3798E"/>
    <w:rsid w:val="00B95F3D"/>
    <w:rsid w:val="00BE226F"/>
    <w:rsid w:val="00C60504"/>
    <w:rsid w:val="00CB1AB9"/>
    <w:rsid w:val="00D243F4"/>
    <w:rsid w:val="00D63C71"/>
    <w:rsid w:val="00DF4A8F"/>
    <w:rsid w:val="00E01082"/>
    <w:rsid w:val="00E3013A"/>
    <w:rsid w:val="00E72D57"/>
    <w:rsid w:val="00E86BBD"/>
    <w:rsid w:val="00EA358F"/>
    <w:rsid w:val="00F81916"/>
    <w:rsid w:val="39DB1AED"/>
    <w:rsid w:val="4086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_GB2312" w:hAnsi="Calibri" w:eastAsia="仿宋_GB2312" w:cs="Times New Roman"/>
      <w:kern w:val="0"/>
      <w:sz w:val="28"/>
      <w:szCs w:val="22"/>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autoRedefine/>
    <w:unhideWhenUsed/>
    <w:qFormat/>
    <w:uiPriority w:val="99"/>
    <w:pPr>
      <w:tabs>
        <w:tab w:val="center" w:pos="4153"/>
        <w:tab w:val="right" w:pos="8306"/>
      </w:tabs>
      <w:snapToGrid w:val="0"/>
      <w:spacing w:line="240" w:lineRule="auto"/>
      <w:jc w:val="center"/>
    </w:pPr>
    <w:rPr>
      <w:sz w:val="18"/>
      <w:szCs w:val="18"/>
    </w:rPr>
  </w:style>
  <w:style w:type="paragraph" w:styleId="5">
    <w:name w:val="toc 1"/>
    <w:basedOn w:val="1"/>
    <w:next w:val="1"/>
    <w:autoRedefine/>
    <w:unhideWhenUsed/>
    <w:qFormat/>
    <w:uiPriority w:val="39"/>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paragraph" w:styleId="9">
    <w:name w:val="List Paragraph"/>
    <w:basedOn w:val="1"/>
    <w:autoRedefine/>
    <w:qFormat/>
    <w:uiPriority w:val="34"/>
    <w:pPr>
      <w:ind w:firstLine="420" w:firstLineChars="200"/>
    </w:pPr>
  </w:style>
  <w:style w:type="character" w:customStyle="1" w:styleId="10">
    <w:name w:val="页眉 字符"/>
    <w:basedOn w:val="7"/>
    <w:link w:val="4"/>
    <w:autoRedefine/>
    <w:qFormat/>
    <w:uiPriority w:val="99"/>
    <w:rPr>
      <w:rFonts w:ascii="仿宋_GB2312" w:hAnsi="Calibri" w:eastAsia="仿宋_GB2312" w:cs="Times New Roman"/>
      <w:kern w:val="0"/>
      <w:sz w:val="18"/>
      <w:szCs w:val="18"/>
    </w:rPr>
  </w:style>
  <w:style w:type="character" w:customStyle="1" w:styleId="11">
    <w:name w:val="页脚 字符"/>
    <w:basedOn w:val="7"/>
    <w:link w:val="3"/>
    <w:autoRedefine/>
    <w:qFormat/>
    <w:uiPriority w:val="99"/>
    <w:rPr>
      <w:rFonts w:ascii="仿宋_GB2312" w:hAnsi="Calibri" w:eastAsia="仿宋_GB2312" w:cs="Times New Roman"/>
      <w:kern w:val="0"/>
      <w:sz w:val="18"/>
      <w:szCs w:val="18"/>
    </w:rPr>
  </w:style>
  <w:style w:type="character" w:customStyle="1" w:styleId="12">
    <w:name w:val="标题 1 字符"/>
    <w:basedOn w:val="7"/>
    <w:link w:val="2"/>
    <w:autoRedefine/>
    <w:qFormat/>
    <w:uiPriority w:val="9"/>
    <w:rPr>
      <w:rFonts w:ascii="仿宋_GB2312" w:hAnsi="Calibri" w:eastAsia="仿宋_GB2312" w:cs="Times New Roman"/>
      <w:b/>
      <w:bCs/>
      <w:kern w:val="44"/>
      <w:sz w:val="44"/>
      <w:szCs w:val="44"/>
    </w:rPr>
  </w:style>
  <w:style w:type="paragraph" w:customStyle="1" w:styleId="13">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1ADF-D9E0-4ECE-80B4-AE8567C11A3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2552</Words>
  <Characters>14550</Characters>
  <Lines>121</Lines>
  <Paragraphs>34</Paragraphs>
  <TotalTime>15</TotalTime>
  <ScaleCrop>false</ScaleCrop>
  <LinksUpToDate>false</LinksUpToDate>
  <CharactersWithSpaces>17068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2024-09-19T02:10:00Z</dcterms:created>
  <dc:creator>Chase H</dc:creator>
  <cp:lastModifiedBy>婷</cp:lastModifiedBy>
  <dcterms:modified xsi:type="dcterms:W3CDTF">2024-09-30T07:19:47Z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3837F70125A749238C8A887D454DBF7E_12</vt:lpwstr>
  </property>
</Properties>
</file>