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7" w:lineRule="exact"/>
        <w:ind w:left="1758" w:leftChars="418" w:hanging="880" w:hangingChars="200"/>
        <w:jc w:val="center"/>
        <w:rPr>
          <w:rFonts w:eastAsia="方正小标宋_GBK"/>
          <w:sz w:val="44"/>
          <w:szCs w:val="44"/>
        </w:rPr>
      </w:pPr>
      <w:bookmarkStart w:id="0" w:name="_Hlk128402320"/>
      <w:bookmarkStart w:id="1" w:name="_Toc48741392"/>
      <w:r>
        <w:rPr>
          <w:rFonts w:hint="eastAsia" w:eastAsia="方正小标宋_GBK"/>
          <w:sz w:val="44"/>
          <w:szCs w:val="44"/>
        </w:rPr>
        <w:t>广西统一IPv6智能联通中心创新融合</w:t>
      </w:r>
    </w:p>
    <w:p>
      <w:pPr>
        <w:spacing w:line="577" w:lineRule="exact"/>
        <w:ind w:left="3077" w:leftChars="627" w:hanging="1760" w:hangingChars="400"/>
        <w:jc w:val="center"/>
        <w:rPr>
          <w:rFonts w:hint="eastAsia" w:ascii="方正小标宋_GBK" w:hAnsi="方正小标宋_GBK" w:eastAsia="方正小标宋_GBK" w:cs="方正小标宋_GBK"/>
          <w:sz w:val="44"/>
          <w:szCs w:val="44"/>
          <w:lang w:eastAsia="zh-CN"/>
        </w:rPr>
      </w:pPr>
      <w:r>
        <w:rPr>
          <w:rFonts w:hint="eastAsia" w:eastAsia="方正小标宋_GBK"/>
          <w:sz w:val="44"/>
          <w:szCs w:val="44"/>
        </w:rPr>
        <w:t>应用试点（二期）项目</w:t>
      </w:r>
      <w:r>
        <w:rPr>
          <w:rFonts w:hint="eastAsia" w:ascii="方正小标宋_GBK" w:hAnsi="方正小标宋_GBK" w:eastAsia="方正小标宋_GBK" w:cs="方正小标宋_GBK"/>
          <w:sz w:val="44"/>
          <w:szCs w:val="44"/>
        </w:rPr>
        <w:t>监理服务</w:t>
      </w:r>
    </w:p>
    <w:p>
      <w:pPr>
        <w:spacing w:line="577" w:lineRule="exact"/>
        <w:ind w:left="3077" w:leftChars="627" w:hanging="1760" w:hangingChars="4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采购方案</w:t>
      </w:r>
    </w:p>
    <w:p>
      <w:pPr>
        <w:spacing w:line="577" w:lineRule="exact"/>
        <w:ind w:firstLine="600" w:firstLineChars="200"/>
        <w:rPr>
          <w:rFonts w:eastAsia="方正黑体_GBK"/>
          <w:sz w:val="30"/>
          <w:szCs w:val="30"/>
        </w:rPr>
      </w:pPr>
      <w:r>
        <w:rPr>
          <w:rFonts w:eastAsia="方正黑体_GBK"/>
          <w:sz w:val="30"/>
          <w:szCs w:val="30"/>
        </w:rPr>
        <w:t>一、依据</w:t>
      </w:r>
    </w:p>
    <w:p>
      <w:pPr>
        <w:spacing w:line="577" w:lineRule="exact"/>
        <w:ind w:firstLine="640" w:firstLineChars="200"/>
        <w:rPr>
          <w:rFonts w:ascii="仿宋_GB2312" w:eastAsia="仿宋_GB2312"/>
          <w:sz w:val="30"/>
          <w:szCs w:val="30"/>
        </w:rPr>
      </w:pPr>
      <w:r>
        <w:rPr>
          <w:rFonts w:hint="eastAsia" w:ascii="仿宋_GB2312" w:hAnsi="仿宋_GB2312" w:eastAsia="仿宋_GB2312" w:cs="仿宋_GB2312"/>
          <w:sz w:val="32"/>
          <w:szCs w:val="32"/>
        </w:rPr>
        <w:t>根据中央网信办、国家发展改革委、工业和信息化部联合印发《深入推进IPv6规模部署和应用2023年工作安排》、数字广西建设领导小组办公室印发《广西电子政务外网IPv6升级改造三年行动实施方案（2023-2025年）》（桂数广办发〔2023〕12号）、《IPv6技术创新和融合应用试点中期评估报告》文件要求，为持续深入推进广西IPv6规模部署工作，进一步加强和规范全区IPv6应用的管理和监理工作</w:t>
      </w:r>
      <w:r>
        <w:rPr>
          <w:rFonts w:hint="eastAsia" w:ascii="仿宋_GB2312" w:eastAsia="仿宋_GB2312"/>
          <w:sz w:val="30"/>
          <w:szCs w:val="30"/>
        </w:rPr>
        <w:t>。</w:t>
      </w:r>
    </w:p>
    <w:p>
      <w:pPr>
        <w:spacing w:line="577" w:lineRule="exact"/>
        <w:ind w:firstLine="600" w:firstLineChars="200"/>
        <w:rPr>
          <w:rFonts w:eastAsia="方正黑体_GBK"/>
          <w:sz w:val="30"/>
          <w:szCs w:val="30"/>
        </w:rPr>
      </w:pPr>
      <w:r>
        <w:rPr>
          <w:rFonts w:eastAsia="方正黑体_GBK"/>
          <w:sz w:val="30"/>
          <w:szCs w:val="30"/>
        </w:rPr>
        <w:t>二、项目名称</w:t>
      </w:r>
    </w:p>
    <w:p>
      <w:pPr>
        <w:spacing w:line="57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广西统一IPv6智能联通中心创新融合应用试点（二期）项目监理服务。</w:t>
      </w:r>
    </w:p>
    <w:p>
      <w:pPr>
        <w:spacing w:line="577" w:lineRule="exact"/>
        <w:ind w:firstLine="600" w:firstLineChars="200"/>
        <w:rPr>
          <w:rFonts w:eastAsia="方正黑体_GBK"/>
          <w:sz w:val="30"/>
          <w:szCs w:val="30"/>
        </w:rPr>
      </w:pPr>
      <w:r>
        <w:rPr>
          <w:rFonts w:eastAsia="方正黑体_GBK"/>
          <w:sz w:val="30"/>
          <w:szCs w:val="30"/>
        </w:rPr>
        <w:t>三、</w:t>
      </w:r>
      <w:r>
        <w:rPr>
          <w:rFonts w:hint="eastAsia" w:eastAsia="方正黑体_GBK"/>
          <w:sz w:val="30"/>
          <w:szCs w:val="30"/>
        </w:rPr>
        <w:t>预算金额（招标上控价）</w:t>
      </w:r>
    </w:p>
    <w:p>
      <w:pPr>
        <w:spacing w:line="57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12.91万元，报价超过此金额的无效。</w:t>
      </w:r>
    </w:p>
    <w:p>
      <w:pPr>
        <w:spacing w:line="577" w:lineRule="exact"/>
        <w:ind w:firstLine="600" w:firstLineChars="200"/>
        <w:rPr>
          <w:rFonts w:eastAsia="方正黑体_GBK"/>
          <w:sz w:val="30"/>
          <w:szCs w:val="30"/>
        </w:rPr>
      </w:pPr>
      <w:r>
        <w:rPr>
          <w:rFonts w:eastAsia="方正黑体_GBK"/>
          <w:sz w:val="30"/>
          <w:szCs w:val="30"/>
        </w:rPr>
        <w:t>四、采购方式</w:t>
      </w:r>
    </w:p>
    <w:p>
      <w:pPr>
        <w:spacing w:line="577"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局内控竞争性磋商。</w:t>
      </w:r>
    </w:p>
    <w:p>
      <w:pPr>
        <w:spacing w:line="577" w:lineRule="exact"/>
        <w:ind w:firstLine="600" w:firstLineChars="200"/>
        <w:rPr>
          <w:rFonts w:hAnsi="宋体" w:cs="宋体"/>
          <w:b/>
          <w:spacing w:val="6"/>
          <w:kern w:val="48"/>
          <w:sz w:val="36"/>
          <w:szCs w:val="36"/>
        </w:rPr>
      </w:pPr>
      <w:r>
        <w:rPr>
          <w:rFonts w:eastAsia="方正黑体_GBK"/>
          <w:sz w:val="30"/>
          <w:szCs w:val="30"/>
        </w:rPr>
        <w:t>五、采购需求</w:t>
      </w:r>
    </w:p>
    <w:p>
      <w:pPr>
        <w:pStyle w:val="10"/>
        <w:spacing w:line="577" w:lineRule="exact"/>
        <w:jc w:val="center"/>
        <w:outlineLvl w:val="0"/>
        <w:rPr>
          <w:rFonts w:hAnsi="宋体" w:cs="宋体"/>
          <w:b/>
          <w:spacing w:val="6"/>
          <w:kern w:val="48"/>
          <w:sz w:val="36"/>
          <w:szCs w:val="36"/>
        </w:rPr>
      </w:pPr>
      <w:r>
        <w:rPr>
          <w:rFonts w:hint="eastAsia" w:hAnsi="宋体" w:cs="宋体"/>
          <w:b/>
          <w:spacing w:val="6"/>
          <w:kern w:val="48"/>
          <w:sz w:val="36"/>
          <w:szCs w:val="36"/>
        </w:rPr>
        <w:t>服务需求一览表</w:t>
      </w:r>
      <w:bookmarkEnd w:id="0"/>
      <w:bookmarkEnd w:id="1"/>
    </w:p>
    <w:p>
      <w:pPr>
        <w:spacing w:line="577" w:lineRule="exact"/>
        <w:ind w:firstLine="482" w:firstLineChars="200"/>
        <w:rPr>
          <w:rFonts w:ascii="宋体" w:hAnsi="宋体" w:cs="宋体"/>
          <w:b/>
          <w:bCs/>
          <w:sz w:val="24"/>
        </w:rPr>
      </w:pPr>
      <w:r>
        <w:rPr>
          <w:rFonts w:hint="eastAsia" w:ascii="宋体" w:hAnsi="宋体" w:cs="宋体"/>
          <w:b/>
          <w:bCs/>
          <w:sz w:val="24"/>
        </w:rPr>
        <w:t>说明：</w:t>
      </w:r>
    </w:p>
    <w:p>
      <w:pPr>
        <w:spacing w:line="577" w:lineRule="exact"/>
        <w:ind w:firstLine="482" w:firstLineChars="200"/>
        <w:rPr>
          <w:rFonts w:ascii="宋体" w:hAnsi="宋体" w:cs="宋体"/>
          <w:b/>
          <w:bCs/>
          <w:sz w:val="24"/>
        </w:rPr>
      </w:pPr>
      <w:r>
        <w:rPr>
          <w:rFonts w:hint="eastAsia" w:ascii="宋体" w:hAnsi="宋体" w:cs="宋体"/>
          <w:b/>
          <w:bCs/>
          <w:sz w:val="24"/>
        </w:rPr>
        <w:t>1.本项目的服务需求一览表中带“★”号条款为实质性内容要求，磋商时必须满足，否则响应无效。</w:t>
      </w:r>
    </w:p>
    <w:p>
      <w:pPr>
        <w:spacing w:line="577" w:lineRule="exact"/>
        <w:ind w:firstLine="482" w:firstLineChars="200"/>
        <w:rPr>
          <w:rFonts w:ascii="宋体" w:hAnsi="宋体" w:cs="宋体"/>
          <w:b/>
          <w:bCs/>
          <w:sz w:val="24"/>
        </w:rPr>
      </w:pPr>
      <w:r>
        <w:rPr>
          <w:rFonts w:hint="eastAsia" w:ascii="宋体" w:hAnsi="宋体" w:cs="宋体"/>
          <w:b/>
          <w:bCs/>
          <w:sz w:val="24"/>
        </w:rPr>
        <w:t>2.</w:t>
      </w:r>
      <w:r>
        <w:rPr>
          <w:rFonts w:hint="eastAsia" w:ascii="宋体" w:hAnsi="宋体" w:cs="宋体"/>
          <w:b/>
          <w:bCs/>
        </w:rPr>
        <w:t>采购标的对应的中小企业划分标准所属行业为：</w:t>
      </w:r>
      <w:r>
        <w:rPr>
          <w:rFonts w:hint="eastAsia" w:ascii="宋体" w:hAnsi="宋体" w:cs="宋体"/>
          <w:b/>
          <w:bCs/>
          <w:u w:val="single"/>
        </w:rPr>
        <w:t>软件和信息技术服务业</w:t>
      </w:r>
      <w:r>
        <w:rPr>
          <w:rFonts w:hint="eastAsia" w:ascii="宋体" w:hAnsi="宋体" w:cs="宋体"/>
          <w:b/>
          <w:bCs/>
        </w:rPr>
        <w:t>。</w:t>
      </w:r>
    </w:p>
    <w:tbl>
      <w:tblPr>
        <w:tblStyle w:val="15"/>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785"/>
        <w:gridCol w:w="7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862" w:type="dxa"/>
            <w:gridSpan w:val="3"/>
            <w:tcBorders>
              <w:top w:val="single" w:color="auto" w:sz="4" w:space="0"/>
              <w:left w:val="single" w:color="auto" w:sz="4" w:space="0"/>
              <w:bottom w:val="single" w:color="auto" w:sz="4" w:space="0"/>
              <w:right w:val="single" w:color="auto" w:sz="4" w:space="0"/>
            </w:tcBorders>
            <w:vAlign w:val="center"/>
          </w:tcPr>
          <w:p>
            <w:pPr>
              <w:spacing w:line="577" w:lineRule="exact"/>
              <w:jc w:val="left"/>
              <w:rPr>
                <w:rFonts w:ascii="宋体" w:hAnsi="宋体" w:cs="宋体"/>
                <w:b/>
                <w:szCs w:val="21"/>
              </w:rPr>
            </w:pPr>
            <w:r>
              <w:rPr>
                <w:rFonts w:hint="eastAsia" w:ascii="宋体" w:hAnsi="宋体" w:cs="宋体"/>
                <w:b/>
                <w:szCs w:val="21"/>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577" w:lineRule="exact"/>
              <w:jc w:val="center"/>
              <w:rPr>
                <w:rFonts w:ascii="宋体" w:hAnsi="宋体" w:cs="宋体"/>
                <w:bCs/>
                <w:szCs w:val="21"/>
              </w:rPr>
            </w:pPr>
            <w:r>
              <w:rPr>
                <w:rFonts w:hint="eastAsia" w:ascii="宋体" w:hAnsi="宋体" w:cs="宋体"/>
                <w:bCs/>
                <w:szCs w:val="21"/>
              </w:rPr>
              <w:t>序号</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77" w:lineRule="exact"/>
              <w:jc w:val="center"/>
              <w:rPr>
                <w:rFonts w:ascii="宋体" w:hAnsi="宋体" w:cs="宋体"/>
                <w:kern w:val="0"/>
                <w:szCs w:val="21"/>
              </w:rPr>
            </w:pPr>
            <w:r>
              <w:rPr>
                <w:rFonts w:hint="eastAsia" w:ascii="宋体" w:hAnsi="宋体" w:cs="宋体"/>
                <w:kern w:val="0"/>
                <w:szCs w:val="21"/>
              </w:rPr>
              <w:t>服务名称</w:t>
            </w:r>
          </w:p>
        </w:tc>
        <w:tc>
          <w:tcPr>
            <w:tcW w:w="7358" w:type="dxa"/>
            <w:tcBorders>
              <w:top w:val="single" w:color="auto" w:sz="4" w:space="0"/>
              <w:left w:val="single" w:color="auto" w:sz="4" w:space="0"/>
              <w:bottom w:val="single" w:color="auto" w:sz="4" w:space="0"/>
              <w:right w:val="single" w:color="auto" w:sz="4" w:space="0"/>
            </w:tcBorders>
            <w:vAlign w:val="center"/>
          </w:tcPr>
          <w:p>
            <w:pPr>
              <w:spacing w:line="577" w:lineRule="exact"/>
              <w:jc w:val="center"/>
              <w:rPr>
                <w:rFonts w:ascii="宋体" w:hAnsi="宋体" w:cs="宋体"/>
                <w:kern w:val="0"/>
                <w:szCs w:val="21"/>
              </w:rPr>
            </w:pPr>
            <w:r>
              <w:rPr>
                <w:rFonts w:hint="eastAsia" w:ascii="宋体" w:hAnsi="宋体" w:cs="宋体"/>
                <w:kern w:val="0"/>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577" w:lineRule="exact"/>
              <w:jc w:val="center"/>
              <w:rPr>
                <w:rFonts w:ascii="宋体" w:hAnsi="宋体" w:cs="宋体"/>
                <w:szCs w:val="21"/>
              </w:rPr>
            </w:pPr>
            <w:r>
              <w:rPr>
                <w:rFonts w:hint="eastAsia" w:ascii="宋体" w:hAnsi="宋体" w:cs="宋体"/>
                <w:szCs w:val="21"/>
              </w:rPr>
              <w:t>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577" w:lineRule="exact"/>
              <w:jc w:val="center"/>
              <w:rPr>
                <w:rFonts w:ascii="宋体" w:hAnsi="宋体" w:cs="宋体"/>
                <w:szCs w:val="21"/>
              </w:rPr>
            </w:pPr>
            <w:r>
              <w:rPr>
                <w:rFonts w:hint="eastAsia" w:ascii="宋体" w:hAnsi="宋体" w:cs="宋体"/>
                <w:szCs w:val="21"/>
              </w:rPr>
              <w:t>广西统一IPv6智能联通中心创新融合应用试点（二期）监理服务项目</w:t>
            </w:r>
          </w:p>
        </w:tc>
        <w:tc>
          <w:tcPr>
            <w:tcW w:w="7358" w:type="dxa"/>
            <w:tcBorders>
              <w:top w:val="single" w:color="auto" w:sz="4" w:space="0"/>
              <w:left w:val="single" w:color="auto" w:sz="4" w:space="0"/>
              <w:bottom w:val="single" w:color="auto" w:sz="4" w:space="0"/>
              <w:right w:val="single" w:color="auto" w:sz="4" w:space="0"/>
            </w:tcBorders>
          </w:tcPr>
          <w:p>
            <w:pPr>
              <w:spacing w:line="577" w:lineRule="exact"/>
              <w:ind w:firstLine="422" w:firstLineChars="200"/>
              <w:rPr>
                <w:rFonts w:ascii="宋体" w:hAnsi="宋体" w:cs="宋体"/>
                <w:b/>
                <w:bCs/>
                <w:szCs w:val="21"/>
              </w:rPr>
            </w:pPr>
            <w:r>
              <w:rPr>
                <w:rFonts w:hint="eastAsia" w:ascii="宋体" w:hAnsi="宋体" w:cs="宋体"/>
                <w:b/>
                <w:bCs/>
                <w:szCs w:val="21"/>
              </w:rPr>
              <w:t>一、项目概况</w:t>
            </w:r>
          </w:p>
          <w:p>
            <w:pPr>
              <w:spacing w:line="240" w:lineRule="auto"/>
              <w:ind w:firstLine="640" w:firstLineChars="0"/>
              <w:rPr>
                <w:rFonts w:ascii="宋体" w:hAnsi="宋体" w:cs="宋体"/>
                <w:szCs w:val="21"/>
              </w:rPr>
            </w:pPr>
            <w:r>
              <w:rPr>
                <w:rFonts w:hint="eastAsia" w:ascii="宋体" w:hAnsi="宋体" w:cs="宋体"/>
                <w:szCs w:val="21"/>
              </w:rPr>
              <w:t>在广西统一IPv6智能联通中心创新融合应用试点项目（一期）建设成果基础上，依托广西电子政务外网信创云资源，拓展系统业务功能，扩大重点领域网站的改造范围，实现重点领域网站及应用的监测及检测，开展电子政务外网IPv6监测和管理。</w:t>
            </w:r>
            <w:r>
              <w:rPr>
                <w:rFonts w:hint="eastAsia" w:ascii="宋体" w:hAnsi="宋体" w:eastAsia="宋体" w:cs="宋体"/>
                <w:sz w:val="21"/>
                <w:szCs w:val="21"/>
              </w:rPr>
              <w:t>本项目</w:t>
            </w:r>
            <w:r>
              <w:rPr>
                <w:rFonts w:hint="eastAsia" w:ascii="宋体" w:hAnsi="宋体" w:cs="宋体"/>
                <w:szCs w:val="21"/>
              </w:rPr>
              <w:t>属于软件集成项目，系统</w:t>
            </w:r>
            <w:r>
              <w:rPr>
                <w:rFonts w:hint="eastAsia" w:ascii="宋体" w:hAnsi="宋体" w:eastAsia="宋体" w:cs="宋体"/>
                <w:sz w:val="21"/>
                <w:szCs w:val="21"/>
              </w:rPr>
              <w:t>覆盖自治区、市、县的政府部门、新闻媒体、国有企业、教育、金融等重点行业的网站以及社会公众用户。</w:t>
            </w:r>
            <w:r>
              <w:rPr>
                <w:rFonts w:hint="eastAsia" w:ascii="宋体" w:hAnsi="宋体" w:cs="宋体"/>
                <w:szCs w:val="21"/>
              </w:rPr>
              <w:t>主体项目为</w:t>
            </w:r>
            <w:r>
              <w:rPr>
                <w:rFonts w:hint="eastAsia" w:ascii="宋体" w:hAnsi="宋体" w:eastAsia="宋体" w:cs="宋体"/>
                <w:sz w:val="21"/>
                <w:szCs w:val="21"/>
              </w:rPr>
              <w:t>升级改造统一门户管理系统，建设</w:t>
            </w:r>
            <w:r>
              <w:rPr>
                <w:rFonts w:ascii="宋体" w:hAnsi="宋体" w:eastAsia="宋体" w:cs="宋体"/>
                <w:sz w:val="21"/>
                <w:szCs w:val="21"/>
              </w:rPr>
              <w:t>IPv6</w:t>
            </w:r>
            <w:r>
              <w:rPr>
                <w:rFonts w:hint="eastAsia" w:ascii="宋体" w:hAnsi="宋体" w:eastAsia="宋体" w:cs="宋体"/>
                <w:sz w:val="21"/>
                <w:szCs w:val="21"/>
              </w:rPr>
              <w:t>智能路由联通系统、</w:t>
            </w:r>
            <w:r>
              <w:rPr>
                <w:rFonts w:ascii="宋体" w:hAnsi="宋体" w:eastAsia="宋体" w:cs="宋体"/>
                <w:sz w:val="21"/>
                <w:szCs w:val="21"/>
              </w:rPr>
              <w:t>IPv6</w:t>
            </w:r>
            <w:r>
              <w:rPr>
                <w:rFonts w:hint="eastAsia" w:ascii="宋体" w:hAnsi="宋体" w:eastAsia="宋体" w:cs="宋体"/>
                <w:sz w:val="21"/>
                <w:szCs w:val="21"/>
              </w:rPr>
              <w:t>规模部署监测及检测系统、电子政务外网</w:t>
            </w:r>
            <w:r>
              <w:rPr>
                <w:rFonts w:ascii="宋体" w:hAnsi="宋体" w:eastAsia="宋体" w:cs="宋体"/>
                <w:sz w:val="21"/>
                <w:szCs w:val="21"/>
              </w:rPr>
              <w:t>IPv6</w:t>
            </w:r>
            <w:r>
              <w:rPr>
                <w:rFonts w:hint="eastAsia" w:ascii="宋体" w:hAnsi="宋体" w:eastAsia="宋体" w:cs="宋体"/>
                <w:sz w:val="21"/>
                <w:szCs w:val="21"/>
              </w:rPr>
              <w:t>发展监测平台、</w:t>
            </w:r>
            <w:r>
              <w:rPr>
                <w:rFonts w:ascii="宋体" w:hAnsi="宋体" w:eastAsia="宋体" w:cs="宋体"/>
                <w:sz w:val="21"/>
                <w:szCs w:val="21"/>
              </w:rPr>
              <w:t>IPv6</w:t>
            </w:r>
            <w:r>
              <w:rPr>
                <w:rFonts w:hint="eastAsia" w:ascii="宋体" w:hAnsi="宋体" w:eastAsia="宋体" w:cs="宋体"/>
                <w:sz w:val="21"/>
                <w:szCs w:val="21"/>
              </w:rPr>
              <w:t>地址智能管理平台、</w:t>
            </w:r>
            <w:r>
              <w:rPr>
                <w:rFonts w:ascii="宋体" w:hAnsi="宋体" w:eastAsia="宋体" w:cs="宋体"/>
                <w:sz w:val="21"/>
                <w:szCs w:val="21"/>
              </w:rPr>
              <w:t>IPv6</w:t>
            </w:r>
            <w:r>
              <w:rPr>
                <w:rFonts w:hint="eastAsia" w:ascii="宋体" w:hAnsi="宋体" w:eastAsia="宋体" w:cs="宋体"/>
                <w:sz w:val="21"/>
                <w:szCs w:val="21"/>
              </w:rPr>
              <w:t>业务服务受理系统、</w:t>
            </w:r>
            <w:r>
              <w:rPr>
                <w:rFonts w:ascii="宋体" w:hAnsi="宋体" w:eastAsia="宋体" w:cs="宋体"/>
                <w:sz w:val="21"/>
                <w:szCs w:val="21"/>
              </w:rPr>
              <w:t>IPv6</w:t>
            </w:r>
            <w:r>
              <w:rPr>
                <w:rFonts w:hint="eastAsia" w:ascii="宋体" w:hAnsi="宋体" w:eastAsia="宋体" w:cs="宋体"/>
                <w:sz w:val="21"/>
                <w:szCs w:val="21"/>
              </w:rPr>
              <w:t>数据分析可视化平台、移动端。</w:t>
            </w:r>
          </w:p>
          <w:p>
            <w:pPr>
              <w:spacing w:line="577" w:lineRule="exact"/>
              <w:ind w:firstLine="422" w:firstLineChars="200"/>
              <w:rPr>
                <w:rFonts w:ascii="宋体" w:hAnsi="宋体" w:cs="宋体"/>
                <w:b/>
                <w:bCs/>
                <w:szCs w:val="21"/>
              </w:rPr>
            </w:pPr>
            <w:r>
              <w:rPr>
                <w:rFonts w:hint="eastAsia" w:ascii="宋体" w:hAnsi="宋体" w:cs="宋体"/>
                <w:b/>
                <w:bCs/>
                <w:szCs w:val="21"/>
              </w:rPr>
              <w:t>二、监理服务内容</w:t>
            </w:r>
          </w:p>
          <w:p>
            <w:pPr>
              <w:numPr>
                <w:ilvl w:val="255"/>
                <w:numId w:val="0"/>
              </w:numPr>
              <w:spacing w:line="240" w:lineRule="auto"/>
              <w:ind w:firstLine="420" w:firstLineChars="200"/>
              <w:rPr>
                <w:rFonts w:ascii="宋体" w:hAnsi="宋体" w:cs="宋体"/>
                <w:szCs w:val="21"/>
              </w:rPr>
            </w:pPr>
            <w:r>
              <w:rPr>
                <w:rFonts w:hint="eastAsia" w:ascii="宋体" w:hAnsi="宋体" w:cs="宋体"/>
                <w:szCs w:val="21"/>
              </w:rPr>
              <w:t>广西统一IPv6智能联通中心创新融合应用试点项目（二期）监理服务内容包括：IPv6项目实施过程的把关和质量控制、系统集成项目过程监理、软件开发监理、其他建设内容监理、进度控制、投资控制、合同管理、信息与文档管理、项目安全管理等。</w:t>
            </w:r>
          </w:p>
          <w:p>
            <w:pPr>
              <w:spacing w:line="577" w:lineRule="exact"/>
              <w:ind w:firstLine="422" w:firstLineChars="200"/>
              <w:rPr>
                <w:rFonts w:ascii="宋体" w:hAnsi="宋体" w:cs="宋体"/>
                <w:b/>
                <w:bCs/>
                <w:szCs w:val="21"/>
              </w:rPr>
            </w:pPr>
            <w:r>
              <w:rPr>
                <w:rFonts w:hint="eastAsia" w:ascii="宋体" w:hAnsi="宋体" w:cs="宋体"/>
                <w:b/>
                <w:bCs/>
                <w:szCs w:val="21"/>
              </w:rPr>
              <w:t xml:space="preserve">三、监理服务要求 </w:t>
            </w:r>
          </w:p>
          <w:p>
            <w:pPr>
              <w:spacing w:line="577" w:lineRule="exact"/>
              <w:ind w:firstLine="420" w:firstLineChars="200"/>
              <w:rPr>
                <w:rFonts w:ascii="宋体" w:hAnsi="宋体" w:cs="宋体"/>
                <w:szCs w:val="21"/>
              </w:rPr>
            </w:pPr>
            <w:r>
              <w:rPr>
                <w:rFonts w:hint="eastAsia" w:ascii="宋体" w:hAnsi="宋体" w:cs="宋体"/>
                <w:szCs w:val="21"/>
              </w:rPr>
              <w:t>（一）项目基本要求</w:t>
            </w:r>
          </w:p>
          <w:p>
            <w:pPr>
              <w:spacing w:line="577" w:lineRule="exact"/>
              <w:ind w:firstLine="420" w:firstLineChars="200"/>
              <w:rPr>
                <w:rFonts w:ascii="宋体" w:hAnsi="宋体" w:cs="宋体"/>
                <w:szCs w:val="21"/>
              </w:rPr>
            </w:pPr>
            <w:r>
              <w:rPr>
                <w:rFonts w:hint="eastAsia" w:ascii="宋体" w:hAnsi="宋体" w:cs="宋体"/>
                <w:szCs w:val="21"/>
              </w:rPr>
              <w:t>供应商的监理服务技术方案至少应包含以下内容：</w:t>
            </w:r>
          </w:p>
          <w:p>
            <w:pPr>
              <w:spacing w:line="577" w:lineRule="exact"/>
              <w:ind w:firstLine="420" w:firstLineChars="200"/>
              <w:rPr>
                <w:rFonts w:ascii="宋体" w:hAnsi="宋体" w:cs="宋体"/>
                <w:szCs w:val="21"/>
              </w:rPr>
            </w:pPr>
            <w:r>
              <w:rPr>
                <w:rFonts w:hint="eastAsia" w:ascii="宋体" w:hAnsi="宋体" w:cs="宋体"/>
                <w:szCs w:val="21"/>
              </w:rPr>
              <w:t>1.针对IPv6项目建设内容，对项目的技术要点、技术路径编写技术服务方案，明确项目的实施路径。</w:t>
            </w:r>
          </w:p>
          <w:p>
            <w:pPr>
              <w:spacing w:line="577" w:lineRule="exact"/>
              <w:ind w:firstLine="420" w:firstLineChars="200"/>
              <w:rPr>
                <w:rFonts w:ascii="宋体" w:hAnsi="宋体" w:cs="宋体"/>
                <w:szCs w:val="21"/>
              </w:rPr>
            </w:pPr>
            <w:r>
              <w:rPr>
                <w:rFonts w:hint="eastAsia" w:ascii="宋体" w:hAnsi="宋体" w:cs="宋体"/>
                <w:szCs w:val="21"/>
              </w:rPr>
              <w:t>2.针对本项目的监理工作计划和组织机构，形成监理服务方案。</w:t>
            </w:r>
          </w:p>
          <w:p>
            <w:pPr>
              <w:spacing w:line="577" w:lineRule="exact"/>
              <w:ind w:firstLine="420" w:firstLineChars="200"/>
              <w:rPr>
                <w:rFonts w:ascii="宋体" w:hAnsi="宋体" w:cs="宋体"/>
                <w:szCs w:val="21"/>
              </w:rPr>
            </w:pPr>
            <w:r>
              <w:rPr>
                <w:rFonts w:hint="eastAsia" w:ascii="宋体" w:hAnsi="宋体" w:cs="宋体"/>
                <w:szCs w:val="21"/>
              </w:rPr>
              <w:t>3.供应商应当提出有利于本项目监理工作实施的具体措施。</w:t>
            </w:r>
          </w:p>
          <w:p>
            <w:pPr>
              <w:spacing w:line="577" w:lineRule="exact"/>
              <w:ind w:firstLine="420" w:firstLineChars="200"/>
              <w:rPr>
                <w:rFonts w:ascii="宋体" w:hAnsi="宋体" w:cs="宋体"/>
                <w:szCs w:val="21"/>
              </w:rPr>
            </w:pPr>
            <w:r>
              <w:rPr>
                <w:rFonts w:hint="eastAsia" w:ascii="宋体" w:hAnsi="宋体" w:cs="宋体"/>
                <w:szCs w:val="21"/>
              </w:rPr>
              <w:t>（二）监理服务范围</w:t>
            </w:r>
          </w:p>
          <w:p>
            <w:pPr>
              <w:spacing w:line="577" w:lineRule="exact"/>
              <w:ind w:firstLine="420" w:firstLineChars="200"/>
              <w:rPr>
                <w:rFonts w:ascii="宋体" w:hAnsi="宋体" w:cs="宋体"/>
                <w:szCs w:val="21"/>
              </w:rPr>
            </w:pPr>
            <w:r>
              <w:rPr>
                <w:rFonts w:hint="eastAsia" w:ascii="宋体" w:hAnsi="宋体" w:cs="宋体"/>
                <w:szCs w:val="21"/>
              </w:rPr>
              <w:t>本监理服务项目要完成项目各阶段实施过程监理服务任务。</w:t>
            </w:r>
          </w:p>
          <w:p>
            <w:pPr>
              <w:spacing w:line="577" w:lineRule="exact"/>
              <w:ind w:firstLine="420" w:firstLineChars="200"/>
              <w:rPr>
                <w:rFonts w:ascii="宋体" w:hAnsi="宋体" w:cs="宋体"/>
                <w:szCs w:val="21"/>
              </w:rPr>
            </w:pPr>
            <w:r>
              <w:rPr>
                <w:rFonts w:hint="eastAsia" w:ascii="宋体" w:hAnsi="宋体" w:cs="宋体"/>
                <w:szCs w:val="21"/>
              </w:rPr>
              <w:t>（三）监理服务原则</w:t>
            </w:r>
          </w:p>
          <w:p>
            <w:pPr>
              <w:spacing w:line="577" w:lineRule="exact"/>
              <w:ind w:firstLine="420" w:firstLineChars="200"/>
              <w:rPr>
                <w:rFonts w:ascii="宋体" w:hAnsi="宋体" w:cs="宋体"/>
                <w:szCs w:val="21"/>
              </w:rPr>
            </w:pPr>
            <w:r>
              <w:rPr>
                <w:rFonts w:hint="eastAsia" w:ascii="宋体" w:hAnsi="宋体" w:cs="宋体"/>
                <w:szCs w:val="21"/>
              </w:rPr>
              <w:t>1.监理工作应按照质量控制、进度控制、投资控制、变更控制、合同管理、安全管理、文档管理、及协调相关单位关系原则进行。供应商要制定本监理项目的监理规划报采购人批准后实施。总监理工程师要组织各专业制定监理实施细则报采购人有关部门备案，各专业按实施细则进行监理。</w:t>
            </w:r>
          </w:p>
          <w:p>
            <w:pPr>
              <w:spacing w:line="577" w:lineRule="exact"/>
              <w:ind w:firstLine="420" w:firstLineChars="200"/>
              <w:rPr>
                <w:rFonts w:ascii="宋体" w:hAnsi="宋体" w:cs="宋体"/>
                <w:szCs w:val="21"/>
              </w:rPr>
            </w:pPr>
            <w:r>
              <w:rPr>
                <w:rFonts w:hint="eastAsia" w:ascii="宋体" w:hAnsi="宋体" w:cs="宋体"/>
                <w:szCs w:val="21"/>
              </w:rPr>
              <w:t>2.供应商应根据自身的经验及专业的角度向采购人提供可行性咨询意见，为保证高效优质地完成设计任务，供应商应从国家和采购人的角度提出合理化建议等咨询服务。</w:t>
            </w:r>
          </w:p>
          <w:p>
            <w:pPr>
              <w:spacing w:line="577" w:lineRule="exact"/>
              <w:ind w:firstLine="420" w:firstLineChars="200"/>
              <w:rPr>
                <w:rFonts w:ascii="宋体" w:hAnsi="宋体" w:cs="宋体"/>
                <w:szCs w:val="21"/>
              </w:rPr>
            </w:pPr>
            <w:r>
              <w:rPr>
                <w:rFonts w:hint="eastAsia" w:ascii="宋体" w:hAnsi="宋体" w:cs="宋体"/>
                <w:szCs w:val="21"/>
              </w:rPr>
              <w:t>3.本项目有严格的保密要求，在整个监理服务实施过程中，供应商各方应严格遵守有关保密规定或保密协议。</w:t>
            </w:r>
          </w:p>
          <w:p>
            <w:pPr>
              <w:spacing w:line="577" w:lineRule="exact"/>
              <w:ind w:firstLine="420" w:firstLineChars="200"/>
              <w:rPr>
                <w:rFonts w:ascii="宋体" w:hAnsi="宋体" w:cs="宋体"/>
                <w:szCs w:val="21"/>
              </w:rPr>
            </w:pPr>
            <w:r>
              <w:rPr>
                <w:rFonts w:hint="eastAsia" w:ascii="宋体" w:hAnsi="宋体" w:cs="宋体"/>
                <w:szCs w:val="21"/>
              </w:rPr>
              <w:t>（四）阶段监理要求</w:t>
            </w:r>
          </w:p>
          <w:p>
            <w:pPr>
              <w:spacing w:line="577" w:lineRule="exact"/>
              <w:ind w:firstLine="420" w:firstLineChars="200"/>
              <w:rPr>
                <w:rFonts w:ascii="宋体" w:hAnsi="宋体" w:cs="宋体"/>
                <w:szCs w:val="21"/>
              </w:rPr>
            </w:pPr>
            <w:r>
              <w:rPr>
                <w:rFonts w:hint="eastAsia" w:ascii="宋体" w:hAnsi="宋体" w:cs="宋体"/>
                <w:szCs w:val="21"/>
              </w:rPr>
              <w:t>项目各阶段主要涉及项目设计、开发建设及项目验收三个阶段。供应商要按照项目建设目标和“</w:t>
            </w:r>
            <w:r>
              <w:rPr>
                <w:rFonts w:hint="eastAsia" w:ascii="宋体" w:hAnsi="宋体" w:cs="宋体"/>
                <w:szCs w:val="21"/>
                <w:highlight w:val="none"/>
              </w:rPr>
              <w:t>四控制（投资控制、质量控制、进度控制、合同控制）、三管理（合同管理、安全管理、资料管理）、一协调（协调建设单位、承建单位）实施过程关系”</w:t>
            </w:r>
            <w:r>
              <w:rPr>
                <w:rFonts w:hint="eastAsia" w:ascii="宋体" w:hAnsi="宋体" w:cs="宋体"/>
                <w:szCs w:val="21"/>
              </w:rPr>
              <w:t>的监理工作要求，依据国家信息系统工程建设监理规范和标准，对项目建设的各个阶段和各个层面进行全方位的管理、控制和协调。对项目建设的设计、开发和实施；项目的验收和交付使用以及对用户的技术培训等方面进行质量、进度和投资等全面的控制，对项目建设合同的执行、项目建设文档资料等进行管理，从而保证本项目“按期、保质、高效、节约”地实现其既定目标。</w:t>
            </w:r>
          </w:p>
          <w:p>
            <w:pPr>
              <w:spacing w:line="577" w:lineRule="exact"/>
              <w:ind w:firstLine="420" w:firstLineChars="200"/>
              <w:rPr>
                <w:rFonts w:ascii="宋体" w:hAnsi="宋体" w:cs="宋体"/>
                <w:szCs w:val="21"/>
              </w:rPr>
            </w:pPr>
            <w:r>
              <w:rPr>
                <w:rFonts w:hint="eastAsia" w:ascii="宋体" w:hAnsi="宋体" w:cs="宋体"/>
                <w:szCs w:val="21"/>
              </w:rPr>
              <w:t>1.项目前期阶段：</w:t>
            </w:r>
          </w:p>
          <w:p>
            <w:pPr>
              <w:spacing w:line="577" w:lineRule="exact"/>
              <w:ind w:firstLine="420" w:firstLineChars="200"/>
              <w:rPr>
                <w:rFonts w:ascii="宋体" w:hAnsi="宋体" w:cs="宋体"/>
                <w:szCs w:val="21"/>
              </w:rPr>
            </w:pPr>
            <w:r>
              <w:rPr>
                <w:rFonts w:hint="eastAsia" w:ascii="宋体" w:hAnsi="宋体" w:cs="宋体"/>
                <w:szCs w:val="21"/>
              </w:rPr>
              <w:t>要求供应商能根据采购人前期对项目的需求和设计，基于IPv6项目的技术路径，为该项目编写整体的监理服务方案；促使采购人在后续的监理服务中能进一步把控项目建设方向，确保项目满足项目需求、符合相关的法律、法规和标准，并与项目建设合同相符，具有可验证性；组织有关人员对设计文档进行严格的审核，协助采购人、承建单位消除设计文档在进入项目实施前可预见的缺陷。</w:t>
            </w:r>
          </w:p>
          <w:p>
            <w:pPr>
              <w:spacing w:line="577" w:lineRule="exact"/>
              <w:ind w:firstLine="420" w:firstLineChars="200"/>
              <w:rPr>
                <w:rFonts w:ascii="宋体" w:hAnsi="宋体" w:cs="宋体"/>
                <w:szCs w:val="21"/>
              </w:rPr>
            </w:pPr>
            <w:r>
              <w:rPr>
                <w:rFonts w:hint="eastAsia" w:ascii="宋体" w:hAnsi="宋体" w:cs="宋体"/>
                <w:szCs w:val="21"/>
              </w:rPr>
              <w:t>2.开发建设阶段：</w:t>
            </w:r>
          </w:p>
          <w:p>
            <w:pPr>
              <w:spacing w:line="577" w:lineRule="exact"/>
              <w:ind w:firstLine="420" w:firstLineChars="200"/>
              <w:rPr>
                <w:rFonts w:ascii="宋体" w:hAnsi="宋体" w:cs="宋体"/>
                <w:szCs w:val="21"/>
              </w:rPr>
            </w:pPr>
            <w:r>
              <w:rPr>
                <w:rFonts w:hint="eastAsia" w:ascii="宋体" w:hAnsi="宋体" w:cs="宋体"/>
                <w:szCs w:val="21"/>
              </w:rPr>
              <w:t>供应商要采取适当的方法和措施，保障项目实施方案具有较强的合法性、合理性以及与设计方案的符合性；促使项目中所用的产品、材料和提供的有关服务符合承建合同及国家相关法律、法规和标准的要求。严格审查承建单位提供的实施计划，明确计划的有关细节，并通过适当的监理方法和监理工作制度，定期检查计划执行情况，促使计划与实际执行的一致性，并使计划的调整能受到严格的程序控制。在项目建设实施过程中，要求成交供应商能随时监管承建单位，促使项目实施过程能满足承建合同的要求，并且与项目设计方案、项目计划相符合。</w:t>
            </w:r>
          </w:p>
          <w:p>
            <w:pPr>
              <w:spacing w:line="577" w:lineRule="exact"/>
              <w:ind w:firstLine="420" w:firstLineChars="200"/>
              <w:rPr>
                <w:rFonts w:ascii="宋体" w:hAnsi="宋体" w:cs="宋体"/>
                <w:szCs w:val="21"/>
              </w:rPr>
            </w:pPr>
            <w:r>
              <w:rPr>
                <w:rFonts w:hint="eastAsia" w:ascii="宋体" w:hAnsi="宋体" w:cs="宋体"/>
                <w:szCs w:val="21"/>
              </w:rPr>
              <w:t>3.项目验收阶段：</w:t>
            </w:r>
          </w:p>
          <w:p>
            <w:pPr>
              <w:spacing w:line="577" w:lineRule="exact"/>
              <w:ind w:firstLine="420" w:firstLineChars="200"/>
              <w:rPr>
                <w:rFonts w:ascii="宋体" w:hAnsi="宋体" w:cs="宋体"/>
                <w:szCs w:val="21"/>
              </w:rPr>
            </w:pPr>
            <w:r>
              <w:rPr>
                <w:rFonts w:hint="eastAsia" w:ascii="宋体" w:hAnsi="宋体" w:cs="宋体"/>
                <w:szCs w:val="21"/>
              </w:rPr>
              <w:t>要求供应商要及时处理承建单位的初验及终验申请，针对验收目标、责任双方、验收提交清单、验收标准、验收方法、验收环境等方面，明确项目测试验收方案的符合性和可行性；协助采购人组织验收机构并实施验收过程，促使项目的最终功能和性能符合承建合同、法律、法规和标准的要求；供应商要协助采购人推动承建单位所提供的项目各阶段形成的技术、管理文档的内容和种类符合承建合同及相关标准的要求，协助采购人整理验收资料，协助完成项目竣工验收，提供验收咨询。</w:t>
            </w:r>
          </w:p>
          <w:p>
            <w:pPr>
              <w:spacing w:line="577" w:lineRule="exact"/>
              <w:ind w:firstLine="420" w:firstLineChars="200"/>
              <w:rPr>
                <w:rFonts w:ascii="宋体" w:hAnsi="宋体" w:cs="宋体"/>
                <w:szCs w:val="21"/>
              </w:rPr>
            </w:pPr>
            <w:r>
              <w:rPr>
                <w:rFonts w:hint="eastAsia" w:ascii="宋体" w:hAnsi="宋体" w:cs="宋体"/>
                <w:szCs w:val="21"/>
              </w:rPr>
              <w:t>（五）监理服务内容</w:t>
            </w:r>
          </w:p>
          <w:p>
            <w:pPr>
              <w:spacing w:line="577" w:lineRule="exact"/>
              <w:ind w:firstLine="420" w:firstLineChars="200"/>
              <w:rPr>
                <w:rFonts w:ascii="宋体" w:hAnsi="宋体" w:cs="宋体"/>
                <w:szCs w:val="21"/>
              </w:rPr>
            </w:pPr>
            <w:r>
              <w:rPr>
                <w:rFonts w:hint="eastAsia" w:ascii="宋体" w:hAnsi="宋体" w:cs="宋体"/>
                <w:szCs w:val="21"/>
              </w:rPr>
              <w:t>1.方案把关和质量控制：</w:t>
            </w:r>
          </w:p>
          <w:p>
            <w:pPr>
              <w:spacing w:line="577" w:lineRule="exact"/>
              <w:ind w:firstLine="420" w:firstLineChars="200"/>
              <w:rPr>
                <w:rFonts w:ascii="宋体" w:hAnsi="宋体" w:cs="宋体"/>
                <w:szCs w:val="21"/>
              </w:rPr>
            </w:pPr>
            <w:r>
              <w:rPr>
                <w:rFonts w:hint="eastAsia" w:ascii="宋体" w:hAnsi="宋体" w:cs="宋体"/>
                <w:szCs w:val="21"/>
              </w:rPr>
              <w:t>审核和确认承建单位的总体技术设计方案；审核和确认项目建设过程中的各种关键技术方案；审核和确认承建单位的组织和实施方案，及提交的《项目实施计划》；审核和确认承建单位的项目质量保证计划、质量控制体系；审核和确认承建单位的原代码管理方案；审核和确认承建单位的测试方案和计划；审核并确定承建单位的项目进度计划和进度控制节点。</w:t>
            </w:r>
          </w:p>
          <w:p>
            <w:pPr>
              <w:spacing w:line="577" w:lineRule="exact"/>
              <w:ind w:firstLine="420" w:firstLineChars="200"/>
              <w:rPr>
                <w:rFonts w:ascii="宋体" w:hAnsi="宋体" w:cs="宋体"/>
                <w:szCs w:val="21"/>
              </w:rPr>
            </w:pPr>
            <w:r>
              <w:rPr>
                <w:rFonts w:hint="eastAsia" w:ascii="宋体" w:hAnsi="宋体" w:cs="宋体"/>
                <w:szCs w:val="21"/>
              </w:rPr>
              <w:t>系统集成监理：负责系统集成实施方案和进度计划的审核确认；系统集成过程监督、质量审核和进度控制；硬件设备、系统软件到货检验、测试和验收；网络和系统安装高度的检验和确认；系统集成其他内容质量控制。</w:t>
            </w:r>
          </w:p>
          <w:p>
            <w:pPr>
              <w:spacing w:line="577" w:lineRule="exact"/>
              <w:ind w:firstLine="420" w:firstLineChars="200"/>
              <w:rPr>
                <w:rFonts w:ascii="宋体" w:hAnsi="宋体" w:cs="宋体"/>
                <w:szCs w:val="21"/>
              </w:rPr>
            </w:pPr>
            <w:r>
              <w:rPr>
                <w:rFonts w:hint="eastAsia" w:ascii="宋体" w:hAnsi="宋体" w:cs="宋体"/>
                <w:szCs w:val="21"/>
              </w:rPr>
              <w:t>软件开发监理：负责软件开发需求、设计方案和进度计划的审核确认；详细设计、编码测试、系统试运行过程的质量把关；软件功能与性能测试结果确认；对源代码、开发文档的移交验收；软件开发其他内容的质量控制。</w:t>
            </w:r>
          </w:p>
          <w:p>
            <w:pPr>
              <w:spacing w:line="577" w:lineRule="exact"/>
              <w:ind w:firstLine="420" w:firstLineChars="200"/>
              <w:rPr>
                <w:rFonts w:ascii="宋体" w:hAnsi="宋体" w:cs="宋体"/>
                <w:szCs w:val="21"/>
              </w:rPr>
            </w:pPr>
            <w:r>
              <w:rPr>
                <w:rFonts w:hint="eastAsia" w:ascii="宋体" w:hAnsi="宋体" w:cs="宋体"/>
                <w:szCs w:val="21"/>
              </w:rPr>
              <w:t>其他建设内容监理：负责各类运营和服务提供商的服务方案确认、价格审核和质量把关；采购人直接采购设备和产品的调研询价、货物验收和质量把关；采购人直接采购的技术服务的服务方案审核、技术和进度把关；采购人直接负责的其他工作内容的质量把关；其他相关项目内容建设的咨询等。</w:t>
            </w:r>
          </w:p>
          <w:p>
            <w:pPr>
              <w:spacing w:line="577" w:lineRule="exact"/>
              <w:ind w:firstLine="420" w:firstLineChars="200"/>
              <w:rPr>
                <w:rFonts w:ascii="宋体" w:hAnsi="宋体" w:cs="宋体"/>
                <w:szCs w:val="21"/>
              </w:rPr>
            </w:pPr>
            <w:r>
              <w:rPr>
                <w:rFonts w:hint="eastAsia" w:ascii="宋体" w:hAnsi="宋体" w:cs="宋体"/>
                <w:szCs w:val="21"/>
              </w:rPr>
              <w:t>2.进度控制：</w:t>
            </w:r>
          </w:p>
          <w:p>
            <w:pPr>
              <w:spacing w:line="577" w:lineRule="exact"/>
              <w:ind w:firstLine="420" w:firstLineChars="200"/>
              <w:rPr>
                <w:rFonts w:ascii="宋体" w:hAnsi="宋体" w:cs="宋体"/>
                <w:szCs w:val="21"/>
              </w:rPr>
            </w:pPr>
            <w:r>
              <w:rPr>
                <w:rFonts w:hint="eastAsia" w:ascii="宋体" w:hAnsi="宋体" w:cs="宋体"/>
                <w:szCs w:val="21"/>
              </w:rPr>
              <w:t>审核承建单位的进度分解计划，确认分解计划可以保证总体计划目标；对实施进度进行实时跟踪，并要求承建单位对进度计划进行动态调整，以确保项目的阶段和总体进度目标的实现；当工期目标严重偏离时，应及时指出，并提出对策建议，同时督促承建单位尽快采取措施。</w:t>
            </w:r>
          </w:p>
          <w:p>
            <w:pPr>
              <w:spacing w:line="577" w:lineRule="exact"/>
              <w:ind w:firstLine="420" w:firstLineChars="200"/>
              <w:rPr>
                <w:rFonts w:ascii="宋体" w:hAnsi="宋体" w:cs="宋体"/>
                <w:szCs w:val="21"/>
              </w:rPr>
            </w:pPr>
            <w:r>
              <w:rPr>
                <w:rFonts w:hint="eastAsia" w:ascii="宋体" w:hAnsi="宋体" w:cs="宋体"/>
                <w:szCs w:val="21"/>
              </w:rPr>
              <w:t>3.投资控制：</w:t>
            </w:r>
          </w:p>
          <w:p>
            <w:pPr>
              <w:spacing w:line="577" w:lineRule="exact"/>
              <w:ind w:firstLine="420" w:firstLineChars="200"/>
              <w:rPr>
                <w:rFonts w:ascii="宋体" w:hAnsi="宋体" w:cs="宋体"/>
                <w:szCs w:val="21"/>
              </w:rPr>
            </w:pPr>
            <w:r>
              <w:rPr>
                <w:rFonts w:hint="eastAsia" w:ascii="宋体" w:hAnsi="宋体" w:cs="宋体"/>
                <w:szCs w:val="21"/>
              </w:rPr>
              <w:t>通过对项目实施中的系统软件、硬件方案及设计的优化，确保投资合理，控制在合理、性价比高的范围之内；协助采购人做好项目支付预算的现金流量表，将付款进度与项目质量与形象进度结合起来。</w:t>
            </w:r>
          </w:p>
          <w:p>
            <w:pPr>
              <w:spacing w:line="577" w:lineRule="exact"/>
              <w:ind w:firstLine="420" w:firstLineChars="200"/>
              <w:rPr>
                <w:rFonts w:ascii="宋体" w:hAnsi="宋体" w:cs="宋体"/>
                <w:szCs w:val="21"/>
              </w:rPr>
            </w:pPr>
            <w:r>
              <w:rPr>
                <w:rFonts w:hint="eastAsia" w:ascii="宋体" w:hAnsi="宋体" w:cs="宋体"/>
                <w:szCs w:val="21"/>
              </w:rPr>
              <w:t>4.合同管理：</w:t>
            </w:r>
          </w:p>
          <w:p>
            <w:pPr>
              <w:spacing w:line="577" w:lineRule="exact"/>
              <w:ind w:firstLine="420" w:firstLineChars="200"/>
              <w:rPr>
                <w:rFonts w:ascii="宋体" w:hAnsi="宋体" w:cs="宋体"/>
                <w:szCs w:val="21"/>
              </w:rPr>
            </w:pPr>
            <w:r>
              <w:rPr>
                <w:rFonts w:hint="eastAsia" w:ascii="宋体" w:hAnsi="宋体" w:cs="宋体"/>
                <w:szCs w:val="21"/>
              </w:rPr>
              <w:t>跟踪检查合同的执行情况，确保承建单位按合同履约；对合同工期的延误和延期进行审查；对合同变更、索赔等事宜进行审查；根据合同约定，审核承建单位提交的支付申请，签发付款凭证。</w:t>
            </w:r>
          </w:p>
          <w:p>
            <w:pPr>
              <w:spacing w:line="577" w:lineRule="exact"/>
              <w:ind w:firstLine="420" w:firstLineChars="200"/>
              <w:rPr>
                <w:rFonts w:ascii="宋体" w:hAnsi="宋体" w:cs="宋体"/>
                <w:szCs w:val="21"/>
              </w:rPr>
            </w:pPr>
            <w:r>
              <w:rPr>
                <w:rFonts w:hint="eastAsia" w:ascii="宋体" w:hAnsi="宋体" w:cs="宋体"/>
                <w:szCs w:val="21"/>
              </w:rPr>
              <w:t>5.信息与文档管理：</w:t>
            </w:r>
          </w:p>
          <w:p>
            <w:pPr>
              <w:spacing w:line="577" w:lineRule="exact"/>
              <w:ind w:firstLine="420" w:firstLineChars="200"/>
              <w:rPr>
                <w:rFonts w:ascii="宋体" w:hAnsi="宋体" w:cs="宋体"/>
                <w:szCs w:val="21"/>
              </w:rPr>
            </w:pPr>
            <w:r>
              <w:rPr>
                <w:rFonts w:hint="eastAsia" w:ascii="宋体" w:hAnsi="宋体" w:cs="宋体"/>
                <w:szCs w:val="21"/>
              </w:rPr>
              <w:t>做好监理日记及项目大事记；做好合同批复等各类往来文件的批复与存档；做好项目协调会、技术专题会的会议纪要；做好项目周报、监理建议书、监理通知、各种会议纪要、各阶段的项目总结报告等；管理好实施期间的各类技术文档，并按相关要求将本项目的过程文档和存档文档装订成册。</w:t>
            </w:r>
          </w:p>
          <w:p>
            <w:pPr>
              <w:spacing w:line="577" w:lineRule="exact"/>
              <w:ind w:firstLine="420" w:firstLineChars="200"/>
              <w:rPr>
                <w:rFonts w:ascii="宋体" w:hAnsi="宋体" w:cs="宋体"/>
                <w:szCs w:val="21"/>
              </w:rPr>
            </w:pPr>
            <w:r>
              <w:rPr>
                <w:rFonts w:hint="eastAsia" w:ascii="宋体" w:hAnsi="宋体" w:cs="宋体"/>
                <w:szCs w:val="21"/>
              </w:rPr>
              <w:t>6.项目安全管理：</w:t>
            </w:r>
          </w:p>
          <w:p>
            <w:pPr>
              <w:spacing w:line="577" w:lineRule="exact"/>
              <w:ind w:firstLine="420" w:firstLineChars="200"/>
              <w:rPr>
                <w:rFonts w:ascii="宋体" w:hAnsi="宋体" w:cs="宋体"/>
                <w:szCs w:val="21"/>
              </w:rPr>
            </w:pPr>
            <w:r>
              <w:rPr>
                <w:rFonts w:hint="eastAsia" w:ascii="宋体" w:hAnsi="宋体" w:cs="宋体"/>
                <w:szCs w:val="21"/>
              </w:rPr>
              <w:t>负责项目建设过程中所涉及的政府机密数据和资料的保护，保证不被非授权使用；负责项目建设施工过程中安全控制，确保不出现安全事故。</w:t>
            </w:r>
          </w:p>
          <w:p>
            <w:pPr>
              <w:spacing w:line="577" w:lineRule="exact"/>
              <w:ind w:firstLine="420" w:firstLineChars="200"/>
              <w:rPr>
                <w:rFonts w:ascii="宋体" w:hAnsi="宋体" w:cs="宋体"/>
                <w:szCs w:val="21"/>
              </w:rPr>
            </w:pPr>
            <w:r>
              <w:rPr>
                <w:rFonts w:hint="eastAsia" w:ascii="宋体" w:hAnsi="宋体" w:cs="宋体"/>
                <w:szCs w:val="21"/>
              </w:rPr>
              <w:t>7.纠纷协调：</w:t>
            </w:r>
          </w:p>
          <w:p>
            <w:pPr>
              <w:spacing w:line="577" w:lineRule="exact"/>
              <w:ind w:firstLine="420" w:firstLineChars="200"/>
              <w:rPr>
                <w:rFonts w:ascii="宋体" w:hAnsi="宋体" w:cs="宋体"/>
                <w:szCs w:val="21"/>
              </w:rPr>
            </w:pPr>
            <w:r>
              <w:rPr>
                <w:rFonts w:hint="eastAsia" w:ascii="宋体" w:hAnsi="宋体" w:cs="宋体"/>
                <w:szCs w:val="21"/>
              </w:rPr>
              <w:t>协助协调项目各相关单位、机构、部门之间的工作关系；协助协调项目各集成单位、网络运营商、原厂商之间的工作关系；协助协调项目各建设方在项目实施过程中产生的各类纠纷和矛盾。</w:t>
            </w:r>
          </w:p>
          <w:p>
            <w:pPr>
              <w:spacing w:line="577" w:lineRule="exact"/>
              <w:ind w:firstLine="420" w:firstLineChars="200"/>
              <w:rPr>
                <w:rFonts w:ascii="宋体" w:hAnsi="宋体" w:cs="宋体"/>
                <w:szCs w:val="21"/>
              </w:rPr>
            </w:pPr>
            <w:r>
              <w:rPr>
                <w:rFonts w:hint="eastAsia" w:ascii="宋体" w:hAnsi="宋体" w:cs="宋体"/>
                <w:szCs w:val="21"/>
              </w:rPr>
              <w:t>8.例会制度：</w:t>
            </w:r>
          </w:p>
          <w:p>
            <w:pPr>
              <w:spacing w:line="577" w:lineRule="exact"/>
              <w:ind w:firstLine="420" w:firstLineChars="200"/>
              <w:rPr>
                <w:rFonts w:ascii="宋体" w:hAnsi="宋体" w:cs="宋体"/>
                <w:szCs w:val="21"/>
              </w:rPr>
            </w:pPr>
            <w:r>
              <w:rPr>
                <w:rFonts w:hint="eastAsia" w:ascii="宋体" w:hAnsi="宋体" w:cs="宋体"/>
                <w:szCs w:val="21"/>
              </w:rPr>
              <w:t>供应商应该通过必要的会议制度来实施协调工作，主要包括：第一次现场会、监理交底会、周例会、监理协调会、专题讨论会、专家论证会、阶段工作总结会、问题通报会、阶段及最终验收会等。</w:t>
            </w:r>
          </w:p>
          <w:p>
            <w:pPr>
              <w:spacing w:line="577" w:lineRule="exact"/>
              <w:ind w:firstLine="420" w:firstLineChars="200"/>
              <w:rPr>
                <w:rFonts w:ascii="宋体" w:hAnsi="宋体" w:cs="宋体"/>
                <w:szCs w:val="21"/>
              </w:rPr>
            </w:pPr>
            <w:r>
              <w:rPr>
                <w:rFonts w:hint="eastAsia" w:ascii="宋体" w:hAnsi="宋体" w:cs="宋体"/>
                <w:szCs w:val="21"/>
              </w:rPr>
              <w:t>（六）监理项目质量和进度要求</w:t>
            </w:r>
          </w:p>
          <w:p>
            <w:pPr>
              <w:spacing w:line="577" w:lineRule="exact"/>
              <w:ind w:firstLine="420" w:firstLineChars="200"/>
              <w:rPr>
                <w:rFonts w:ascii="宋体" w:hAnsi="宋体" w:cs="宋体"/>
                <w:szCs w:val="21"/>
              </w:rPr>
            </w:pPr>
            <w:r>
              <w:rPr>
                <w:rFonts w:hint="eastAsia" w:ascii="宋体" w:hAnsi="宋体" w:cs="宋体"/>
                <w:szCs w:val="21"/>
              </w:rPr>
              <w:t>1.监理项目质量要求：要保证在预定的监理工程进度和投资下，完成合同中所规定的监理工程项目，且满足承建合同中所规定的技术指标要求。</w:t>
            </w:r>
          </w:p>
          <w:p>
            <w:pPr>
              <w:spacing w:line="577" w:lineRule="exact"/>
              <w:ind w:firstLine="420" w:firstLineChars="200"/>
              <w:rPr>
                <w:rFonts w:ascii="宋体" w:hAnsi="宋体" w:cs="宋体"/>
                <w:szCs w:val="21"/>
              </w:rPr>
            </w:pPr>
            <w:r>
              <w:rPr>
                <w:rFonts w:hint="eastAsia" w:ascii="宋体" w:hAnsi="宋体" w:cs="宋体"/>
                <w:szCs w:val="21"/>
              </w:rPr>
              <w:t>2.监理项目进度要求：要保证监理项目在合同规定的时间内完成，且监理工程的各个分项、各个阶段建设按照预定的计划有序地进行。</w:t>
            </w:r>
          </w:p>
          <w:p>
            <w:pPr>
              <w:spacing w:line="577" w:lineRule="exact"/>
              <w:ind w:firstLine="420" w:firstLineChars="200"/>
              <w:rPr>
                <w:rFonts w:ascii="宋体" w:hAnsi="宋体" w:cs="宋体"/>
                <w:szCs w:val="21"/>
              </w:rPr>
            </w:pPr>
            <w:r>
              <w:rPr>
                <w:rFonts w:hint="eastAsia" w:ascii="宋体" w:hAnsi="宋体" w:cs="宋体"/>
                <w:szCs w:val="21"/>
              </w:rPr>
              <w:t>3.本监理项目的监理服务时间与建设项目标段建设周期和项目其他建设内容的建设完成时间同步。以项目全部建设内容建设完成，通过正式验收为标志。</w:t>
            </w:r>
          </w:p>
          <w:p>
            <w:pPr>
              <w:spacing w:line="577" w:lineRule="exact"/>
              <w:ind w:firstLine="482" w:firstLineChars="200"/>
              <w:rPr>
                <w:rFonts w:ascii="宋体" w:hAnsi="宋体" w:cs="宋体"/>
                <w:szCs w:val="21"/>
              </w:rPr>
            </w:pPr>
            <w:r>
              <w:rPr>
                <w:rFonts w:hint="eastAsia" w:ascii="宋体" w:hAnsi="宋体" w:cs="宋体"/>
                <w:b/>
                <w:bCs/>
                <w:sz w:val="24"/>
              </w:rPr>
              <w:t>★</w:t>
            </w:r>
            <w:r>
              <w:rPr>
                <w:rFonts w:hint="eastAsia" w:ascii="宋体" w:hAnsi="宋体" w:cs="宋体"/>
                <w:szCs w:val="21"/>
              </w:rPr>
              <w:t>（七）监理人员最低配置要求</w:t>
            </w:r>
          </w:p>
          <w:p>
            <w:pPr>
              <w:spacing w:line="577" w:lineRule="exact"/>
              <w:ind w:firstLine="420" w:firstLineChars="200"/>
              <w:rPr>
                <w:rFonts w:ascii="宋体" w:hAnsi="宋体" w:cs="宋体"/>
                <w:szCs w:val="21"/>
              </w:rPr>
            </w:pPr>
            <w:r>
              <w:rPr>
                <w:rFonts w:hint="eastAsia" w:ascii="宋体" w:hAnsi="宋体" w:cs="宋体"/>
                <w:szCs w:val="21"/>
              </w:rPr>
              <w:t>供应商拟投入本项目监理人员人数不得少于</w:t>
            </w:r>
            <w:r>
              <w:rPr>
                <w:rFonts w:ascii="宋体" w:hAnsi="宋体" w:cs="宋体"/>
                <w:szCs w:val="21"/>
              </w:rPr>
              <w:t>2</w:t>
            </w:r>
            <w:r>
              <w:rPr>
                <w:rFonts w:hint="eastAsia" w:ascii="宋体" w:hAnsi="宋体" w:cs="宋体"/>
                <w:szCs w:val="21"/>
              </w:rPr>
              <w:t>人，须是供应商的正式员工（以响应文件中提供的社保证明为准），且需具有信息系统监理师证书。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62" w:type="dxa"/>
            <w:gridSpan w:val="3"/>
            <w:tcBorders>
              <w:top w:val="single" w:color="auto" w:sz="4" w:space="0"/>
              <w:left w:val="single" w:color="auto" w:sz="4" w:space="0"/>
              <w:bottom w:val="single" w:color="auto" w:sz="4" w:space="0"/>
              <w:right w:val="single" w:color="auto" w:sz="4" w:space="0"/>
            </w:tcBorders>
            <w:vAlign w:val="center"/>
          </w:tcPr>
          <w:p>
            <w:pPr>
              <w:spacing w:line="577" w:lineRule="exact"/>
              <w:rPr>
                <w:rFonts w:ascii="宋体" w:hAnsi="宋体" w:cs="宋体"/>
                <w:szCs w:val="21"/>
              </w:rPr>
            </w:pPr>
            <w:r>
              <w:rPr>
                <w:rFonts w:hint="eastAsia" w:ascii="宋体" w:hAnsi="宋体" w:cs="宋体"/>
                <w:b/>
                <w:szCs w:val="21"/>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4"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577" w:lineRule="exact"/>
              <w:jc w:val="center"/>
              <w:rPr>
                <w:rFonts w:ascii="宋体" w:hAnsi="宋体" w:cs="宋体"/>
                <w:szCs w:val="21"/>
              </w:rPr>
            </w:pPr>
            <w:r>
              <w:rPr>
                <w:rFonts w:hint="eastAsia" w:ascii="宋体" w:hAnsi="宋体" w:cs="宋体"/>
                <w:szCs w:val="21"/>
              </w:rPr>
              <w:t>★合同签订期</w:t>
            </w:r>
          </w:p>
        </w:tc>
        <w:tc>
          <w:tcPr>
            <w:tcW w:w="7358" w:type="dxa"/>
            <w:tcBorders>
              <w:top w:val="single" w:color="auto" w:sz="4" w:space="0"/>
              <w:left w:val="single" w:color="auto" w:sz="4" w:space="0"/>
              <w:bottom w:val="single" w:color="auto" w:sz="4" w:space="0"/>
              <w:right w:val="single" w:color="auto" w:sz="4" w:space="0"/>
            </w:tcBorders>
            <w:vAlign w:val="center"/>
          </w:tcPr>
          <w:p>
            <w:pPr>
              <w:spacing w:line="577" w:lineRule="exact"/>
              <w:rPr>
                <w:rFonts w:ascii="宋体" w:hAnsi="宋体" w:cs="宋体"/>
                <w:szCs w:val="21"/>
              </w:rPr>
            </w:pPr>
            <w:r>
              <w:rPr>
                <w:rFonts w:hint="eastAsia" w:ascii="宋体" w:hAnsi="宋体" w:cs="宋体"/>
                <w:szCs w:val="21"/>
              </w:rPr>
              <w:t>自成交通知书发出之日起25个日历天内。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4"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577" w:lineRule="exact"/>
              <w:jc w:val="center"/>
              <w:rPr>
                <w:rFonts w:ascii="宋体" w:hAnsi="宋体" w:cs="宋体"/>
                <w:szCs w:val="21"/>
              </w:rPr>
            </w:pPr>
            <w:r>
              <w:rPr>
                <w:rFonts w:hint="eastAsia" w:ascii="宋体" w:hAnsi="宋体" w:cs="宋体"/>
                <w:szCs w:val="21"/>
              </w:rPr>
              <w:t>★报价要求</w:t>
            </w:r>
          </w:p>
        </w:tc>
        <w:tc>
          <w:tcPr>
            <w:tcW w:w="7358" w:type="dxa"/>
            <w:tcBorders>
              <w:top w:val="single" w:color="auto" w:sz="4" w:space="0"/>
              <w:left w:val="single" w:color="auto" w:sz="4" w:space="0"/>
              <w:bottom w:val="single" w:color="auto" w:sz="4" w:space="0"/>
              <w:right w:val="single" w:color="auto" w:sz="4" w:space="0"/>
            </w:tcBorders>
            <w:vAlign w:val="center"/>
          </w:tcPr>
          <w:p>
            <w:pPr>
              <w:spacing w:line="577" w:lineRule="exact"/>
              <w:rPr>
                <w:rFonts w:ascii="宋体" w:hAnsi="宋体" w:cs="宋体"/>
                <w:szCs w:val="21"/>
              </w:rPr>
            </w:pPr>
            <w:r>
              <w:rPr>
                <w:rFonts w:hint="eastAsia" w:ascii="宋体" w:hAnsi="宋体" w:cs="宋体"/>
                <w:szCs w:val="21"/>
              </w:rPr>
              <w:t>本项目服务费用包含完成本项目所有工作任务所需的一切费用（实施和完成本项目的实施阶段监理工作所需的人工费、劳务费、咨询费、技术服务费、交通、通讯、保险、税费和利润等费用，以及合同明示或暗示的所有责任、义务和一般风险等的一切费用等各种费用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4" w:type="dxa"/>
            <w:gridSpan w:val="2"/>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577" w:lineRule="exact"/>
              <w:jc w:val="center"/>
              <w:rPr>
                <w:rFonts w:ascii="宋体" w:hAnsi="宋体" w:cs="宋体"/>
                <w:szCs w:val="21"/>
              </w:rPr>
            </w:pPr>
            <w:r>
              <w:rPr>
                <w:rFonts w:hint="eastAsia" w:ascii="宋体" w:hAnsi="宋体" w:cs="宋体"/>
                <w:szCs w:val="21"/>
              </w:rPr>
              <w:t>★服务期限及服务地点</w:t>
            </w:r>
          </w:p>
        </w:tc>
        <w:tc>
          <w:tcPr>
            <w:tcW w:w="7358" w:type="dxa"/>
            <w:tcBorders>
              <w:top w:val="single" w:color="auto" w:sz="4" w:space="0"/>
              <w:left w:val="single" w:color="auto" w:sz="4" w:space="0"/>
              <w:bottom w:val="single" w:color="auto" w:sz="4" w:space="0"/>
              <w:right w:val="single" w:color="auto" w:sz="4" w:space="0"/>
            </w:tcBorders>
            <w:vAlign w:val="center"/>
          </w:tcPr>
          <w:p>
            <w:pPr>
              <w:spacing w:line="577" w:lineRule="exact"/>
              <w:rPr>
                <w:rFonts w:ascii="宋体" w:hAnsi="宋体" w:cs="宋体"/>
                <w:szCs w:val="21"/>
              </w:rPr>
            </w:pPr>
            <w:r>
              <w:rPr>
                <w:rFonts w:hint="eastAsia" w:ascii="宋体" w:hAnsi="宋体" w:cs="宋体"/>
                <w:szCs w:val="21"/>
              </w:rPr>
              <w:t>服务期限：从签订合同之日起至项目竣工验收合格之日止。</w:t>
            </w:r>
          </w:p>
          <w:p>
            <w:pPr>
              <w:spacing w:line="577" w:lineRule="exact"/>
              <w:rPr>
                <w:rFonts w:ascii="宋体" w:hAnsi="宋体" w:cs="宋体"/>
                <w:szCs w:val="21"/>
              </w:rPr>
            </w:pPr>
            <w:r>
              <w:rPr>
                <w:rFonts w:hint="eastAsia" w:ascii="宋体" w:hAnsi="宋体" w:cs="宋体"/>
                <w:szCs w:val="21"/>
              </w:rPr>
              <w:t>服务地点：采购人指定地点。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4" w:type="dxa"/>
            <w:gridSpan w:val="2"/>
            <w:tcBorders>
              <w:top w:val="single" w:color="auto" w:sz="4" w:space="0"/>
              <w:left w:val="single" w:color="auto" w:sz="4" w:space="0"/>
              <w:bottom w:val="single" w:color="auto" w:sz="4" w:space="0"/>
              <w:right w:val="single" w:color="auto" w:sz="4" w:space="0"/>
            </w:tcBorders>
            <w:vAlign w:val="center"/>
          </w:tcPr>
          <w:p>
            <w:pPr>
              <w:spacing w:line="577" w:lineRule="exact"/>
              <w:jc w:val="center"/>
              <w:rPr>
                <w:rFonts w:ascii="宋体" w:hAnsi="宋体" w:cs="宋体"/>
                <w:szCs w:val="21"/>
              </w:rPr>
            </w:pPr>
            <w:r>
              <w:rPr>
                <w:rFonts w:hint="eastAsia" w:ascii="宋体" w:hAnsi="宋体" w:cs="宋体"/>
                <w:szCs w:val="21"/>
              </w:rPr>
              <w:t>★付款方式</w:t>
            </w:r>
          </w:p>
        </w:tc>
        <w:tc>
          <w:tcPr>
            <w:tcW w:w="7358" w:type="dxa"/>
            <w:tcBorders>
              <w:top w:val="single" w:color="auto" w:sz="4" w:space="0"/>
              <w:left w:val="single" w:color="auto" w:sz="4" w:space="0"/>
              <w:bottom w:val="single" w:color="auto" w:sz="4" w:space="0"/>
              <w:right w:val="single" w:color="auto" w:sz="4" w:space="0"/>
            </w:tcBorders>
            <w:vAlign w:val="center"/>
          </w:tcPr>
          <w:p>
            <w:pPr>
              <w:tabs>
                <w:tab w:val="left" w:pos="664"/>
              </w:tabs>
              <w:autoSpaceDE w:val="0"/>
              <w:autoSpaceDN w:val="0"/>
              <w:spacing w:line="577" w:lineRule="exact"/>
              <w:jc w:val="left"/>
              <w:rPr>
                <w:rFonts w:ascii="Arial" w:hAnsi="Arial" w:cs="Arial"/>
                <w:b/>
                <w:bCs/>
                <w:kern w:val="0"/>
                <w:szCs w:val="21"/>
                <w:lang w:val="zh-CN" w:bidi="zh-CN"/>
              </w:rPr>
            </w:pPr>
            <w:r>
              <w:rPr>
                <w:rFonts w:ascii="Arial" w:hAnsi="Arial" w:cs="Arial"/>
                <w:b/>
                <w:bCs/>
                <w:kern w:val="0"/>
                <w:szCs w:val="21"/>
                <w:lang w:val="zh-CN" w:bidi="zh-CN"/>
              </w:rPr>
              <w:t>（1）合同签订后采购人支付中标供应商</w:t>
            </w:r>
            <w:r>
              <w:rPr>
                <w:rFonts w:ascii="Arial" w:hAnsi="Arial" w:cs="Arial"/>
                <w:b/>
                <w:bCs/>
                <w:kern w:val="0"/>
                <w:szCs w:val="21"/>
                <w:lang w:bidi="zh-CN"/>
              </w:rPr>
              <w:t>45</w:t>
            </w:r>
            <w:r>
              <w:rPr>
                <w:rFonts w:ascii="Arial" w:hAnsi="Arial" w:cs="Arial"/>
                <w:b/>
                <w:bCs/>
                <w:kern w:val="0"/>
                <w:szCs w:val="21"/>
                <w:lang w:val="zh-CN" w:bidi="zh-CN"/>
              </w:rPr>
              <w:t xml:space="preserve">%合同款。 </w:t>
            </w:r>
          </w:p>
          <w:p>
            <w:pPr>
              <w:tabs>
                <w:tab w:val="left" w:pos="664"/>
              </w:tabs>
              <w:autoSpaceDE w:val="0"/>
              <w:autoSpaceDN w:val="0"/>
              <w:spacing w:line="577" w:lineRule="exact"/>
              <w:jc w:val="left"/>
              <w:rPr>
                <w:rFonts w:ascii="Arial" w:hAnsi="Arial" w:cs="Arial"/>
                <w:b/>
                <w:bCs/>
                <w:kern w:val="0"/>
                <w:szCs w:val="21"/>
                <w:lang w:val="zh-CN" w:bidi="zh-CN"/>
              </w:rPr>
            </w:pPr>
            <w:r>
              <w:rPr>
                <w:rFonts w:ascii="Arial" w:hAnsi="Arial" w:cs="Arial"/>
                <w:b/>
                <w:bCs/>
                <w:kern w:val="0"/>
                <w:szCs w:val="21"/>
                <w:lang w:val="zh-CN" w:bidi="zh-CN"/>
              </w:rPr>
              <w:t>（2）项目建设完成通过初步验收后支付</w:t>
            </w:r>
            <w:r>
              <w:rPr>
                <w:rFonts w:ascii="Arial" w:hAnsi="Arial" w:cs="Arial"/>
                <w:b/>
                <w:bCs/>
                <w:kern w:val="0"/>
                <w:szCs w:val="21"/>
                <w:lang w:bidi="zh-CN"/>
              </w:rPr>
              <w:t>50</w:t>
            </w:r>
            <w:r>
              <w:rPr>
                <w:rFonts w:ascii="Arial" w:hAnsi="Arial" w:cs="Arial"/>
                <w:b/>
                <w:bCs/>
                <w:kern w:val="0"/>
                <w:szCs w:val="21"/>
                <w:lang w:val="zh-CN" w:bidi="zh-CN"/>
              </w:rPr>
              <w:t>%合同款。</w:t>
            </w:r>
          </w:p>
          <w:p>
            <w:pPr>
              <w:tabs>
                <w:tab w:val="left" w:pos="664"/>
              </w:tabs>
              <w:autoSpaceDE w:val="0"/>
              <w:autoSpaceDN w:val="0"/>
              <w:spacing w:line="577" w:lineRule="exact"/>
              <w:jc w:val="left"/>
              <w:rPr>
                <w:rFonts w:ascii="Arial" w:hAnsi="Arial" w:cs="Arial"/>
                <w:b/>
                <w:bCs/>
                <w:kern w:val="0"/>
                <w:szCs w:val="21"/>
                <w:lang w:val="zh-CN" w:bidi="zh-CN"/>
              </w:rPr>
            </w:pPr>
            <w:r>
              <w:rPr>
                <w:rFonts w:ascii="Arial" w:hAnsi="Arial" w:cs="Arial"/>
                <w:b/>
                <w:bCs/>
                <w:kern w:val="0"/>
                <w:szCs w:val="21"/>
                <w:lang w:val="zh-CN" w:bidi="zh-CN"/>
              </w:rPr>
              <w:t>（3）项目通过竣工验收后支付</w:t>
            </w:r>
            <w:r>
              <w:rPr>
                <w:rFonts w:ascii="Arial" w:hAnsi="Arial" w:cs="Arial"/>
                <w:b/>
                <w:bCs/>
                <w:kern w:val="0"/>
                <w:szCs w:val="21"/>
                <w:lang w:bidi="zh-CN"/>
              </w:rPr>
              <w:t>5</w:t>
            </w:r>
            <w:r>
              <w:rPr>
                <w:rFonts w:ascii="Arial" w:hAnsi="Arial" w:cs="Arial"/>
                <w:b/>
                <w:bCs/>
                <w:kern w:val="0"/>
                <w:szCs w:val="21"/>
                <w:lang w:val="zh-CN" w:bidi="zh-CN"/>
              </w:rPr>
              <w:t>%合同款。</w:t>
            </w:r>
          </w:p>
          <w:p>
            <w:pPr>
              <w:spacing w:line="577" w:lineRule="exact"/>
              <w:rPr>
                <w:rFonts w:ascii="Arial" w:hAnsi="Arial" w:cs="Arial"/>
                <w:b/>
                <w:bCs/>
                <w:kern w:val="0"/>
                <w:szCs w:val="21"/>
                <w:lang w:val="zh-CN" w:bidi="zh-CN"/>
              </w:rPr>
            </w:pPr>
            <w:r>
              <w:rPr>
                <w:rFonts w:ascii="Arial" w:hAnsi="Arial" w:cs="Arial"/>
                <w:b/>
                <w:bCs/>
                <w:kern w:val="0"/>
                <w:szCs w:val="21"/>
                <w:lang w:val="zh-CN" w:bidi="zh-CN"/>
              </w:rPr>
              <w:t>每次付款前，采购人在收到中标供应商请款函和发票之日起10个工作日内支付款项。</w:t>
            </w:r>
          </w:p>
          <w:p>
            <w:pPr>
              <w:spacing w:line="577" w:lineRule="exact"/>
              <w:rPr>
                <w:rFonts w:ascii="宋体" w:hAnsi="宋体" w:cs="宋体"/>
                <w:szCs w:val="21"/>
              </w:rPr>
            </w:pPr>
            <w:r>
              <w:rPr>
                <w:rFonts w:hint="eastAsia" w:ascii="宋体" w:hAnsi="宋体" w:cs="宋体"/>
                <w:szCs w:val="21"/>
              </w:rPr>
              <w:t>注：1.采购人付款前，成交供应商向采购人提供等额有效的合格发票。采购人未收到发票的，有权不予支付相应款项并不承担延迟付款责任。成交供应商必须按照采购人要求提供真实、有效、合法的正式发票。一旦发现成交供应商提供虚假发票，除须向采购人补开合法发票外，须赔偿采购人发票票面金额一倍的违约金，且采购人有权终止合同，成交供应商不得提出异议，因终止合同而产生的一切损失均由成交供应商自行承担。</w:t>
            </w:r>
          </w:p>
          <w:p>
            <w:pPr>
              <w:spacing w:line="577" w:lineRule="exact"/>
              <w:rPr>
                <w:rFonts w:ascii="宋体" w:hAnsi="宋体" w:cs="宋体"/>
                <w:szCs w:val="21"/>
              </w:rPr>
            </w:pPr>
            <w:r>
              <w:rPr>
                <w:rFonts w:hint="eastAsia" w:ascii="宋体" w:hAnsi="宋体" w:cs="宋体"/>
                <w:szCs w:val="21"/>
              </w:rPr>
              <w:t>2.本项目使用货币币制如未作特别说明均为人民币。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4" w:type="dxa"/>
            <w:gridSpan w:val="2"/>
            <w:tcBorders>
              <w:top w:val="single" w:color="auto" w:sz="4" w:space="0"/>
              <w:left w:val="single" w:color="auto" w:sz="4" w:space="0"/>
              <w:bottom w:val="single" w:color="auto" w:sz="4" w:space="0"/>
              <w:right w:val="single" w:color="auto" w:sz="4" w:space="0"/>
            </w:tcBorders>
            <w:vAlign w:val="center"/>
          </w:tcPr>
          <w:p>
            <w:pPr>
              <w:spacing w:line="577" w:lineRule="exact"/>
              <w:jc w:val="center"/>
              <w:rPr>
                <w:rFonts w:ascii="宋体" w:hAnsi="宋体" w:cs="宋体"/>
                <w:szCs w:val="21"/>
              </w:rPr>
            </w:pPr>
            <w:r>
              <w:rPr>
                <w:rFonts w:hint="eastAsia" w:ascii="宋体" w:hAnsi="宋体" w:cs="宋体"/>
                <w:szCs w:val="21"/>
              </w:rPr>
              <w:t>★处理问题响应时间</w:t>
            </w:r>
          </w:p>
        </w:tc>
        <w:tc>
          <w:tcPr>
            <w:tcW w:w="7358" w:type="dxa"/>
            <w:tcBorders>
              <w:top w:val="single" w:color="auto" w:sz="4" w:space="0"/>
              <w:left w:val="single" w:color="auto" w:sz="4" w:space="0"/>
              <w:bottom w:val="single" w:color="auto" w:sz="4" w:space="0"/>
              <w:right w:val="single" w:color="auto" w:sz="4" w:space="0"/>
            </w:tcBorders>
            <w:vAlign w:val="center"/>
          </w:tcPr>
          <w:p>
            <w:pPr>
              <w:spacing w:line="577" w:lineRule="exact"/>
              <w:rPr>
                <w:rFonts w:ascii="宋体" w:hAnsi="宋体" w:cs="宋体"/>
                <w:szCs w:val="21"/>
              </w:rPr>
            </w:pPr>
            <w:r>
              <w:rPr>
                <w:rFonts w:hint="eastAsia" w:ascii="宋体" w:hAnsi="宋体" w:cs="宋体"/>
                <w:szCs w:val="21"/>
              </w:rPr>
              <w:t>接到采购人处理问题通知后2小时内到达采购人指定现场。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4" w:type="dxa"/>
            <w:gridSpan w:val="2"/>
            <w:tcBorders>
              <w:top w:val="single" w:color="auto" w:sz="4" w:space="0"/>
              <w:left w:val="single" w:color="auto" w:sz="4" w:space="0"/>
              <w:bottom w:val="single" w:color="auto" w:sz="4" w:space="0"/>
              <w:right w:val="single" w:color="auto" w:sz="4" w:space="0"/>
            </w:tcBorders>
            <w:vAlign w:val="center"/>
          </w:tcPr>
          <w:p>
            <w:pPr>
              <w:spacing w:line="577" w:lineRule="exact"/>
              <w:jc w:val="center"/>
              <w:rPr>
                <w:rFonts w:ascii="宋体" w:hAnsi="宋体" w:cs="宋体"/>
                <w:szCs w:val="21"/>
              </w:rPr>
            </w:pPr>
            <w:r>
              <w:rPr>
                <w:rFonts w:hint="eastAsia" w:ascii="宋体" w:hAnsi="宋体" w:cs="宋体"/>
                <w:szCs w:val="21"/>
              </w:rPr>
              <w:t>★其他要求</w:t>
            </w:r>
          </w:p>
        </w:tc>
        <w:tc>
          <w:tcPr>
            <w:tcW w:w="7358" w:type="dxa"/>
            <w:tcBorders>
              <w:top w:val="single" w:color="auto" w:sz="4" w:space="0"/>
              <w:left w:val="single" w:color="auto" w:sz="4" w:space="0"/>
              <w:bottom w:val="single" w:color="auto" w:sz="4" w:space="0"/>
              <w:right w:val="single" w:color="auto" w:sz="4" w:space="0"/>
            </w:tcBorders>
            <w:vAlign w:val="center"/>
          </w:tcPr>
          <w:p>
            <w:pPr>
              <w:spacing w:line="577" w:lineRule="exact"/>
              <w:rPr>
                <w:rFonts w:ascii="宋体" w:hAnsi="宋体" w:cs="宋体"/>
                <w:szCs w:val="21"/>
              </w:rPr>
            </w:pPr>
            <w:r>
              <w:rPr>
                <w:rFonts w:hint="eastAsia" w:ascii="宋体" w:hAnsi="宋体" w:cs="宋体"/>
                <w:szCs w:val="21"/>
              </w:rPr>
              <w:t>1.供应商必须承诺成交后对负责本项目的监理人员不得随意更换，若要更换，须经采购人批准同意。</w:t>
            </w:r>
          </w:p>
          <w:p>
            <w:pPr>
              <w:spacing w:line="577" w:lineRule="exact"/>
              <w:rPr>
                <w:rFonts w:ascii="宋体" w:hAnsi="宋体" w:cs="宋体"/>
                <w:szCs w:val="21"/>
              </w:rPr>
            </w:pPr>
            <w:r>
              <w:rPr>
                <w:rFonts w:hint="eastAsia" w:ascii="宋体" w:hAnsi="宋体" w:cs="宋体"/>
                <w:szCs w:val="21"/>
              </w:rPr>
              <w:t>2.供应商投入人员必须认真负责，服从采购人要求，工作人员的生活用品、交通工具、通讯、办公用品、监理用具、保险由供应商自行解决，在磋商报价时应考虑此费用。</w:t>
            </w:r>
          </w:p>
        </w:tc>
      </w:tr>
    </w:tbl>
    <w:p>
      <w:pPr>
        <w:adjustRightInd w:val="0"/>
        <w:snapToGrid w:val="0"/>
        <w:spacing w:line="577" w:lineRule="exact"/>
        <w:ind w:firstLine="420" w:firstLineChars="200"/>
        <w:rPr>
          <w:rFonts w:ascii="方正黑体_GBK" w:hAnsi="方正黑体_GBK" w:eastAsia="方正黑体_GBK" w:cs="方正黑体_GBK"/>
          <w:sz w:val="30"/>
          <w:szCs w:val="30"/>
        </w:rPr>
      </w:pPr>
      <w:r>
        <w:br w:type="page"/>
      </w:r>
      <w:r>
        <w:rPr>
          <w:rFonts w:hint="eastAsia" w:eastAsia="方正黑体_GBK"/>
          <w:sz w:val="30"/>
          <w:szCs w:val="30"/>
        </w:rPr>
        <w:t>六、报价人资格要求</w:t>
      </w:r>
    </w:p>
    <w:p>
      <w:pPr>
        <w:adjustRightInd w:val="0"/>
        <w:snapToGrid w:val="0"/>
        <w:spacing w:line="577" w:lineRule="exact"/>
        <w:ind w:firstLine="600" w:firstLineChars="200"/>
        <w:rPr>
          <w:rFonts w:ascii="仿宋_GB2312" w:eastAsia="仿宋_GB2312"/>
          <w:sz w:val="30"/>
          <w:szCs w:val="30"/>
        </w:rPr>
      </w:pPr>
      <w:r>
        <w:rPr>
          <w:rFonts w:hint="eastAsia" w:ascii="仿宋_GB2312" w:eastAsia="仿宋_GB2312"/>
          <w:sz w:val="30"/>
          <w:szCs w:val="30"/>
        </w:rPr>
        <w:t>1.符合《中华人民共和国政府采购法》第二十二条的规定。</w:t>
      </w:r>
    </w:p>
    <w:p>
      <w:pPr>
        <w:adjustRightInd w:val="0"/>
        <w:snapToGrid w:val="0"/>
        <w:spacing w:line="577" w:lineRule="exact"/>
        <w:ind w:firstLine="600" w:firstLineChars="200"/>
        <w:rPr>
          <w:rFonts w:ascii="仿宋_GB2312" w:eastAsia="仿宋_GB2312"/>
          <w:sz w:val="30"/>
          <w:szCs w:val="30"/>
        </w:rPr>
      </w:pPr>
      <w:r>
        <w:rPr>
          <w:rFonts w:hint="eastAsia" w:ascii="仿宋_GB2312" w:eastAsia="仿宋_GB2312"/>
          <w:sz w:val="30"/>
          <w:szCs w:val="30"/>
        </w:rPr>
        <w:t>2.本项目不接受联合体报价。</w:t>
      </w:r>
    </w:p>
    <w:p>
      <w:pPr>
        <w:adjustRightInd w:val="0"/>
        <w:snapToGrid w:val="0"/>
        <w:spacing w:line="577" w:lineRule="exact"/>
        <w:ind w:firstLine="600" w:firstLineChars="200"/>
        <w:rPr>
          <w:rFonts w:ascii="仿宋_GB2312" w:eastAsia="仿宋_GB2312"/>
          <w:sz w:val="30"/>
          <w:szCs w:val="30"/>
        </w:rPr>
      </w:pPr>
      <w:r>
        <w:rPr>
          <w:rFonts w:hint="eastAsia" w:ascii="仿宋_GB2312" w:eastAsia="仿宋_GB2312"/>
          <w:sz w:val="30"/>
          <w:szCs w:val="30"/>
        </w:rPr>
        <w:t>3.对在“信用中国”网站(www.creditchina.gov.cn)、中国政府采购网(www.ccgp.gov.cn)等渠道列入失信被执行人、政府采购严重违法失信行为记录名单及其他不符合《中华人民共和国政府采购法》第二十二条规定条件的供应商，将被拒绝参与本次采购活动。</w:t>
      </w:r>
    </w:p>
    <w:p>
      <w:pPr>
        <w:adjustRightInd w:val="0"/>
        <w:snapToGrid w:val="0"/>
        <w:spacing w:line="577"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七、采购预算询价文件的获取</w:t>
      </w:r>
    </w:p>
    <w:p>
      <w:pPr>
        <w:adjustRightInd w:val="0"/>
        <w:snapToGrid w:val="0"/>
        <w:spacing w:line="577" w:lineRule="exact"/>
        <w:ind w:firstLine="600" w:firstLineChars="200"/>
        <w:rPr>
          <w:rFonts w:ascii="仿宋_GB2312" w:eastAsia="仿宋_GB2312"/>
          <w:sz w:val="30"/>
          <w:szCs w:val="30"/>
        </w:rPr>
      </w:pPr>
      <w:r>
        <w:rPr>
          <w:rFonts w:hint="eastAsia" w:ascii="仿宋_GB2312" w:eastAsia="仿宋_GB2312"/>
          <w:sz w:val="30"/>
          <w:szCs w:val="30"/>
        </w:rPr>
        <w:t>获取方式：请联系项目联系人雷娴婷（</w:t>
      </w:r>
      <w:r>
        <w:rPr>
          <w:rFonts w:hint="eastAsia" w:ascii="仿宋_GB2312" w:eastAsia="仿宋_GB2312"/>
          <w:sz w:val="30"/>
          <w:szCs w:val="30"/>
          <w:lang w:val="en"/>
        </w:rPr>
        <w:t>联系电话：0</w:t>
      </w:r>
      <w:r>
        <w:rPr>
          <w:rFonts w:ascii="仿宋_GB2312" w:eastAsia="仿宋_GB2312"/>
          <w:sz w:val="30"/>
          <w:szCs w:val="30"/>
          <w:lang w:val="en"/>
        </w:rPr>
        <w:t>771-</w:t>
      </w:r>
      <w:r>
        <w:rPr>
          <w:rFonts w:hint="eastAsia" w:ascii="仿宋_GB2312" w:eastAsia="仿宋_GB2312"/>
          <w:sz w:val="30"/>
          <w:szCs w:val="30"/>
        </w:rPr>
        <w:t>6116982）免费获取或自行下载；</w:t>
      </w:r>
    </w:p>
    <w:p>
      <w:pPr>
        <w:adjustRightInd w:val="0"/>
        <w:snapToGrid w:val="0"/>
        <w:spacing w:line="577"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八、报价文件递交截止时间和地点</w:t>
      </w:r>
    </w:p>
    <w:p>
      <w:pPr>
        <w:adjustRightInd w:val="0"/>
        <w:snapToGrid w:val="0"/>
        <w:spacing w:line="577" w:lineRule="exact"/>
        <w:ind w:firstLine="600" w:firstLineChars="200"/>
        <w:rPr>
          <w:rFonts w:ascii="仿宋_GB2312" w:eastAsia="仿宋_GB2312"/>
          <w:sz w:val="30"/>
          <w:szCs w:val="30"/>
        </w:rPr>
      </w:pPr>
      <w:r>
        <w:rPr>
          <w:rFonts w:hint="eastAsia" w:ascii="仿宋_GB2312" w:eastAsia="仿宋_GB2312"/>
          <w:sz w:val="30"/>
          <w:szCs w:val="30"/>
        </w:rPr>
        <w:t>报价人应于2024年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17</w:t>
      </w:r>
      <w:r>
        <w:rPr>
          <w:rFonts w:hint="eastAsia" w:ascii="仿宋_GB2312" w:eastAsia="仿宋_GB2312"/>
          <w:sz w:val="30"/>
          <w:szCs w:val="30"/>
        </w:rPr>
        <w:t>日</w:t>
      </w:r>
      <w:r>
        <w:rPr>
          <w:rFonts w:hint="eastAsia" w:ascii="仿宋_GB2312" w:eastAsia="仿宋_GB2312"/>
          <w:sz w:val="30"/>
          <w:szCs w:val="30"/>
          <w:lang w:val="en-US" w:eastAsia="zh-CN"/>
        </w:rPr>
        <w:t>18</w:t>
      </w:r>
      <w:bookmarkStart w:id="11" w:name="_GoBack"/>
      <w:bookmarkEnd w:id="11"/>
      <w:r>
        <w:rPr>
          <w:rFonts w:hint="eastAsia" w:ascii="仿宋_GB2312" w:eastAsia="仿宋_GB2312"/>
          <w:sz w:val="30"/>
          <w:szCs w:val="30"/>
        </w:rPr>
        <w:t>时前，将磋商文件密封提交或邮寄到广西壮族自治区大数据发展局办公室，逾期送达的将作无效报价文件处理。</w:t>
      </w:r>
    </w:p>
    <w:p>
      <w:pPr>
        <w:pStyle w:val="8"/>
        <w:spacing w:line="577" w:lineRule="exact"/>
        <w:rPr>
          <w:rFonts w:ascii="仿宋_GB2312" w:eastAsia="仿宋_GB2312"/>
          <w:sz w:val="30"/>
          <w:szCs w:val="30"/>
        </w:rPr>
      </w:pPr>
    </w:p>
    <w:p>
      <w:pPr>
        <w:pStyle w:val="8"/>
        <w:spacing w:line="577" w:lineRule="exact"/>
        <w:rPr>
          <w:rFonts w:ascii="仿宋_GB2312" w:eastAsia="仿宋_GB2312"/>
          <w:sz w:val="30"/>
          <w:szCs w:val="30"/>
        </w:rPr>
      </w:pPr>
    </w:p>
    <w:p>
      <w:pPr>
        <w:adjustRightInd w:val="0"/>
        <w:snapToGrid w:val="0"/>
        <w:spacing w:line="577" w:lineRule="exact"/>
        <w:jc w:val="right"/>
        <w:rPr>
          <w:rFonts w:ascii="仿宋_GB2312" w:eastAsia="仿宋_GB2312"/>
          <w:sz w:val="30"/>
          <w:szCs w:val="30"/>
        </w:rPr>
      </w:pPr>
      <w:r>
        <w:rPr>
          <w:rFonts w:hint="eastAsia" w:ascii="仿宋_GB2312" w:eastAsia="仿宋_GB2312"/>
          <w:sz w:val="30"/>
          <w:szCs w:val="30"/>
        </w:rPr>
        <w:t>广西壮族自治区大数据发展局</w:t>
      </w:r>
    </w:p>
    <w:p>
      <w:pPr>
        <w:adjustRightInd w:val="0"/>
        <w:snapToGrid w:val="0"/>
        <w:spacing w:line="577" w:lineRule="exact"/>
        <w:ind w:firstLine="600" w:firstLineChars="200"/>
        <w:rPr>
          <w:rFonts w:ascii="仿宋_GB2312" w:eastAsia="仿宋_GB2312"/>
          <w:sz w:val="30"/>
          <w:szCs w:val="30"/>
        </w:rPr>
      </w:pPr>
      <w:r>
        <w:rPr>
          <w:rFonts w:hint="eastAsia" w:ascii="仿宋_GB2312" w:eastAsia="仿宋_GB2312"/>
          <w:sz w:val="30"/>
          <w:szCs w:val="30"/>
        </w:rPr>
        <w:t xml:space="preserve">                                2024年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11</w:t>
      </w:r>
      <w:r>
        <w:rPr>
          <w:rFonts w:hint="eastAsia" w:ascii="仿宋_GB2312" w:eastAsia="仿宋_GB2312"/>
          <w:sz w:val="30"/>
          <w:szCs w:val="30"/>
        </w:rPr>
        <w:t>日</w:t>
      </w:r>
    </w:p>
    <w:p>
      <w:pPr>
        <w:widowControl/>
        <w:spacing w:line="577" w:lineRule="exact"/>
        <w:jc w:val="left"/>
        <w:rPr>
          <w:rFonts w:asciiTheme="minorHAnsi" w:hAnsiTheme="minorHAnsi" w:cstheme="minorBidi"/>
          <w:b/>
          <w:bCs/>
          <w:kern w:val="44"/>
          <w:sz w:val="32"/>
          <w:szCs w:val="44"/>
        </w:rPr>
      </w:pPr>
    </w:p>
    <w:p>
      <w:pPr>
        <w:pStyle w:val="8"/>
        <w:spacing w:line="577" w:lineRule="exact"/>
        <w:rPr>
          <w:rFonts w:asciiTheme="minorHAnsi" w:hAnsiTheme="minorHAnsi" w:cstheme="minorBidi"/>
          <w:b/>
          <w:bCs/>
          <w:kern w:val="44"/>
          <w:sz w:val="32"/>
          <w:szCs w:val="44"/>
        </w:rPr>
      </w:pPr>
    </w:p>
    <w:p>
      <w:pPr>
        <w:pStyle w:val="8"/>
        <w:spacing w:line="577" w:lineRule="exact"/>
        <w:rPr>
          <w:rFonts w:asciiTheme="minorHAnsi" w:hAnsiTheme="minorHAnsi" w:cstheme="minorBidi"/>
          <w:b/>
          <w:bCs/>
          <w:kern w:val="44"/>
          <w:sz w:val="32"/>
          <w:szCs w:val="44"/>
        </w:rPr>
      </w:pPr>
    </w:p>
    <w:p>
      <w:pPr>
        <w:pStyle w:val="8"/>
        <w:spacing w:line="577" w:lineRule="exact"/>
        <w:rPr>
          <w:rFonts w:asciiTheme="minorHAnsi" w:hAnsiTheme="minorHAnsi" w:cstheme="minorBidi"/>
          <w:b/>
          <w:bCs/>
          <w:kern w:val="44"/>
          <w:sz w:val="32"/>
          <w:szCs w:val="44"/>
        </w:rPr>
      </w:pPr>
    </w:p>
    <w:p>
      <w:pPr>
        <w:pStyle w:val="8"/>
        <w:spacing w:line="577" w:lineRule="exact"/>
        <w:rPr>
          <w:rFonts w:asciiTheme="minorHAnsi" w:hAnsiTheme="minorHAnsi" w:cstheme="minorBidi"/>
          <w:b/>
          <w:bCs/>
          <w:kern w:val="44"/>
          <w:sz w:val="32"/>
          <w:szCs w:val="44"/>
        </w:rPr>
      </w:pPr>
    </w:p>
    <w:p>
      <w:pPr>
        <w:pStyle w:val="8"/>
        <w:spacing w:line="577" w:lineRule="exact"/>
        <w:rPr>
          <w:rFonts w:asciiTheme="minorHAnsi" w:hAnsiTheme="minorHAnsi" w:cstheme="minorBidi"/>
          <w:b/>
          <w:bCs/>
          <w:kern w:val="44"/>
          <w:sz w:val="32"/>
          <w:szCs w:val="44"/>
        </w:rPr>
      </w:pPr>
    </w:p>
    <w:p>
      <w:pPr>
        <w:pStyle w:val="2"/>
        <w:numPr>
          <w:ilvl w:val="0"/>
          <w:numId w:val="0"/>
        </w:numPr>
        <w:spacing w:line="577" w:lineRule="exact"/>
        <w:rPr>
          <w:szCs w:val="21"/>
        </w:rPr>
      </w:pPr>
      <w:r>
        <w:rPr>
          <w:rFonts w:hint="eastAsia"/>
        </w:rPr>
        <w:t>评审标准</w:t>
      </w:r>
    </w:p>
    <w:p>
      <w:pPr>
        <w:pStyle w:val="10"/>
        <w:spacing w:line="577" w:lineRule="exact"/>
        <w:ind w:firstLine="482" w:firstLineChars="200"/>
        <w:rPr>
          <w:rFonts w:hAnsi="宋体" w:cs="宋体"/>
          <w:b/>
          <w:bCs/>
          <w:color w:val="000000"/>
          <w:kern w:val="2"/>
          <w:sz w:val="24"/>
          <w:szCs w:val="24"/>
        </w:rPr>
      </w:pPr>
      <w:r>
        <w:rPr>
          <w:rFonts w:hint="eastAsia" w:hAnsi="宋体" w:cs="宋体"/>
          <w:b/>
          <w:bCs/>
          <w:color w:val="000000"/>
          <w:kern w:val="2"/>
          <w:sz w:val="24"/>
          <w:szCs w:val="24"/>
        </w:rPr>
        <w:t>一、评标原则</w:t>
      </w:r>
    </w:p>
    <w:p>
      <w:pPr>
        <w:pStyle w:val="10"/>
        <w:spacing w:line="577" w:lineRule="exact"/>
        <w:ind w:firstLine="480" w:firstLineChars="200"/>
        <w:rPr>
          <w:rFonts w:hAnsi="宋体" w:cs="宋体"/>
          <w:color w:val="000000"/>
          <w:kern w:val="2"/>
          <w:sz w:val="24"/>
          <w:szCs w:val="24"/>
        </w:rPr>
      </w:pPr>
      <w:r>
        <w:rPr>
          <w:rFonts w:hint="eastAsia" w:hAnsi="宋体" w:cs="宋体"/>
          <w:color w:val="000000"/>
          <w:kern w:val="2"/>
          <w:sz w:val="24"/>
          <w:szCs w:val="24"/>
        </w:rPr>
        <w:t>（一）评委构成：本项目的评委分别由依法组成的评审专家、采购人代表共3人或以上单数构成，其中评审专家人数不得少于磋商小组成员总数的2/3。</w:t>
      </w:r>
    </w:p>
    <w:p>
      <w:pPr>
        <w:pStyle w:val="10"/>
        <w:spacing w:line="577" w:lineRule="exact"/>
        <w:ind w:firstLine="480" w:firstLineChars="200"/>
        <w:rPr>
          <w:rFonts w:hAnsi="宋体" w:cs="宋体"/>
          <w:color w:val="000000"/>
          <w:kern w:val="2"/>
          <w:sz w:val="24"/>
          <w:szCs w:val="24"/>
        </w:rPr>
      </w:pPr>
      <w:r>
        <w:rPr>
          <w:rFonts w:hint="eastAsia" w:hAnsi="宋体" w:cs="宋体"/>
          <w:color w:val="000000"/>
          <w:kern w:val="2"/>
          <w:sz w:val="24"/>
          <w:szCs w:val="24"/>
        </w:rPr>
        <w:t>（二）评标依据：评委将以磋商文件为评标依据，对供应商的价格分、技术分及商务分三方面内容按百分制打分。</w:t>
      </w:r>
    </w:p>
    <w:p>
      <w:pPr>
        <w:pStyle w:val="10"/>
        <w:spacing w:line="577" w:lineRule="exact"/>
        <w:ind w:firstLine="480" w:firstLineChars="200"/>
        <w:rPr>
          <w:rFonts w:hAnsi="宋体" w:cs="宋体"/>
          <w:color w:val="000000"/>
          <w:kern w:val="2"/>
          <w:sz w:val="24"/>
          <w:szCs w:val="24"/>
        </w:rPr>
      </w:pPr>
      <w:r>
        <w:rPr>
          <w:rFonts w:hint="eastAsia" w:hAnsi="宋体" w:cs="宋体"/>
          <w:color w:val="000000"/>
          <w:kern w:val="2"/>
          <w:sz w:val="24"/>
          <w:szCs w:val="24"/>
        </w:rPr>
        <w:t>（三）评标方式：以封闭方式进行。</w:t>
      </w:r>
    </w:p>
    <w:p>
      <w:pPr>
        <w:pStyle w:val="10"/>
        <w:spacing w:line="577" w:lineRule="exact"/>
        <w:ind w:firstLine="482" w:firstLineChars="200"/>
        <w:rPr>
          <w:rFonts w:hAnsi="宋体" w:cs="宋体"/>
          <w:b/>
          <w:bCs/>
          <w:color w:val="000000"/>
          <w:kern w:val="2"/>
          <w:sz w:val="24"/>
          <w:szCs w:val="24"/>
        </w:rPr>
      </w:pPr>
      <w:bookmarkStart w:id="2" w:name="_Toc419886414"/>
      <w:r>
        <w:rPr>
          <w:rFonts w:hint="eastAsia" w:hAnsi="宋体" w:cs="宋体"/>
          <w:b/>
          <w:bCs/>
          <w:color w:val="000000"/>
          <w:kern w:val="2"/>
          <w:sz w:val="24"/>
          <w:szCs w:val="24"/>
        </w:rPr>
        <w:t>二、评定方法</w:t>
      </w:r>
      <w:bookmarkEnd w:id="2"/>
    </w:p>
    <w:p>
      <w:pPr>
        <w:spacing w:line="577" w:lineRule="exact"/>
        <w:rPr>
          <w:rFonts w:ascii="宋体" w:hAnsi="宋体" w:cs="宋体"/>
          <w:color w:val="000000"/>
          <w:sz w:val="24"/>
          <w:szCs w:val="32"/>
        </w:rPr>
      </w:pPr>
      <w:r>
        <w:rPr>
          <w:rFonts w:hint="eastAsia" w:ascii="宋体" w:hAnsi="宋体" w:cs="宋体"/>
          <w:color w:val="000000"/>
          <w:sz w:val="24"/>
          <w:szCs w:val="32"/>
        </w:rPr>
        <w:t>（一）对进入详评的，采用综合评分法。</w:t>
      </w:r>
    </w:p>
    <w:p>
      <w:pPr>
        <w:spacing w:line="577" w:lineRule="exact"/>
        <w:rPr>
          <w:rFonts w:ascii="宋体" w:hAnsi="宋体" w:cs="宋体"/>
          <w:color w:val="000000"/>
          <w:sz w:val="24"/>
          <w:szCs w:val="32"/>
        </w:rPr>
      </w:pPr>
      <w:r>
        <w:rPr>
          <w:rFonts w:hint="eastAsia" w:ascii="宋体" w:hAnsi="宋体" w:cs="宋体"/>
          <w:color w:val="000000"/>
          <w:sz w:val="24"/>
          <w:szCs w:val="32"/>
        </w:rPr>
        <w:t>（二）计分办法（按四舍五入取至百分位）</w:t>
      </w:r>
    </w:p>
    <w:p>
      <w:pPr>
        <w:spacing w:line="577" w:lineRule="exact"/>
        <w:ind w:firstLine="482" w:firstLineChars="200"/>
        <w:rPr>
          <w:rFonts w:ascii="宋体" w:hAnsi="宋体" w:cs="宋体"/>
          <w:b/>
          <w:bCs/>
          <w:color w:val="000000"/>
          <w:sz w:val="24"/>
          <w:szCs w:val="32"/>
        </w:rPr>
      </w:pPr>
      <w:r>
        <w:rPr>
          <w:rFonts w:hint="eastAsia" w:ascii="宋体" w:hAnsi="宋体" w:cs="宋体"/>
          <w:b/>
          <w:bCs/>
          <w:color w:val="000000"/>
          <w:sz w:val="24"/>
          <w:szCs w:val="32"/>
        </w:rPr>
        <w:t>1.价格分……………………………………………………………………10分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（1）根据《广西壮族自治区财政厅关于进一步发挥政府采购政策功能促进企业发展的通知》（桂财采〔2022〕30 号），凡符合《政府采购促进中小企业发展管理办法》（财库〔2020〕46 号）及《财政部关于进一步加大政府采购支持中小企业力度的通知》（财库〔2022〕19号）的规定条件，且按规定的格式提供了《中小企业声明函》的小型和微型企业，对其投标价给予20%的扣除，扣除后的价格为评标价，即评标价=投标价×（1-20%）；</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注：评审报价为供应商的最后报价进行政策性扣除后的价格，评审报价只是作为评标时使用。最终成交人的成交金额＝最后报价。</w:t>
      </w:r>
    </w:p>
    <w:p>
      <w:pPr>
        <w:numPr>
          <w:ilvl w:val="0"/>
          <w:numId w:val="3"/>
        </w:num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numPr>
          <w:ilvl w:val="0"/>
          <w:numId w:val="3"/>
        </w:num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除上述情况外，评审报价=最后报价。</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（4）价格分应当采用低价优先法计算，即满足招标文件要求且报价最低的投标报价为评标基准价，其价格分为满分。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供应商投标报价得分=（评标基准价/供应商的投标报价）×10分。</w:t>
      </w:r>
    </w:p>
    <w:p>
      <w:pPr>
        <w:spacing w:line="577" w:lineRule="exact"/>
        <w:ind w:firstLine="482" w:firstLineChars="200"/>
        <w:rPr>
          <w:rFonts w:ascii="宋体" w:hAnsi="宋体" w:cs="宋体"/>
          <w:b/>
          <w:bCs/>
          <w:color w:val="000000"/>
          <w:sz w:val="24"/>
          <w:szCs w:val="32"/>
        </w:rPr>
      </w:pPr>
      <w:r>
        <w:rPr>
          <w:rFonts w:ascii="宋体" w:hAnsi="宋体" w:cs="宋体"/>
          <w:b/>
          <w:bCs/>
          <w:color w:val="000000"/>
          <w:sz w:val="24"/>
          <w:szCs w:val="32"/>
        </w:rPr>
        <w:t>2</w:t>
      </w:r>
      <w:r>
        <w:rPr>
          <w:rFonts w:hint="eastAsia" w:ascii="宋体" w:hAnsi="宋体" w:cs="宋体"/>
          <w:b/>
          <w:bCs/>
          <w:color w:val="000000"/>
          <w:sz w:val="24"/>
          <w:szCs w:val="32"/>
        </w:rPr>
        <w:t>、服务方案分………………………………………………………………</w:t>
      </w:r>
      <w:r>
        <w:rPr>
          <w:rFonts w:hint="eastAsia" w:ascii="宋体" w:hAnsi="宋体" w:cs="宋体"/>
          <w:b/>
          <w:bCs/>
          <w:color w:val="000000"/>
          <w:sz w:val="24"/>
          <w:szCs w:val="32"/>
          <w:lang w:val="en-US" w:eastAsia="zh-CN"/>
        </w:rPr>
        <w:t>3</w:t>
      </w:r>
      <w:r>
        <w:rPr>
          <w:rFonts w:hint="eastAsia" w:ascii="宋体" w:hAnsi="宋体" w:cs="宋体"/>
          <w:b/>
          <w:bCs/>
          <w:color w:val="000000"/>
          <w:sz w:val="24"/>
          <w:szCs w:val="32"/>
        </w:rPr>
        <w:t>0分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一档（10分）:基本能够针对本项目的建设背景、目标、范围编写服务方案，服务方案基本可行，总体评价“一般”；</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二档（</w:t>
      </w:r>
      <w:r>
        <w:rPr>
          <w:rFonts w:hint="eastAsia" w:ascii="宋体" w:hAnsi="宋体" w:cs="宋体"/>
          <w:color w:val="000000"/>
          <w:sz w:val="24"/>
          <w:szCs w:val="32"/>
          <w:lang w:val="en-US" w:eastAsia="zh-CN"/>
        </w:rPr>
        <w:t>20</w:t>
      </w:r>
      <w:r>
        <w:rPr>
          <w:rFonts w:hint="eastAsia" w:ascii="宋体" w:hAnsi="宋体" w:cs="宋体"/>
          <w:color w:val="000000"/>
          <w:sz w:val="24"/>
          <w:szCs w:val="32"/>
        </w:rPr>
        <w:t>分）:较准确的针对本项目建设背景、目标、范围编写服务方案；较好地把握本项目的技术重点、难点和监理要点；服务方案内明确较完整可行的质量控制、进度控制、投资控制、服务团队、服务内容，总体评价“良好”；</w:t>
      </w:r>
    </w:p>
    <w:p>
      <w:pPr>
        <w:spacing w:line="577" w:lineRule="exact"/>
        <w:ind w:firstLine="480" w:firstLineChars="200"/>
        <w:rPr>
          <w:rFonts w:hint="eastAsia"/>
        </w:rPr>
      </w:pPr>
      <w:r>
        <w:rPr>
          <w:rFonts w:hint="eastAsia" w:ascii="宋体" w:hAnsi="宋体" w:cs="宋体"/>
          <w:color w:val="000000"/>
          <w:sz w:val="24"/>
          <w:szCs w:val="32"/>
        </w:rPr>
        <w:t>三档（</w:t>
      </w:r>
      <w:r>
        <w:rPr>
          <w:rFonts w:hint="eastAsia" w:ascii="宋体" w:hAnsi="宋体" w:cs="宋体"/>
          <w:color w:val="000000"/>
          <w:sz w:val="24"/>
          <w:szCs w:val="32"/>
          <w:lang w:val="en-US" w:eastAsia="zh-CN"/>
        </w:rPr>
        <w:t>3</w:t>
      </w:r>
      <w:r>
        <w:rPr>
          <w:rFonts w:hint="eastAsia" w:ascii="宋体" w:hAnsi="宋体" w:cs="宋体"/>
          <w:color w:val="000000"/>
          <w:sz w:val="24"/>
          <w:szCs w:val="32"/>
        </w:rPr>
        <w:t>0分）:准确理解本项目建设背景、目标、范围；完全把握本项目的技术重点、难点和监理要点；服务方案内根据IPv6项目业务需求提出了完整可行的质量控制、进度控制、投资控制、合同和信息管理的目标、方法、措施，服务团队、服务内容、服务范围，具备完善的售后服务体系，能够提供明确的售后服务响应，总体评价“优秀”。</w:t>
      </w:r>
    </w:p>
    <w:p>
      <w:pPr>
        <w:spacing w:line="577" w:lineRule="exact"/>
        <w:ind w:firstLine="482" w:firstLineChars="200"/>
        <w:rPr>
          <w:rFonts w:ascii="宋体" w:hAnsi="宋体" w:cs="宋体"/>
          <w:b/>
          <w:bCs/>
          <w:color w:val="000000"/>
          <w:sz w:val="24"/>
          <w:szCs w:val="32"/>
        </w:rPr>
      </w:pPr>
      <w:r>
        <w:rPr>
          <w:rFonts w:ascii="宋体" w:hAnsi="宋体" w:cs="宋体"/>
          <w:b/>
          <w:bCs/>
          <w:color w:val="000000"/>
          <w:sz w:val="24"/>
          <w:szCs w:val="32"/>
        </w:rPr>
        <w:t>3</w:t>
      </w:r>
      <w:r>
        <w:rPr>
          <w:rFonts w:hint="eastAsia" w:ascii="宋体" w:hAnsi="宋体" w:cs="宋体"/>
          <w:b/>
          <w:bCs/>
          <w:color w:val="000000"/>
          <w:sz w:val="24"/>
          <w:szCs w:val="32"/>
        </w:rPr>
        <w:t>、拟投入本项目的配备人员分……………………………………………</w:t>
      </w:r>
      <w:r>
        <w:rPr>
          <w:rFonts w:ascii="宋体" w:hAnsi="宋体" w:cs="宋体"/>
          <w:b/>
          <w:bCs/>
          <w:color w:val="000000"/>
          <w:sz w:val="24"/>
          <w:szCs w:val="32"/>
        </w:rPr>
        <w:t>28</w:t>
      </w:r>
      <w:r>
        <w:rPr>
          <w:rFonts w:hint="eastAsia" w:ascii="宋体" w:hAnsi="宋体" w:cs="宋体"/>
          <w:b/>
          <w:bCs/>
          <w:color w:val="000000"/>
          <w:sz w:val="24"/>
          <w:szCs w:val="32"/>
        </w:rPr>
        <w:t>分</w:t>
      </w:r>
    </w:p>
    <w:p>
      <w:pPr>
        <w:spacing w:line="577" w:lineRule="exact"/>
        <w:ind w:firstLine="482" w:firstLineChars="200"/>
        <w:rPr>
          <w:rFonts w:ascii="宋体" w:hAnsi="宋体" w:cs="宋体"/>
          <w:b/>
          <w:bCs/>
          <w:color w:val="000000"/>
          <w:sz w:val="24"/>
          <w:szCs w:val="32"/>
        </w:rPr>
      </w:pPr>
      <w:r>
        <w:rPr>
          <w:rFonts w:hint="eastAsia" w:ascii="宋体" w:hAnsi="宋体" w:cs="宋体"/>
          <w:b/>
          <w:bCs/>
          <w:color w:val="000000"/>
          <w:sz w:val="24"/>
          <w:szCs w:val="32"/>
        </w:rPr>
        <w:t>（1）总监理工程师1人（满分</w:t>
      </w:r>
      <w:r>
        <w:rPr>
          <w:rFonts w:ascii="宋体" w:hAnsi="宋体" w:cs="宋体"/>
          <w:b/>
          <w:bCs/>
          <w:color w:val="000000"/>
          <w:sz w:val="24"/>
          <w:szCs w:val="32"/>
        </w:rPr>
        <w:t>12</w:t>
      </w:r>
      <w:r>
        <w:rPr>
          <w:rFonts w:hint="eastAsia" w:ascii="宋体" w:hAnsi="宋体" w:cs="宋体"/>
          <w:b/>
          <w:bCs/>
          <w:color w:val="000000"/>
          <w:sz w:val="24"/>
          <w:szCs w:val="32"/>
        </w:rPr>
        <w:t>分）：</w:t>
      </w:r>
    </w:p>
    <w:p>
      <w:pPr>
        <w:spacing w:line="577" w:lineRule="exact"/>
        <w:ind w:firstLine="480" w:firstLineChars="200"/>
        <w:rPr>
          <w:rFonts w:ascii="宋体" w:hAnsi="宋体" w:cs="宋体"/>
          <w:color w:val="000000"/>
          <w:sz w:val="24"/>
          <w:szCs w:val="32"/>
        </w:rPr>
      </w:pPr>
      <w:bookmarkStart w:id="3" w:name="_Hlk129883619"/>
      <w:r>
        <w:rPr>
          <w:rFonts w:hint="eastAsia" w:ascii="宋体" w:hAnsi="宋体" w:cs="宋体"/>
          <w:color w:val="000000"/>
          <w:sz w:val="24"/>
          <w:szCs w:val="32"/>
        </w:rPr>
        <w:t>需具有【信息系统监理师】证书，在此基础上持有</w:t>
      </w:r>
      <w:bookmarkEnd w:id="3"/>
      <w:r>
        <w:rPr>
          <w:rFonts w:hint="eastAsia" w:ascii="宋体" w:hAnsi="宋体" w:cs="宋体"/>
          <w:color w:val="000000"/>
          <w:sz w:val="24"/>
          <w:szCs w:val="32"/>
        </w:rPr>
        <w:t>①</w:t>
      </w:r>
      <w:bookmarkStart w:id="4" w:name="_Hlk129883735"/>
      <w:r>
        <w:rPr>
          <w:rFonts w:hint="eastAsia" w:ascii="宋体" w:hAnsi="宋体" w:cs="宋体"/>
          <w:color w:val="000000"/>
          <w:sz w:val="24"/>
          <w:szCs w:val="32"/>
        </w:rPr>
        <w:t>【高级或以上职称</w:t>
      </w:r>
      <w:bookmarkEnd w:id="4"/>
      <w:r>
        <w:rPr>
          <w:rFonts w:hint="eastAsia" w:ascii="宋体" w:hAnsi="宋体" w:cs="宋体"/>
          <w:color w:val="000000"/>
          <w:sz w:val="24"/>
          <w:szCs w:val="32"/>
        </w:rPr>
        <w:t>（专业：计算机类或项目管理类）】、②【注册监理工程师】（专业：机电安装工程或通信工程，需要注册）、③【注册设备监理师登记证】（需要注册）、④【系统规划与管理师证书】、⑤【一级建造师（通信与广电工程）】、⑥【咨询工程师（投资）证书(电子、信息工程或通信信息)】⑦【信息安全工程师】、⑧【系统架构设计师】证书，</w:t>
      </w:r>
      <w:bookmarkStart w:id="5" w:name="_Hlk129883906"/>
      <w:r>
        <w:rPr>
          <w:rFonts w:hint="eastAsia" w:ascii="宋体" w:hAnsi="宋体" w:cs="宋体"/>
          <w:color w:val="000000"/>
          <w:sz w:val="24"/>
          <w:szCs w:val="32"/>
        </w:rPr>
        <w:t>每项得</w:t>
      </w:r>
      <w:r>
        <w:rPr>
          <w:rFonts w:ascii="宋体" w:hAnsi="宋体" w:cs="宋体"/>
          <w:color w:val="000000"/>
          <w:sz w:val="24"/>
          <w:szCs w:val="32"/>
        </w:rPr>
        <w:t>1.5</w:t>
      </w:r>
      <w:r>
        <w:rPr>
          <w:rFonts w:hint="eastAsia" w:ascii="宋体" w:hAnsi="宋体" w:cs="宋体"/>
          <w:color w:val="000000"/>
          <w:sz w:val="24"/>
          <w:szCs w:val="32"/>
        </w:rPr>
        <w:t>分，此项满分得</w:t>
      </w:r>
      <w:r>
        <w:rPr>
          <w:rFonts w:ascii="宋体" w:hAnsi="宋体" w:cs="宋体"/>
          <w:color w:val="000000"/>
          <w:sz w:val="24"/>
          <w:szCs w:val="32"/>
        </w:rPr>
        <w:t>12</w:t>
      </w:r>
      <w:r>
        <w:rPr>
          <w:rFonts w:hint="eastAsia" w:ascii="宋体" w:hAnsi="宋体" w:cs="宋体"/>
          <w:color w:val="000000"/>
          <w:sz w:val="24"/>
          <w:szCs w:val="32"/>
        </w:rPr>
        <w:t>分。</w:t>
      </w:r>
    </w:p>
    <w:bookmarkEnd w:id="5"/>
    <w:p>
      <w:pPr>
        <w:spacing w:line="577" w:lineRule="exact"/>
        <w:ind w:firstLine="482" w:firstLineChars="200"/>
        <w:rPr>
          <w:rFonts w:ascii="宋体" w:hAnsi="宋体" w:cs="宋体"/>
          <w:b/>
          <w:bCs/>
          <w:color w:val="000000"/>
          <w:sz w:val="24"/>
          <w:szCs w:val="32"/>
        </w:rPr>
      </w:pPr>
      <w:r>
        <w:rPr>
          <w:rFonts w:hint="eastAsia" w:ascii="宋体" w:hAnsi="宋体" w:cs="宋体"/>
          <w:b/>
          <w:bCs/>
          <w:color w:val="000000"/>
          <w:sz w:val="24"/>
          <w:szCs w:val="32"/>
        </w:rPr>
        <w:t>（2）总监理工程师代表1人（满分</w:t>
      </w:r>
      <w:r>
        <w:rPr>
          <w:rFonts w:ascii="宋体" w:hAnsi="宋体" w:cs="宋体"/>
          <w:b/>
          <w:bCs/>
          <w:color w:val="000000"/>
          <w:sz w:val="24"/>
          <w:szCs w:val="32"/>
        </w:rPr>
        <w:t>12</w:t>
      </w:r>
      <w:r>
        <w:rPr>
          <w:rFonts w:hint="eastAsia" w:ascii="宋体" w:hAnsi="宋体" w:cs="宋体"/>
          <w:b/>
          <w:bCs/>
          <w:color w:val="000000"/>
          <w:sz w:val="24"/>
          <w:szCs w:val="32"/>
        </w:rPr>
        <w:t>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需具有</w:t>
      </w:r>
      <w:bookmarkStart w:id="6" w:name="_Hlk129883997"/>
      <w:r>
        <w:rPr>
          <w:rFonts w:hint="eastAsia" w:ascii="宋体" w:hAnsi="宋体" w:cs="宋体"/>
          <w:color w:val="000000"/>
          <w:sz w:val="24"/>
          <w:szCs w:val="32"/>
        </w:rPr>
        <w:t>【信息系统监理师】证书</w:t>
      </w:r>
      <w:bookmarkEnd w:id="6"/>
      <w:r>
        <w:rPr>
          <w:rFonts w:hint="eastAsia" w:ascii="宋体" w:hAnsi="宋体" w:cs="宋体"/>
          <w:color w:val="000000"/>
          <w:sz w:val="24"/>
          <w:szCs w:val="32"/>
        </w:rPr>
        <w:t>，在此基础上持有①【高级或以上职称（专业：计算机类或项目管理类）】、②【信息系统审计师证书】、③【咨询工程师（投资）证书(电子、信息工程或通信信息)】、④【信息系统项目管理师】、⑤【</w:t>
      </w:r>
      <w:bookmarkStart w:id="7" w:name="_Hlk163905684"/>
      <w:r>
        <w:rPr>
          <w:rFonts w:hint="eastAsia" w:ascii="宋体" w:hAnsi="宋体" w:cs="宋体"/>
          <w:color w:val="000000"/>
          <w:sz w:val="24"/>
          <w:szCs w:val="32"/>
        </w:rPr>
        <w:t>系统集成项目管理工程师</w:t>
      </w:r>
      <w:bookmarkEnd w:id="7"/>
      <w:r>
        <w:rPr>
          <w:rFonts w:hint="eastAsia" w:ascii="宋体" w:hAnsi="宋体" w:cs="宋体"/>
          <w:color w:val="000000"/>
          <w:sz w:val="24"/>
          <w:szCs w:val="32"/>
        </w:rPr>
        <w:t>】、⑥【</w:t>
      </w:r>
      <w:bookmarkStart w:id="8" w:name="_Hlk163905762"/>
      <w:r>
        <w:rPr>
          <w:rFonts w:hint="eastAsia" w:ascii="宋体" w:hAnsi="宋体" w:cs="宋体"/>
          <w:color w:val="000000"/>
          <w:sz w:val="24"/>
          <w:szCs w:val="32"/>
        </w:rPr>
        <w:t>软件工程造价师】</w:t>
      </w:r>
      <w:bookmarkEnd w:id="8"/>
      <w:r>
        <w:rPr>
          <w:rFonts w:hint="eastAsia" w:ascii="宋体" w:hAnsi="宋体" w:cs="宋体"/>
          <w:color w:val="000000"/>
          <w:sz w:val="24"/>
          <w:szCs w:val="32"/>
        </w:rPr>
        <w:t>证书，每项得</w:t>
      </w:r>
      <w:r>
        <w:rPr>
          <w:rFonts w:hint="eastAsia" w:ascii="宋体" w:hAnsi="宋体" w:cs="宋体"/>
          <w:color w:val="000000"/>
          <w:sz w:val="24"/>
          <w:szCs w:val="32"/>
          <w:lang w:val="en-US" w:eastAsia="zh-CN"/>
        </w:rPr>
        <w:t>2</w:t>
      </w:r>
      <w:r>
        <w:rPr>
          <w:rFonts w:hint="eastAsia" w:ascii="宋体" w:hAnsi="宋体" w:cs="宋体"/>
          <w:color w:val="000000"/>
          <w:sz w:val="24"/>
          <w:szCs w:val="32"/>
        </w:rPr>
        <w:t>分，此项满分得</w:t>
      </w:r>
      <w:r>
        <w:rPr>
          <w:rFonts w:ascii="宋体" w:hAnsi="宋体" w:cs="宋体"/>
          <w:color w:val="000000"/>
          <w:sz w:val="24"/>
          <w:szCs w:val="32"/>
        </w:rPr>
        <w:t>12</w:t>
      </w:r>
      <w:r>
        <w:rPr>
          <w:rFonts w:hint="eastAsia" w:ascii="宋体" w:hAnsi="宋体" w:cs="宋体"/>
          <w:color w:val="000000"/>
          <w:sz w:val="24"/>
          <w:szCs w:val="32"/>
        </w:rPr>
        <w:t>分。</w:t>
      </w:r>
    </w:p>
    <w:p>
      <w:pPr>
        <w:spacing w:line="577" w:lineRule="exact"/>
        <w:ind w:firstLine="482" w:firstLineChars="200"/>
        <w:rPr>
          <w:rFonts w:ascii="宋体" w:hAnsi="宋体" w:cs="宋体"/>
          <w:b/>
          <w:bCs/>
          <w:color w:val="000000"/>
          <w:sz w:val="24"/>
          <w:szCs w:val="32"/>
        </w:rPr>
      </w:pPr>
      <w:r>
        <w:rPr>
          <w:rFonts w:hint="eastAsia" w:ascii="宋体" w:hAnsi="宋体" w:cs="宋体"/>
          <w:b/>
          <w:bCs/>
          <w:color w:val="000000"/>
          <w:sz w:val="24"/>
          <w:szCs w:val="32"/>
        </w:rPr>
        <w:t>（3）</w:t>
      </w:r>
      <w:bookmarkStart w:id="9" w:name="_Hlk163905542"/>
      <w:r>
        <w:rPr>
          <w:rFonts w:hint="eastAsia" w:ascii="宋体" w:hAnsi="宋体" w:cs="宋体"/>
          <w:b/>
          <w:bCs/>
          <w:color w:val="000000"/>
          <w:sz w:val="24"/>
          <w:szCs w:val="32"/>
        </w:rPr>
        <w:t>项目组其他成员</w:t>
      </w:r>
      <w:bookmarkEnd w:id="9"/>
      <w:r>
        <w:rPr>
          <w:rFonts w:hint="eastAsia" w:ascii="宋体" w:hAnsi="宋体" w:cs="宋体"/>
          <w:b/>
          <w:bCs/>
          <w:color w:val="000000"/>
          <w:sz w:val="24"/>
          <w:szCs w:val="32"/>
        </w:rPr>
        <w:t>（满分</w:t>
      </w:r>
      <w:r>
        <w:rPr>
          <w:rFonts w:ascii="宋体" w:hAnsi="宋体" w:cs="宋体"/>
          <w:b/>
          <w:bCs/>
          <w:color w:val="000000"/>
          <w:sz w:val="24"/>
          <w:szCs w:val="32"/>
        </w:rPr>
        <w:t>4</w:t>
      </w:r>
      <w:r>
        <w:rPr>
          <w:rFonts w:hint="eastAsia" w:ascii="宋体" w:hAnsi="宋体" w:cs="宋体"/>
          <w:b/>
          <w:bCs/>
          <w:color w:val="000000"/>
          <w:sz w:val="24"/>
          <w:szCs w:val="32"/>
        </w:rPr>
        <w:t>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需具有【信息系统监理师】证书，在此基础上：</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1）持有【注册监理工程师】证书（专业：机电安装工程或通信工程，需要注册），每人得1分，此项满分得2分；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2）持有【系统规划与管理师】证书，每人得1分，此项满分得</w:t>
      </w:r>
      <w:r>
        <w:rPr>
          <w:rFonts w:ascii="宋体" w:hAnsi="宋体" w:cs="宋体"/>
          <w:color w:val="000000"/>
          <w:sz w:val="24"/>
          <w:szCs w:val="32"/>
        </w:rPr>
        <w:t>2</w:t>
      </w:r>
      <w:r>
        <w:rPr>
          <w:rFonts w:hint="eastAsia" w:ascii="宋体" w:hAnsi="宋体" w:cs="宋体"/>
          <w:color w:val="000000"/>
          <w:sz w:val="24"/>
          <w:szCs w:val="32"/>
        </w:rPr>
        <w:t>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（在投标文件中提供证书相关证明复印件并加盖供应商公章，并提供投标截止时间前半年内其中</w:t>
      </w:r>
      <w:r>
        <w:rPr>
          <w:rFonts w:ascii="宋体" w:hAnsi="宋体" w:cs="宋体"/>
          <w:color w:val="000000"/>
          <w:sz w:val="24"/>
          <w:szCs w:val="32"/>
        </w:rPr>
        <w:t>3</w:t>
      </w:r>
      <w:r>
        <w:rPr>
          <w:rFonts w:hint="eastAsia" w:ascii="宋体" w:hAnsi="宋体" w:cs="宋体"/>
          <w:color w:val="000000"/>
          <w:sz w:val="24"/>
          <w:szCs w:val="32"/>
        </w:rPr>
        <w:t>个月的供应商为相关项目人员依法缴纳社保费的凭证复印件或供应商所在地社保部门出具的《依法缴纳或依法免缴社保费证明》复印件为准，否则不予计分。）</w:t>
      </w:r>
    </w:p>
    <w:p>
      <w:pPr>
        <w:spacing w:line="577" w:lineRule="exact"/>
        <w:ind w:firstLine="482" w:firstLineChars="200"/>
        <w:rPr>
          <w:rFonts w:ascii="宋体" w:hAnsi="宋体" w:cs="宋体"/>
          <w:b/>
          <w:bCs/>
          <w:color w:val="000000"/>
          <w:sz w:val="24"/>
          <w:szCs w:val="32"/>
        </w:rPr>
      </w:pPr>
      <w:r>
        <w:rPr>
          <w:rFonts w:hint="eastAsia" w:ascii="宋体" w:hAnsi="宋体" w:cs="宋体"/>
          <w:b/>
          <w:bCs/>
          <w:color w:val="000000"/>
          <w:sz w:val="24"/>
          <w:szCs w:val="32"/>
        </w:rPr>
        <w:t>4、资信及商务分…………………………………………………………………</w:t>
      </w:r>
      <w:r>
        <w:rPr>
          <w:rFonts w:hint="eastAsia" w:ascii="宋体" w:hAnsi="宋体" w:cs="宋体"/>
          <w:b/>
          <w:bCs/>
          <w:color w:val="000000"/>
          <w:sz w:val="24"/>
          <w:szCs w:val="32"/>
          <w:lang w:val="en-US" w:eastAsia="zh-CN"/>
        </w:rPr>
        <w:t>32</w:t>
      </w:r>
      <w:r>
        <w:rPr>
          <w:rFonts w:hint="eastAsia" w:ascii="宋体" w:hAnsi="宋体" w:cs="宋体"/>
          <w:b/>
          <w:bCs/>
          <w:color w:val="000000"/>
          <w:sz w:val="24"/>
          <w:szCs w:val="32"/>
        </w:rPr>
        <w:t>分</w:t>
      </w:r>
    </w:p>
    <w:p>
      <w:pPr>
        <w:spacing w:line="577" w:lineRule="exact"/>
        <w:ind w:firstLine="482" w:firstLineChars="200"/>
        <w:rPr>
          <w:rFonts w:ascii="宋体" w:hAnsi="宋体" w:cs="宋体"/>
          <w:b/>
          <w:bCs/>
          <w:color w:val="000000"/>
          <w:sz w:val="24"/>
          <w:szCs w:val="32"/>
        </w:rPr>
      </w:pPr>
      <w:r>
        <w:rPr>
          <w:rFonts w:hint="eastAsia" w:ascii="宋体" w:hAnsi="宋体" w:cs="宋体"/>
          <w:b/>
          <w:bCs/>
          <w:color w:val="000000"/>
          <w:sz w:val="24"/>
          <w:szCs w:val="32"/>
        </w:rPr>
        <w:t>（1) 企业综合能力（满分9分，</w:t>
      </w:r>
      <w:bookmarkStart w:id="10" w:name="_Hlk517775422"/>
      <w:r>
        <w:rPr>
          <w:rFonts w:hint="eastAsia" w:ascii="宋体" w:hAnsi="宋体" w:cs="宋体"/>
          <w:b/>
          <w:bCs/>
          <w:color w:val="000000"/>
          <w:sz w:val="24"/>
          <w:szCs w:val="32"/>
        </w:rPr>
        <w:t>投标文件</w:t>
      </w:r>
      <w:bookmarkEnd w:id="10"/>
      <w:r>
        <w:rPr>
          <w:rFonts w:hint="eastAsia" w:ascii="宋体" w:hAnsi="宋体" w:cs="宋体"/>
          <w:b/>
          <w:bCs/>
          <w:color w:val="000000"/>
          <w:sz w:val="24"/>
          <w:szCs w:val="32"/>
        </w:rPr>
        <w:t>中提供证明材料复印件并加盖供应商公章。）</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①供应商获得省级主管部门认定的大数据专业服务机构的得</w:t>
      </w:r>
      <w:r>
        <w:rPr>
          <w:rFonts w:ascii="宋体" w:hAnsi="宋体" w:cs="宋体"/>
          <w:color w:val="000000"/>
          <w:sz w:val="24"/>
          <w:szCs w:val="32"/>
        </w:rPr>
        <w:t>2</w:t>
      </w:r>
      <w:r>
        <w:rPr>
          <w:rFonts w:hint="eastAsia" w:ascii="宋体" w:hAnsi="宋体" w:cs="宋体"/>
          <w:color w:val="000000"/>
          <w:sz w:val="24"/>
          <w:szCs w:val="32"/>
        </w:rPr>
        <w:t>分，此项满分得</w:t>
      </w:r>
      <w:r>
        <w:rPr>
          <w:rFonts w:ascii="宋体" w:hAnsi="宋体" w:cs="宋体"/>
          <w:color w:val="000000"/>
          <w:sz w:val="24"/>
          <w:szCs w:val="32"/>
        </w:rPr>
        <w:t>2</w:t>
      </w:r>
      <w:r>
        <w:rPr>
          <w:rFonts w:hint="eastAsia" w:ascii="宋体" w:hAnsi="宋体" w:cs="宋体"/>
          <w:color w:val="000000"/>
          <w:sz w:val="24"/>
          <w:szCs w:val="32"/>
        </w:rPr>
        <w:t>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②供应商具有ISO27001信息安全管理体系认证、ISO20000信息技术服务管理体系认证、ISO9001质量管理体系认证证书（以上认证范围须在有效期内，须包含：信息系统工程监理业务内容）的，每项得1分，此项满分得3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③供应商具有国家住房和城乡建设部颁发的《工程设计资质证书》电子通信广电行业（电子系统工程）专业乙级资质得</w:t>
      </w:r>
      <w:r>
        <w:rPr>
          <w:rFonts w:ascii="宋体" w:hAnsi="宋体" w:cs="宋体"/>
          <w:color w:val="000000"/>
          <w:sz w:val="24"/>
          <w:szCs w:val="32"/>
        </w:rPr>
        <w:t>1</w:t>
      </w:r>
      <w:r>
        <w:rPr>
          <w:rFonts w:hint="eastAsia" w:ascii="宋体" w:hAnsi="宋体" w:cs="宋体"/>
          <w:color w:val="000000"/>
          <w:sz w:val="24"/>
          <w:szCs w:val="32"/>
        </w:rPr>
        <w:t>分，甲级或以上资质得</w:t>
      </w:r>
      <w:r>
        <w:rPr>
          <w:rFonts w:ascii="宋体" w:hAnsi="宋体" w:cs="宋体"/>
          <w:color w:val="000000"/>
          <w:sz w:val="24"/>
          <w:szCs w:val="32"/>
        </w:rPr>
        <w:t>2</w:t>
      </w:r>
      <w:r>
        <w:rPr>
          <w:rFonts w:hint="eastAsia" w:ascii="宋体" w:hAnsi="宋体" w:cs="宋体"/>
          <w:color w:val="000000"/>
          <w:sz w:val="24"/>
          <w:szCs w:val="32"/>
        </w:rPr>
        <w:t>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④供应商具有有效的电子信息类工程监理服务标准贯标证书，得</w:t>
      </w:r>
      <w:r>
        <w:rPr>
          <w:rFonts w:ascii="宋体" w:hAnsi="宋体" w:cs="宋体"/>
          <w:color w:val="000000"/>
          <w:sz w:val="24"/>
          <w:szCs w:val="32"/>
        </w:rPr>
        <w:t>2</w:t>
      </w:r>
      <w:r>
        <w:rPr>
          <w:rFonts w:hint="eastAsia" w:ascii="宋体" w:hAnsi="宋体" w:cs="宋体"/>
          <w:color w:val="000000"/>
          <w:sz w:val="24"/>
          <w:szCs w:val="32"/>
        </w:rPr>
        <w:t xml:space="preserve">分； </w:t>
      </w:r>
    </w:p>
    <w:p>
      <w:pPr>
        <w:spacing w:line="577" w:lineRule="exact"/>
        <w:ind w:firstLine="482" w:firstLineChars="200"/>
        <w:rPr>
          <w:rFonts w:ascii="宋体" w:hAnsi="宋体" w:cs="宋体"/>
          <w:b/>
          <w:bCs/>
          <w:color w:val="000000"/>
          <w:sz w:val="24"/>
          <w:szCs w:val="32"/>
        </w:rPr>
      </w:pPr>
      <w:r>
        <w:rPr>
          <w:rFonts w:hint="eastAsia" w:ascii="宋体" w:hAnsi="宋体" w:cs="宋体"/>
          <w:b/>
          <w:bCs/>
          <w:color w:val="000000"/>
          <w:sz w:val="24"/>
          <w:szCs w:val="32"/>
        </w:rPr>
        <w:t>（2）业绩分（满分</w:t>
      </w:r>
      <w:r>
        <w:rPr>
          <w:rFonts w:hint="eastAsia" w:ascii="宋体" w:hAnsi="宋体" w:cs="宋体"/>
          <w:b/>
          <w:bCs/>
          <w:color w:val="000000"/>
          <w:sz w:val="24"/>
          <w:szCs w:val="32"/>
          <w:lang w:val="en-US" w:eastAsia="zh-CN"/>
        </w:rPr>
        <w:t>2</w:t>
      </w:r>
      <w:r>
        <w:rPr>
          <w:rFonts w:ascii="宋体" w:hAnsi="宋体" w:cs="宋体"/>
          <w:b/>
          <w:bCs/>
          <w:color w:val="000000"/>
          <w:sz w:val="24"/>
          <w:szCs w:val="32"/>
        </w:rPr>
        <w:t>3</w:t>
      </w:r>
      <w:r>
        <w:rPr>
          <w:rFonts w:hint="eastAsia" w:ascii="宋体" w:hAnsi="宋体" w:cs="宋体"/>
          <w:b/>
          <w:bCs/>
          <w:color w:val="000000"/>
          <w:sz w:val="24"/>
          <w:szCs w:val="32"/>
        </w:rPr>
        <w:t>分，投标文件中提供证明材料复印件并加盖供应商公章，否则不予计分。）</w:t>
      </w:r>
    </w:p>
    <w:p>
      <w:pPr>
        <w:spacing w:line="577" w:lineRule="exact"/>
        <w:ind w:firstLine="480" w:firstLineChars="200"/>
        <w:rPr>
          <w:rFonts w:ascii="宋体" w:hAnsi="宋体" w:cs="宋体"/>
          <w:color w:val="000000"/>
          <w:sz w:val="24"/>
          <w:szCs w:val="32"/>
        </w:rPr>
      </w:pPr>
      <w:r>
        <w:rPr>
          <w:rFonts w:hint="eastAsia" w:ascii="宋体" w:hAnsi="宋体" w:cs="宋体"/>
          <w:color w:val="000000"/>
          <w:sz w:val="24"/>
          <w:szCs w:val="32"/>
        </w:rPr>
        <w:t>供应商自20</w:t>
      </w:r>
      <w:r>
        <w:rPr>
          <w:rFonts w:ascii="宋体" w:hAnsi="宋体" w:cs="宋体"/>
          <w:color w:val="000000"/>
          <w:sz w:val="24"/>
          <w:szCs w:val="32"/>
        </w:rPr>
        <w:t>20</w:t>
      </w:r>
      <w:r>
        <w:rPr>
          <w:rFonts w:hint="eastAsia" w:ascii="宋体" w:hAnsi="宋体" w:cs="宋体"/>
          <w:color w:val="000000"/>
          <w:sz w:val="24"/>
          <w:szCs w:val="32"/>
        </w:rPr>
        <w:t>年1月1日以来，签约并承担有同类（电子信息类工程监理项目）实施业绩的业绩证明材料</w:t>
      </w:r>
      <w:r>
        <w:rPr>
          <w:rFonts w:hint="eastAsia" w:ascii="宋体" w:hAnsi="宋体" w:cs="宋体"/>
          <w:color w:val="000000" w:themeColor="text1"/>
          <w:sz w:val="24"/>
          <w:szCs w:val="32"/>
          <w14:textFill>
            <w14:solidFill>
              <w14:schemeClr w14:val="tx1"/>
            </w14:solidFill>
          </w14:textFill>
        </w:rPr>
        <w:t>，每提供一份得</w:t>
      </w:r>
      <w:r>
        <w:rPr>
          <w:rFonts w:hint="eastAsia" w:ascii="宋体" w:hAnsi="宋体" w:cs="宋体"/>
          <w:color w:val="000000" w:themeColor="text1"/>
          <w:sz w:val="24"/>
          <w:szCs w:val="32"/>
          <w:lang w:val="en-US" w:eastAsia="zh-CN"/>
          <w14:textFill>
            <w14:solidFill>
              <w14:schemeClr w14:val="tx1"/>
            </w14:solidFill>
          </w14:textFill>
        </w:rPr>
        <w:t>1</w:t>
      </w:r>
      <w:r>
        <w:rPr>
          <w:rFonts w:hint="eastAsia" w:ascii="宋体" w:hAnsi="宋体" w:cs="宋体"/>
          <w:color w:val="000000" w:themeColor="text1"/>
          <w:sz w:val="24"/>
          <w:szCs w:val="32"/>
          <w14:textFill>
            <w14:solidFill>
              <w14:schemeClr w14:val="tx1"/>
            </w14:solidFill>
          </w14:textFill>
        </w:rPr>
        <w:t>分，此项满分</w:t>
      </w:r>
      <w:r>
        <w:rPr>
          <w:rFonts w:hint="eastAsia" w:ascii="宋体" w:hAnsi="宋体" w:cs="宋体"/>
          <w:color w:val="000000" w:themeColor="text1"/>
          <w:sz w:val="24"/>
          <w:szCs w:val="32"/>
          <w:lang w:val="en-US" w:eastAsia="zh-CN"/>
          <w14:textFill>
            <w14:solidFill>
              <w14:schemeClr w14:val="tx1"/>
            </w14:solidFill>
          </w14:textFill>
        </w:rPr>
        <w:t>7</w:t>
      </w:r>
      <w:r>
        <w:rPr>
          <w:rFonts w:hint="eastAsia" w:ascii="宋体" w:hAnsi="宋体" w:cs="宋体"/>
          <w:color w:val="000000" w:themeColor="text1"/>
          <w:sz w:val="24"/>
          <w:szCs w:val="32"/>
          <w14:textFill>
            <w14:solidFill>
              <w14:schemeClr w14:val="tx1"/>
            </w14:solidFill>
          </w14:textFill>
        </w:rPr>
        <w:t>分。每完成一项</w:t>
      </w:r>
      <w:r>
        <w:rPr>
          <w:rFonts w:ascii="宋体" w:hAnsi="宋体" w:cs="宋体"/>
          <w:color w:val="000000" w:themeColor="text1"/>
          <w:sz w:val="24"/>
          <w:szCs w:val="32"/>
          <w14:textFill>
            <w14:solidFill>
              <w14:schemeClr w14:val="tx1"/>
            </w14:solidFill>
          </w14:textFill>
        </w:rPr>
        <w:t>IPv6</w:t>
      </w:r>
      <w:r>
        <w:rPr>
          <w:rFonts w:hint="eastAsia" w:ascii="宋体" w:hAnsi="宋体" w:cs="宋体"/>
          <w:color w:val="000000" w:themeColor="text1"/>
          <w:sz w:val="24"/>
          <w:szCs w:val="32"/>
          <w14:textFill>
            <w14:solidFill>
              <w14:schemeClr w14:val="tx1"/>
            </w14:solidFill>
          </w14:textFill>
        </w:rPr>
        <w:t>监理或双栈改造相关案例的，每个得</w:t>
      </w:r>
      <w:r>
        <w:rPr>
          <w:rFonts w:hint="eastAsia" w:ascii="宋体" w:hAnsi="宋体" w:cs="宋体"/>
          <w:color w:val="000000" w:themeColor="text1"/>
          <w:sz w:val="24"/>
          <w:szCs w:val="32"/>
          <w:lang w:val="en-US" w:eastAsia="zh-CN"/>
          <w14:textFill>
            <w14:solidFill>
              <w14:schemeClr w14:val="tx1"/>
            </w14:solidFill>
          </w14:textFill>
        </w:rPr>
        <w:t>8</w:t>
      </w:r>
      <w:r>
        <w:rPr>
          <w:rFonts w:hint="eastAsia" w:ascii="宋体" w:hAnsi="宋体" w:cs="宋体"/>
          <w:color w:val="000000" w:themeColor="text1"/>
          <w:sz w:val="24"/>
          <w:szCs w:val="32"/>
          <w14:textFill>
            <w14:solidFill>
              <w14:schemeClr w14:val="tx1"/>
            </w14:solidFill>
          </w14:textFill>
        </w:rPr>
        <w:t>分，最多得</w:t>
      </w:r>
      <w:r>
        <w:rPr>
          <w:rFonts w:hint="eastAsia" w:ascii="宋体" w:hAnsi="宋体" w:cs="宋体"/>
          <w:color w:val="000000" w:themeColor="text1"/>
          <w:sz w:val="24"/>
          <w:szCs w:val="32"/>
          <w:lang w:val="en-US" w:eastAsia="zh-CN"/>
          <w14:textFill>
            <w14:solidFill>
              <w14:schemeClr w14:val="tx1"/>
            </w14:solidFill>
          </w14:textFill>
        </w:rPr>
        <w:t>16</w:t>
      </w:r>
      <w:r>
        <w:rPr>
          <w:rFonts w:hint="eastAsia" w:ascii="宋体" w:hAnsi="宋体" w:cs="宋体"/>
          <w:color w:val="000000" w:themeColor="text1"/>
          <w:sz w:val="24"/>
          <w:szCs w:val="32"/>
          <w14:textFill>
            <w14:solidFill>
              <w14:schemeClr w14:val="tx1"/>
            </w14:solidFill>
          </w14:textFill>
        </w:rPr>
        <w:t>分（提供合同复印件）。（在投标文件中提供合同关键页复印件或中标/成交复</w:t>
      </w:r>
      <w:r>
        <w:rPr>
          <w:rFonts w:hint="eastAsia" w:ascii="宋体" w:hAnsi="宋体" w:cs="宋体"/>
          <w:color w:val="000000"/>
          <w:sz w:val="24"/>
          <w:szCs w:val="32"/>
        </w:rPr>
        <w:t>印件并加盖投标单位公章，否则不予计分）。</w:t>
      </w:r>
    </w:p>
    <w:p>
      <w:pPr>
        <w:spacing w:line="577" w:lineRule="exact"/>
        <w:ind w:firstLine="482" w:firstLineChars="200"/>
        <w:rPr>
          <w:rFonts w:ascii="宋体" w:hAnsi="宋体" w:cs="宋体"/>
          <w:b/>
          <w:bCs/>
          <w:color w:val="000000"/>
          <w:sz w:val="24"/>
          <w:szCs w:val="32"/>
        </w:rPr>
      </w:pPr>
      <w:r>
        <w:rPr>
          <w:rFonts w:hint="eastAsia" w:ascii="宋体" w:hAnsi="宋体" w:cs="宋体"/>
          <w:b/>
          <w:bCs/>
          <w:color w:val="000000"/>
          <w:sz w:val="24"/>
          <w:szCs w:val="32"/>
        </w:rPr>
        <w:t>5、总得分=1+2+3+4</w:t>
      </w:r>
    </w:p>
    <w:p>
      <w:pPr>
        <w:spacing w:line="577"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348A4"/>
    <w:multiLevelType w:val="singleLevel"/>
    <w:tmpl w:val="82E348A4"/>
    <w:lvl w:ilvl="0" w:tentative="0">
      <w:start w:val="2"/>
      <w:numFmt w:val="decimal"/>
      <w:suff w:val="nothing"/>
      <w:lvlText w:val="（%1）"/>
      <w:lvlJc w:val="left"/>
    </w:lvl>
  </w:abstractNum>
  <w:abstractNum w:abstractNumId="1">
    <w:nsid w:val="4BBD4D8A"/>
    <w:multiLevelType w:val="multilevel"/>
    <w:tmpl w:val="4BBD4D8A"/>
    <w:lvl w:ilvl="0" w:tentative="0">
      <w:start w:val="1"/>
      <w:numFmt w:val="chineseCountingThousand"/>
      <w:pStyle w:val="2"/>
      <w:lvlText w:val="第%1章"/>
      <w:lvlJc w:val="left"/>
      <w:pPr>
        <w:ind w:left="0" w:firstLine="0"/>
      </w:pPr>
      <w:rPr>
        <w:rFonts w:hint="eastAsia"/>
      </w:rPr>
    </w:lvl>
    <w:lvl w:ilvl="1" w:tentative="0">
      <w:start w:val="1"/>
      <w:numFmt w:val="decimal"/>
      <w:pStyle w:val="3"/>
      <w:isLgl/>
      <w:lvlText w:val="%1.%2"/>
      <w:lvlJc w:val="left"/>
      <w:pPr>
        <w:ind w:left="57" w:firstLine="0"/>
      </w:pPr>
      <w:rPr>
        <w:rFonts w:hint="eastAsia"/>
      </w:rPr>
    </w:lvl>
    <w:lvl w:ilvl="2" w:tentative="0">
      <w:start w:val="1"/>
      <w:numFmt w:val="decimal"/>
      <w:isLgl/>
      <w:lvlText w:val="%1.%2.%3"/>
      <w:lvlJc w:val="left"/>
      <w:pPr>
        <w:ind w:left="114" w:firstLine="0"/>
      </w:pPr>
      <w:rPr>
        <w:rFonts w:hint="eastAsia"/>
      </w:rPr>
    </w:lvl>
    <w:lvl w:ilvl="3" w:tentative="0">
      <w:start w:val="1"/>
      <w:numFmt w:val="decimal"/>
      <w:isLgl/>
      <w:lvlText w:val="%1.%2.%3.%4"/>
      <w:lvlJc w:val="left"/>
      <w:pPr>
        <w:ind w:left="568" w:firstLine="0"/>
      </w:pPr>
      <w:rPr>
        <w:rFonts w:hint="eastAsia"/>
      </w:rPr>
    </w:lvl>
    <w:lvl w:ilvl="4" w:tentative="0">
      <w:start w:val="1"/>
      <w:numFmt w:val="decimal"/>
      <w:isLgl/>
      <w:lvlText w:val="%1.%2.%3.%4.%5"/>
      <w:lvlJc w:val="left"/>
      <w:pPr>
        <w:ind w:left="228" w:firstLine="0"/>
      </w:pPr>
      <w:rPr>
        <w:rFonts w:hint="eastAsia"/>
      </w:rPr>
    </w:lvl>
    <w:lvl w:ilvl="5" w:tentative="0">
      <w:start w:val="1"/>
      <w:numFmt w:val="decimal"/>
      <w:isLgl/>
      <w:lvlText w:val="%1.%2.%3.%4.%5.%6"/>
      <w:lvlJc w:val="left"/>
      <w:pPr>
        <w:ind w:left="285" w:firstLine="0"/>
      </w:pPr>
      <w:rPr>
        <w:rFonts w:hint="eastAsia"/>
      </w:rPr>
    </w:lvl>
    <w:lvl w:ilvl="6" w:tentative="0">
      <w:start w:val="1"/>
      <w:numFmt w:val="decimal"/>
      <w:isLgl/>
      <w:lvlText w:val="%1.%2.%3.%4.%5.%6.%7"/>
      <w:lvlJc w:val="left"/>
      <w:pPr>
        <w:ind w:left="342" w:firstLine="0"/>
      </w:pPr>
      <w:rPr>
        <w:rFonts w:hint="eastAsia"/>
      </w:rPr>
    </w:lvl>
    <w:lvl w:ilvl="7" w:tentative="0">
      <w:start w:val="1"/>
      <w:numFmt w:val="decimal"/>
      <w:isLgl/>
      <w:lvlText w:val="%1.%2.%3.%4.%5.%6.%7.%8"/>
      <w:lvlJc w:val="left"/>
      <w:pPr>
        <w:ind w:left="399" w:firstLine="0"/>
      </w:pPr>
      <w:rPr>
        <w:rFonts w:hint="eastAsia"/>
      </w:rPr>
    </w:lvl>
    <w:lvl w:ilvl="8" w:tentative="0">
      <w:start w:val="1"/>
      <w:numFmt w:val="decimal"/>
      <w:isLgl/>
      <w:lvlText w:val="%1.%2.%3.%4.%5.%6.%7.%8.%9"/>
      <w:lvlJc w:val="left"/>
      <w:pPr>
        <w:ind w:left="456" w:firstLine="0"/>
      </w:pPr>
      <w:rPr>
        <w:rFonts w:hint="eastAsia"/>
      </w:rPr>
    </w:lvl>
  </w:abstractNum>
  <w:abstractNum w:abstractNumId="2">
    <w:nsid w:val="655A024C"/>
    <w:multiLevelType w:val="multilevel"/>
    <w:tmpl w:val="655A024C"/>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iYTE4MWM4M2E0N2RmYWI3YTI0MjFhZjBkYmRlOTkifQ=="/>
  </w:docVars>
  <w:rsids>
    <w:rsidRoot w:val="00B76B8C"/>
    <w:rsid w:val="00030A03"/>
    <w:rsid w:val="00034DAE"/>
    <w:rsid w:val="000379E1"/>
    <w:rsid w:val="00090FE2"/>
    <w:rsid w:val="000936C3"/>
    <w:rsid w:val="000A26CC"/>
    <w:rsid w:val="000C299F"/>
    <w:rsid w:val="001217AF"/>
    <w:rsid w:val="00167F94"/>
    <w:rsid w:val="001761EA"/>
    <w:rsid w:val="0018199B"/>
    <w:rsid w:val="001979ED"/>
    <w:rsid w:val="001A538B"/>
    <w:rsid w:val="002271CA"/>
    <w:rsid w:val="00236A7A"/>
    <w:rsid w:val="00266A8E"/>
    <w:rsid w:val="00274BD1"/>
    <w:rsid w:val="002C59DB"/>
    <w:rsid w:val="00361966"/>
    <w:rsid w:val="00393294"/>
    <w:rsid w:val="003D209F"/>
    <w:rsid w:val="003E3B96"/>
    <w:rsid w:val="003E555D"/>
    <w:rsid w:val="00445005"/>
    <w:rsid w:val="00453F92"/>
    <w:rsid w:val="0048501E"/>
    <w:rsid w:val="004A43E7"/>
    <w:rsid w:val="004B45FB"/>
    <w:rsid w:val="004C7A2C"/>
    <w:rsid w:val="00563577"/>
    <w:rsid w:val="006154EC"/>
    <w:rsid w:val="0067119C"/>
    <w:rsid w:val="00674CE2"/>
    <w:rsid w:val="006A39EE"/>
    <w:rsid w:val="006B0874"/>
    <w:rsid w:val="006C2B3E"/>
    <w:rsid w:val="006C636B"/>
    <w:rsid w:val="006E17FA"/>
    <w:rsid w:val="0070425E"/>
    <w:rsid w:val="007911A5"/>
    <w:rsid w:val="00794D70"/>
    <w:rsid w:val="00800DC4"/>
    <w:rsid w:val="00826916"/>
    <w:rsid w:val="00867D12"/>
    <w:rsid w:val="008917CB"/>
    <w:rsid w:val="008D0D15"/>
    <w:rsid w:val="008F5076"/>
    <w:rsid w:val="009731D7"/>
    <w:rsid w:val="00976284"/>
    <w:rsid w:val="00A80358"/>
    <w:rsid w:val="00AE5DA6"/>
    <w:rsid w:val="00B013D4"/>
    <w:rsid w:val="00B32726"/>
    <w:rsid w:val="00B76B8C"/>
    <w:rsid w:val="00BA2D0D"/>
    <w:rsid w:val="00BD3D24"/>
    <w:rsid w:val="00BE6182"/>
    <w:rsid w:val="00C05C4F"/>
    <w:rsid w:val="00C246F2"/>
    <w:rsid w:val="00C33300"/>
    <w:rsid w:val="00C35252"/>
    <w:rsid w:val="00C43320"/>
    <w:rsid w:val="00D138A3"/>
    <w:rsid w:val="00D51861"/>
    <w:rsid w:val="00D63CD6"/>
    <w:rsid w:val="00D74264"/>
    <w:rsid w:val="00D778B5"/>
    <w:rsid w:val="00D9550F"/>
    <w:rsid w:val="00DC2A73"/>
    <w:rsid w:val="00DE4D7A"/>
    <w:rsid w:val="00E029C0"/>
    <w:rsid w:val="00E07B0F"/>
    <w:rsid w:val="00E53A93"/>
    <w:rsid w:val="00F0427D"/>
    <w:rsid w:val="00F82847"/>
    <w:rsid w:val="00FE64AB"/>
    <w:rsid w:val="04C03B28"/>
    <w:rsid w:val="0BE60680"/>
    <w:rsid w:val="0FD23E4F"/>
    <w:rsid w:val="132A58F5"/>
    <w:rsid w:val="16270797"/>
    <w:rsid w:val="17DE7E55"/>
    <w:rsid w:val="1F9E1097"/>
    <w:rsid w:val="205A0CCD"/>
    <w:rsid w:val="24726016"/>
    <w:rsid w:val="259D3A42"/>
    <w:rsid w:val="2C2400AB"/>
    <w:rsid w:val="31D57E3C"/>
    <w:rsid w:val="32171FB4"/>
    <w:rsid w:val="326A2E96"/>
    <w:rsid w:val="32856C7C"/>
    <w:rsid w:val="36225FB1"/>
    <w:rsid w:val="43195B8C"/>
    <w:rsid w:val="45910787"/>
    <w:rsid w:val="45B45869"/>
    <w:rsid w:val="4744555E"/>
    <w:rsid w:val="4EF70F96"/>
    <w:rsid w:val="52E22CF5"/>
    <w:rsid w:val="55465EBB"/>
    <w:rsid w:val="560343DB"/>
    <w:rsid w:val="5683701E"/>
    <w:rsid w:val="5A4D6E53"/>
    <w:rsid w:val="6562019A"/>
    <w:rsid w:val="6E897E16"/>
    <w:rsid w:val="782C0CCD"/>
    <w:rsid w:val="7C6C68DE"/>
    <w:rsid w:val="7E6C69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autoRedefine/>
    <w:qFormat/>
    <w:uiPriority w:val="9"/>
    <w:pPr>
      <w:keepNext/>
      <w:keepLines/>
      <w:numPr>
        <w:ilvl w:val="0"/>
        <w:numId w:val="1"/>
      </w:numPr>
      <w:spacing w:before="340" w:after="330"/>
      <w:jc w:val="center"/>
      <w:outlineLvl w:val="0"/>
    </w:pPr>
    <w:rPr>
      <w:rFonts w:asciiTheme="minorHAnsi" w:hAnsiTheme="minorHAnsi" w:cstheme="minorBidi"/>
      <w:b/>
      <w:bCs/>
      <w:kern w:val="44"/>
      <w:sz w:val="32"/>
      <w:szCs w:val="44"/>
    </w:rPr>
  </w:style>
  <w:style w:type="paragraph" w:styleId="3">
    <w:name w:val="heading 2"/>
    <w:basedOn w:val="1"/>
    <w:next w:val="1"/>
    <w:link w:val="18"/>
    <w:unhideWhenUsed/>
    <w:qFormat/>
    <w:uiPriority w:val="9"/>
    <w:pPr>
      <w:keepNext/>
      <w:keepLines/>
      <w:numPr>
        <w:ilvl w:val="1"/>
        <w:numId w:val="1"/>
      </w:numPr>
      <w:spacing w:before="260" w:after="260"/>
      <w:jc w:val="center"/>
      <w:outlineLvl w:val="1"/>
    </w:pPr>
    <w:rPr>
      <w:rFonts w:asciiTheme="majorHAnsi" w:hAnsiTheme="majorHAnsi" w:cstheme="majorBidi"/>
      <w:b/>
      <w:bCs/>
      <w:sz w:val="30"/>
      <w:szCs w:val="32"/>
    </w:rPr>
  </w:style>
  <w:style w:type="paragraph" w:styleId="4">
    <w:name w:val="heading 3"/>
    <w:basedOn w:val="1"/>
    <w:next w:val="1"/>
    <w:link w:val="19"/>
    <w:autoRedefine/>
    <w:unhideWhenUsed/>
    <w:qFormat/>
    <w:uiPriority w:val="9"/>
    <w:pPr>
      <w:keepNext/>
      <w:keepLines/>
      <w:numPr>
        <w:ilvl w:val="2"/>
        <w:numId w:val="2"/>
      </w:numPr>
      <w:spacing w:before="260" w:after="260" w:line="416" w:lineRule="auto"/>
      <w:ind w:left="114"/>
      <w:outlineLvl w:val="2"/>
    </w:pPr>
    <w:rPr>
      <w:b/>
      <w:bCs/>
      <w:sz w:val="28"/>
      <w:szCs w:val="32"/>
    </w:rPr>
  </w:style>
  <w:style w:type="paragraph" w:styleId="5">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semiHidden/>
    <w:unhideWhenUsed/>
    <w:qFormat/>
    <w:uiPriority w:val="99"/>
    <w:pPr>
      <w:ind w:left="1400" w:leftChars="1400"/>
    </w:pPr>
  </w:style>
  <w:style w:type="paragraph" w:styleId="7">
    <w:name w:val="annotation text"/>
    <w:basedOn w:val="1"/>
    <w:autoRedefine/>
    <w:semiHidden/>
    <w:unhideWhenUsed/>
    <w:qFormat/>
    <w:uiPriority w:val="99"/>
    <w:pPr>
      <w:jc w:val="left"/>
    </w:pPr>
  </w:style>
  <w:style w:type="paragraph" w:styleId="8">
    <w:name w:val="Body Text"/>
    <w:basedOn w:val="1"/>
    <w:qFormat/>
    <w:uiPriority w:val="0"/>
    <w:pPr>
      <w:jc w:val="center"/>
    </w:pPr>
  </w:style>
  <w:style w:type="paragraph" w:styleId="9">
    <w:name w:val="Body Text Indent"/>
    <w:basedOn w:val="1"/>
    <w:next w:val="1"/>
    <w:link w:val="25"/>
    <w:qFormat/>
    <w:uiPriority w:val="0"/>
    <w:pPr>
      <w:spacing w:line="200" w:lineRule="exact"/>
      <w:ind w:firstLine="301"/>
    </w:pPr>
    <w:rPr>
      <w:rFonts w:ascii="宋体" w:hAnsi="Courier New"/>
      <w:spacing w:val="-4"/>
      <w:sz w:val="18"/>
      <w:szCs w:val="20"/>
    </w:rPr>
  </w:style>
  <w:style w:type="paragraph" w:styleId="10">
    <w:name w:val="Plain Text"/>
    <w:basedOn w:val="1"/>
    <w:next w:val="6"/>
    <w:link w:val="23"/>
    <w:autoRedefine/>
    <w:qFormat/>
    <w:uiPriority w:val="0"/>
    <w:rPr>
      <w:rFonts w:ascii="宋体" w:hAnsi="Courier New"/>
      <w:kern w:val="0"/>
      <w:sz w:val="20"/>
      <w:szCs w:val="21"/>
    </w:rPr>
  </w:style>
  <w:style w:type="paragraph" w:styleId="11">
    <w:name w:val="Balloon Text"/>
    <w:basedOn w:val="1"/>
    <w:link w:val="27"/>
    <w:autoRedefine/>
    <w:semiHidden/>
    <w:unhideWhenUsed/>
    <w:qFormat/>
    <w:uiPriority w:val="99"/>
    <w:rPr>
      <w:sz w:val="18"/>
      <w:szCs w:val="18"/>
    </w:rPr>
  </w:style>
  <w:style w:type="paragraph" w:styleId="12">
    <w:name w:val="footer"/>
    <w:basedOn w:val="1"/>
    <w:link w:val="21"/>
    <w:autoRedefine/>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0"/>
    <w:autoRedefine/>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4">
    <w:name w:val="Body Text First Indent"/>
    <w:basedOn w:val="8"/>
    <w:autoRedefine/>
    <w:qFormat/>
    <w:uiPriority w:val="99"/>
    <w:pPr>
      <w:ind w:firstLine="420" w:firstLineChars="100"/>
    </w:pPr>
  </w:style>
  <w:style w:type="character" w:customStyle="1" w:styleId="17">
    <w:name w:val="标题 1 字符"/>
    <w:basedOn w:val="16"/>
    <w:link w:val="2"/>
    <w:autoRedefine/>
    <w:qFormat/>
    <w:uiPriority w:val="9"/>
    <w:rPr>
      <w:rFonts w:eastAsia="宋体"/>
      <w:b/>
      <w:bCs/>
      <w:kern w:val="44"/>
      <w:sz w:val="32"/>
      <w:szCs w:val="44"/>
    </w:rPr>
  </w:style>
  <w:style w:type="character" w:customStyle="1" w:styleId="18">
    <w:name w:val="标题 2 字符"/>
    <w:basedOn w:val="16"/>
    <w:link w:val="3"/>
    <w:autoRedefine/>
    <w:qFormat/>
    <w:uiPriority w:val="9"/>
    <w:rPr>
      <w:rFonts w:eastAsia="宋体" w:asciiTheme="majorHAnsi" w:hAnsiTheme="majorHAnsi" w:cstheme="majorBidi"/>
      <w:b/>
      <w:bCs/>
      <w:sz w:val="30"/>
      <w:szCs w:val="32"/>
    </w:rPr>
  </w:style>
  <w:style w:type="character" w:customStyle="1" w:styleId="19">
    <w:name w:val="标题 3 字符"/>
    <w:basedOn w:val="16"/>
    <w:link w:val="4"/>
    <w:autoRedefine/>
    <w:qFormat/>
    <w:uiPriority w:val="9"/>
    <w:rPr>
      <w:rFonts w:ascii="Times New Roman" w:hAnsi="Times New Roman" w:eastAsia="宋体" w:cs="Times New Roman"/>
      <w:b/>
      <w:bCs/>
      <w:sz w:val="28"/>
      <w:szCs w:val="32"/>
    </w:rPr>
  </w:style>
  <w:style w:type="character" w:customStyle="1" w:styleId="20">
    <w:name w:val="页眉 字符"/>
    <w:basedOn w:val="16"/>
    <w:link w:val="13"/>
    <w:autoRedefine/>
    <w:qFormat/>
    <w:uiPriority w:val="99"/>
    <w:rPr>
      <w:rFonts w:eastAsia="宋体"/>
      <w:sz w:val="18"/>
      <w:szCs w:val="18"/>
    </w:rPr>
  </w:style>
  <w:style w:type="character" w:customStyle="1" w:styleId="21">
    <w:name w:val="页脚 字符"/>
    <w:basedOn w:val="16"/>
    <w:link w:val="12"/>
    <w:autoRedefine/>
    <w:qFormat/>
    <w:uiPriority w:val="99"/>
    <w:rPr>
      <w:rFonts w:eastAsia="宋体"/>
      <w:sz w:val="18"/>
      <w:szCs w:val="18"/>
    </w:rPr>
  </w:style>
  <w:style w:type="character" w:customStyle="1" w:styleId="22">
    <w:name w:val="纯文本 字符"/>
    <w:basedOn w:val="16"/>
    <w:autoRedefine/>
    <w:qFormat/>
    <w:uiPriority w:val="0"/>
    <w:rPr>
      <w:rFonts w:hAnsi="Courier New" w:cs="Courier New" w:asciiTheme="minorEastAsia"/>
      <w:szCs w:val="24"/>
    </w:rPr>
  </w:style>
  <w:style w:type="character" w:customStyle="1" w:styleId="23">
    <w:name w:val="纯文本 字符1"/>
    <w:link w:val="10"/>
    <w:autoRedefine/>
    <w:qFormat/>
    <w:uiPriority w:val="0"/>
    <w:rPr>
      <w:rFonts w:ascii="宋体" w:hAnsi="Courier New" w:eastAsia="宋体" w:cs="Times New Roman"/>
      <w:kern w:val="0"/>
      <w:sz w:val="20"/>
      <w:szCs w:val="21"/>
    </w:rPr>
  </w:style>
  <w:style w:type="character" w:customStyle="1" w:styleId="24">
    <w:name w:val="标题 4 字符"/>
    <w:basedOn w:val="16"/>
    <w:link w:val="5"/>
    <w:semiHidden/>
    <w:qFormat/>
    <w:uiPriority w:val="9"/>
    <w:rPr>
      <w:rFonts w:asciiTheme="majorHAnsi" w:hAnsiTheme="majorHAnsi" w:eastAsiaTheme="majorEastAsia" w:cstheme="majorBidi"/>
      <w:b/>
      <w:bCs/>
      <w:sz w:val="28"/>
      <w:szCs w:val="28"/>
    </w:rPr>
  </w:style>
  <w:style w:type="character" w:customStyle="1" w:styleId="25">
    <w:name w:val="正文文本缩进 字符"/>
    <w:basedOn w:val="16"/>
    <w:link w:val="9"/>
    <w:autoRedefine/>
    <w:qFormat/>
    <w:uiPriority w:val="0"/>
    <w:rPr>
      <w:rFonts w:ascii="宋体" w:hAnsi="Courier New" w:eastAsia="宋体" w:cs="Times New Roman"/>
      <w:spacing w:val="-4"/>
      <w:sz w:val="18"/>
      <w:szCs w:val="20"/>
    </w:rPr>
  </w:style>
  <w:style w:type="paragraph" w:customStyle="1" w:styleId="26">
    <w:name w:val="表格文字"/>
    <w:basedOn w:val="1"/>
    <w:autoRedefine/>
    <w:qFormat/>
    <w:uiPriority w:val="0"/>
    <w:pPr>
      <w:spacing w:before="25" w:after="25"/>
      <w:jc w:val="left"/>
    </w:pPr>
    <w:rPr>
      <w:bCs/>
      <w:spacing w:val="10"/>
      <w:kern w:val="0"/>
      <w:sz w:val="24"/>
      <w:szCs w:val="20"/>
    </w:rPr>
  </w:style>
  <w:style w:type="character" w:customStyle="1" w:styleId="27">
    <w:name w:val="批注框文本 字符"/>
    <w:basedOn w:val="16"/>
    <w:link w:val="11"/>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7061</Words>
  <Characters>7315</Characters>
  <Lines>58</Lines>
  <Paragraphs>16</Paragraphs>
  <TotalTime>7</TotalTime>
  <ScaleCrop>false</ScaleCrop>
  <LinksUpToDate>false</LinksUpToDate>
  <CharactersWithSpaces>7361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2024-06-13T02:52:00Z</dcterms:created>
  <dc:creator>PC</dc:creator>
  <cp:lastModifiedBy>婷</cp:lastModifiedBy>
  <cp:lastPrinted>2024-09-05T09:43:00Z</cp:lastPrinted>
  <dcterms:modified xsi:type="dcterms:W3CDTF">2024-10-11T08:29:07Z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B51D3BD9CD5F4A5EA650616077618FF7_13</vt:lpwstr>
  </property>
</Properties>
</file>