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3B106">
      <w:pPr>
        <w:keepNext w:val="0"/>
        <w:keepLines w:val="0"/>
        <w:pageBreakBefore w:val="0"/>
        <w:widowControl/>
        <w:kinsoku/>
        <w:wordWrap/>
        <w:overflowPunct/>
        <w:topLinePunct w:val="0"/>
        <w:autoSpaceDE/>
        <w:autoSpaceDN/>
        <w:bidi w:val="0"/>
        <w:spacing w:line="560" w:lineRule="exact"/>
        <w:ind w:left="0" w:leftChars="0"/>
        <w:rPr>
          <w:rFonts w:hint="eastAsia" w:ascii="方正黑体_GBK" w:hAnsi="方正黑体_GBK" w:eastAsia="方正黑体_GBK" w:cs="方正黑体_GBK"/>
          <w:color w:val="auto"/>
          <w:kern w:val="0"/>
          <w:sz w:val="32"/>
          <w:szCs w:val="32"/>
          <w:highlight w:val="none"/>
          <w:lang w:val="en-US" w:eastAsia="zh-CN"/>
        </w:rPr>
      </w:pPr>
      <w:r>
        <w:rPr>
          <w:rFonts w:hint="eastAsia" w:ascii="方正黑体_GBK" w:hAnsi="方正黑体_GBK" w:eastAsia="方正黑体_GBK" w:cs="方正黑体_GBK"/>
          <w:color w:val="auto"/>
          <w:kern w:val="0"/>
          <w:sz w:val="32"/>
          <w:szCs w:val="32"/>
          <w:highlight w:val="none"/>
          <w:lang w:eastAsia="zh-CN"/>
        </w:rPr>
        <w:t>附件</w:t>
      </w:r>
      <w:r>
        <w:rPr>
          <w:rFonts w:hint="eastAsia" w:ascii="方正黑体_GBK" w:hAnsi="方正黑体_GBK" w:eastAsia="方正黑体_GBK" w:cs="方正黑体_GBK"/>
          <w:color w:val="auto"/>
          <w:kern w:val="0"/>
          <w:sz w:val="32"/>
          <w:szCs w:val="32"/>
          <w:highlight w:val="none"/>
          <w:lang w:val="en-US" w:eastAsia="zh-CN"/>
        </w:rPr>
        <w:t>3</w:t>
      </w:r>
    </w:p>
    <w:p w14:paraId="70E9C183">
      <w:pPr>
        <w:pStyle w:val="7"/>
        <w:keepNext w:val="0"/>
        <w:keepLines w:val="0"/>
        <w:pageBreakBefore w:val="0"/>
        <w:kinsoku/>
        <w:wordWrap/>
        <w:overflowPunct/>
        <w:topLinePunct w:val="0"/>
        <w:autoSpaceDE/>
        <w:autoSpaceDN/>
        <w:bidi w:val="0"/>
        <w:snapToGrid w:val="0"/>
        <w:spacing w:line="560" w:lineRule="exact"/>
        <w:ind w:left="0" w:leftChars="0" w:firstLine="0" w:firstLineChars="0"/>
        <w:rPr>
          <w:rFonts w:hint="eastAsia" w:ascii="Times New Roman" w:hAnsi="Times New Roman" w:eastAsia="方正仿宋_GBK" w:cs="方正仿宋_GBK"/>
          <w:b/>
          <w:bCs/>
          <w:color w:val="auto"/>
          <w:sz w:val="32"/>
          <w:szCs w:val="32"/>
          <w:highlight w:val="none"/>
        </w:rPr>
      </w:pPr>
      <w:bookmarkStart w:id="0" w:name="_Toc18481389"/>
      <w:bookmarkEnd w:id="0"/>
      <w:r>
        <w:rPr>
          <w:rFonts w:hint="eastAsia" w:ascii="Times New Roman" w:hAnsi="Times New Roman" w:eastAsia="方正仿宋_GBK" w:cs="方正仿宋_GBK"/>
          <w:b/>
          <w:bCs/>
          <w:color w:val="auto"/>
          <w:sz w:val="32"/>
          <w:szCs w:val="32"/>
          <w:highlight w:val="none"/>
        </w:rPr>
        <w:t xml:space="preserve"> </w:t>
      </w:r>
    </w:p>
    <w:p w14:paraId="099305A7">
      <w:pPr>
        <w:pStyle w:val="4"/>
        <w:spacing w:line="520" w:lineRule="exact"/>
        <w:ind w:firstLine="0" w:firstLineChars="0"/>
        <w:jc w:val="center"/>
        <w:outlineLvl w:val="0"/>
        <w:rPr>
          <w:rFonts w:ascii="Times New Roman" w:hAnsi="Times New Roman" w:eastAsia="方正小标宋_GBK" w:cs="Times New Roman"/>
          <w:bCs/>
          <w:sz w:val="44"/>
          <w:szCs w:val="44"/>
          <w:highlight w:val="none"/>
          <w:lang w:eastAsia="zh-Hans"/>
        </w:rPr>
      </w:pPr>
      <w:r>
        <w:rPr>
          <w:rFonts w:hint="eastAsia" w:ascii="Times New Roman" w:hAnsi="Times New Roman" w:eastAsia="方正仿宋_GBK" w:cs="方正仿宋_GBK"/>
          <w:b/>
          <w:bCs/>
          <w:color w:val="auto"/>
          <w:sz w:val="32"/>
          <w:szCs w:val="32"/>
          <w:highlight w:val="none"/>
          <w:lang w:val="en-US" w:eastAsia="zh-CN"/>
        </w:rPr>
        <w:t xml:space="preserve"> </w:t>
      </w:r>
      <w:bookmarkStart w:id="1" w:name="OLE_LINK2"/>
      <w:r>
        <w:rPr>
          <w:rFonts w:hint="eastAsia" w:ascii="Times New Roman" w:hAnsi="Times New Roman" w:eastAsia="方正小标宋_GBK" w:cs="Times New Roman"/>
          <w:bCs/>
          <w:sz w:val="44"/>
          <w:szCs w:val="44"/>
          <w:highlight w:val="none"/>
          <w:lang w:val="en-US" w:eastAsia="zh-CN"/>
        </w:rPr>
        <w:t>广西壮族自治区</w:t>
      </w:r>
      <w:r>
        <w:rPr>
          <w:rFonts w:hint="default" w:ascii="Times New Roman" w:hAnsi="Times New Roman" w:eastAsia="方正小标宋_GBK" w:cs="Times New Roman"/>
          <w:bCs/>
          <w:sz w:val="44"/>
          <w:szCs w:val="44"/>
          <w:highlight w:val="none"/>
          <w:lang w:val="en-US" w:eastAsia="zh-CN"/>
        </w:rPr>
        <w:t>政务服务</w:t>
      </w:r>
      <w:bookmarkEnd w:id="1"/>
      <w:r>
        <w:rPr>
          <w:rFonts w:hint="default" w:ascii="Times New Roman" w:hAnsi="Times New Roman" w:eastAsia="方正小标宋_GBK" w:cs="Times New Roman"/>
          <w:bCs/>
          <w:sz w:val="44"/>
          <w:szCs w:val="44"/>
          <w:highlight w:val="none"/>
          <w:lang w:val="en-US" w:eastAsia="zh-CN"/>
        </w:rPr>
        <w:t>流程优化再造服务项目</w:t>
      </w:r>
      <w:r>
        <w:rPr>
          <w:rFonts w:hint="default" w:ascii="Times New Roman" w:hAnsi="Times New Roman" w:eastAsia="方正小标宋_GBK" w:cs="Times New Roman"/>
          <w:bCs/>
          <w:sz w:val="44"/>
          <w:szCs w:val="44"/>
          <w:highlight w:val="none"/>
          <w:lang w:eastAsia="zh-Hans"/>
        </w:rPr>
        <w:t>评分标准</w:t>
      </w:r>
    </w:p>
    <w:p w14:paraId="3446E6E7">
      <w:pPr>
        <w:pStyle w:val="4"/>
        <w:adjustRightInd w:val="0"/>
        <w:spacing w:line="520" w:lineRule="exact"/>
        <w:ind w:firstLine="643"/>
        <w:contextualSpacing/>
        <w:rPr>
          <w:rFonts w:ascii="Times New Roman" w:hAnsi="Times New Roman" w:cs="Times New Roman"/>
          <w:b/>
          <w:szCs w:val="21"/>
          <w:highlight w:val="none"/>
        </w:rPr>
      </w:pPr>
      <w:bookmarkStart w:id="2" w:name="_Toc213325923"/>
      <w:bookmarkStart w:id="3" w:name="_Toc213206174"/>
    </w:p>
    <w:p w14:paraId="5D5A09BD">
      <w:pPr>
        <w:pStyle w:val="2"/>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s="Times New Roman"/>
          <w:sz w:val="32"/>
          <w:szCs w:val="32"/>
          <w:highlight w:val="none"/>
        </w:rPr>
      </w:pPr>
      <w:r>
        <w:rPr>
          <w:rFonts w:hint="default" w:ascii="Times New Roman" w:hAnsi="Times New Roman" w:cs="Times New Roman"/>
          <w:sz w:val="32"/>
          <w:szCs w:val="32"/>
          <w:highlight w:val="none"/>
        </w:rPr>
        <w:t>一、评审原则</w:t>
      </w:r>
    </w:p>
    <w:p w14:paraId="276FF312">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（一）磋商小组组成：本项目的磋商小组由采购人代表和熟悉公共管理和政务服务等方面的专家组成，成员人数应当为三人以上单数。其中，熟悉公共管理和政务服务等方面的专家不得少于成员总数的三分之二。</w:t>
      </w:r>
    </w:p>
    <w:p w14:paraId="7768C807">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highlight w:val="none"/>
          <w:lang w:eastAsia="zh-Hans"/>
        </w:rPr>
        <w:t>评审</w:t>
      </w:r>
      <w:r>
        <w:rPr>
          <w:rFonts w:hint="default" w:ascii="Times New Roman" w:hAnsi="Times New Roman" w:eastAsia="仿宋_GB2312" w:cs="Times New Roman"/>
          <w:color w:val="auto"/>
          <w:sz w:val="32"/>
          <w:szCs w:val="32"/>
          <w:highlight w:val="none"/>
        </w:rPr>
        <w:t>依据：磋商小组以采购需求和评分标准为</w:t>
      </w:r>
      <w:r>
        <w:rPr>
          <w:rFonts w:hint="default" w:ascii="Times New Roman" w:hAnsi="Times New Roman" w:eastAsia="仿宋_GB2312" w:cs="Times New Roman"/>
          <w:color w:val="auto"/>
          <w:sz w:val="32"/>
          <w:szCs w:val="32"/>
          <w:highlight w:val="none"/>
          <w:lang w:eastAsia="zh-Hans"/>
        </w:rPr>
        <w:t>评审</w:t>
      </w:r>
      <w:r>
        <w:rPr>
          <w:rFonts w:hint="default" w:ascii="Times New Roman" w:hAnsi="Times New Roman" w:eastAsia="仿宋_GB2312" w:cs="Times New Roman"/>
          <w:color w:val="auto"/>
          <w:sz w:val="32"/>
          <w:szCs w:val="32"/>
          <w:highlight w:val="none"/>
        </w:rPr>
        <w:t>依据，对报价人的报价、商务</w:t>
      </w:r>
      <w:r>
        <w:rPr>
          <w:rFonts w:hint="default" w:ascii="Times New Roman" w:hAnsi="Times New Roman" w:eastAsia="仿宋_GB2312" w:cs="Times New Roman"/>
          <w:color w:val="auto"/>
          <w:sz w:val="32"/>
          <w:szCs w:val="32"/>
          <w:highlight w:val="none"/>
          <w:lang w:eastAsia="zh-Hans"/>
        </w:rPr>
        <w:t>、能力业绩</w:t>
      </w:r>
      <w:r>
        <w:rPr>
          <w:rFonts w:hint="default" w:ascii="Times New Roman" w:hAnsi="Times New Roman" w:eastAsia="仿宋_GB2312" w:cs="Times New Roman"/>
          <w:color w:val="auto"/>
          <w:sz w:val="32"/>
          <w:szCs w:val="32"/>
          <w:highlight w:val="none"/>
        </w:rPr>
        <w:t>等方面内容按百分制打分。</w:t>
      </w:r>
    </w:p>
    <w:p w14:paraId="218077AE">
      <w:pPr>
        <w:pStyle w:val="2"/>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s="Times New Roman"/>
          <w:sz w:val="32"/>
          <w:szCs w:val="32"/>
          <w:highlight w:val="none"/>
        </w:rPr>
      </w:pPr>
      <w:r>
        <w:rPr>
          <w:rFonts w:hint="default" w:ascii="Times New Roman" w:hAnsi="Times New Roman" w:cs="Times New Roman"/>
          <w:sz w:val="32"/>
          <w:szCs w:val="32"/>
          <w:highlight w:val="none"/>
        </w:rPr>
        <w:t>二、评分标准</w:t>
      </w:r>
    </w:p>
    <w:p w14:paraId="14E6F674">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（一）对进入详评的，采用百分制综合评分法。</w:t>
      </w:r>
    </w:p>
    <w:p w14:paraId="213C6A95">
      <w:pPr>
        <w:pageBreakBefore w:val="0"/>
        <w:widowControl w:val="0"/>
        <w:kinsoku/>
        <w:wordWrap/>
        <w:overflowPunct/>
        <w:topLinePunct w:val="0"/>
        <w:autoSpaceDE/>
        <w:autoSpaceDN/>
        <w:bidi w:val="0"/>
        <w:spacing w:line="560" w:lineRule="exact"/>
        <w:ind w:firstLine="640" w:firstLineChars="200"/>
        <w:textAlignment w:val="auto"/>
        <w:rPr>
          <w:rFonts w:ascii="Times New Roman" w:hAnsi="Times New Roman" w:cs="Times New Roman"/>
          <w:sz w:val="32"/>
          <w:szCs w:val="32"/>
          <w:highlight w:val="none"/>
        </w:rPr>
      </w:pPr>
      <w:r>
        <w:rPr>
          <w:rFonts w:hint="default" w:ascii="Times New Roman" w:hAnsi="Times New Roman" w:eastAsia="仿宋_GB2312" w:cs="Times New Roman"/>
          <w:sz w:val="32"/>
          <w:szCs w:val="32"/>
          <w:highlight w:val="none"/>
        </w:rPr>
        <w:t>（二）计分办法（按四舍五入取至百分位）。</w:t>
      </w:r>
    </w:p>
    <w:p w14:paraId="6F6C2999">
      <w:pPr>
        <w:pageBreakBefore w:val="0"/>
        <w:widowControl w:val="0"/>
        <w:kinsoku/>
        <w:wordWrap/>
        <w:overflowPunct/>
        <w:topLinePunct w:val="0"/>
        <w:autoSpaceDE/>
        <w:autoSpaceDN/>
        <w:bidi w:val="0"/>
        <w:spacing w:line="560" w:lineRule="exact"/>
        <w:ind w:firstLine="964" w:firstLineChars="300"/>
        <w:textAlignment w:val="auto"/>
        <w:rPr>
          <w:rFonts w:hint="default" w:ascii="Times New Roman" w:hAnsi="Times New Roman" w:eastAsia="仿宋_GB2312" w:cs="Times New Roman"/>
          <w:b/>
          <w:bCs/>
          <w:color w:val="auto"/>
          <w:sz w:val="32"/>
          <w:szCs w:val="32"/>
          <w:highlight w:val="none"/>
          <w:lang w:eastAsia="zh-Hans"/>
        </w:rPr>
      </w:pPr>
      <w:r>
        <w:rPr>
          <w:rFonts w:hint="default" w:ascii="Times New Roman" w:hAnsi="Times New Roman" w:eastAsia="仿宋_GB2312" w:cs="Times New Roman"/>
          <w:b/>
          <w:bCs/>
          <w:color w:val="auto"/>
          <w:sz w:val="32"/>
          <w:szCs w:val="32"/>
          <w:highlight w:val="none"/>
          <w:lang w:eastAsia="zh-Hans"/>
        </w:rPr>
        <w:t>1.响应报价分</w:t>
      </w: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eastAsia="zh-Hans"/>
        </w:rPr>
        <w:t>0分</w:t>
      </w:r>
    </w:p>
    <w:p w14:paraId="1215E2CF">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color w:val="auto"/>
          <w:sz w:val="32"/>
          <w:szCs w:val="32"/>
          <w:highlight w:val="none"/>
          <w:lang w:eastAsia="zh-Hans"/>
        </w:rPr>
        <w:t>（1）以满足采购文件要求且响应价格最低的响应报价为评审基准价，其价格分为满分。其他供应商的价格分统一按照下列公式计算：响应报价得分=（评审基准价/响应报价）×响应报价分满分分值。</w:t>
      </w:r>
    </w:p>
    <w:p w14:paraId="738B8E1F">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color w:val="auto"/>
          <w:sz w:val="32"/>
          <w:szCs w:val="32"/>
          <w:highlight w:val="none"/>
          <w:lang w:eastAsia="zh-Hans"/>
        </w:rPr>
        <w:t>（2）按照《政府采购促进中小企业发展</w:t>
      </w:r>
      <w:r>
        <w:rPr>
          <w:rFonts w:hint="eastAsia" w:ascii="Times New Roman" w:hAnsi="Times New Roman" w:eastAsia="仿宋_GB2312" w:cs="Times New Roman"/>
          <w:color w:val="auto"/>
          <w:sz w:val="32"/>
          <w:szCs w:val="32"/>
          <w:highlight w:val="none"/>
          <w:lang w:val="en-US" w:eastAsia="zh-CN"/>
        </w:rPr>
        <w:t>管理</w:t>
      </w:r>
      <w:r>
        <w:rPr>
          <w:rFonts w:hint="default" w:ascii="Times New Roman" w:hAnsi="Times New Roman" w:eastAsia="仿宋_GB2312" w:cs="Times New Roman"/>
          <w:color w:val="auto"/>
          <w:sz w:val="32"/>
          <w:szCs w:val="32"/>
          <w:highlight w:val="none"/>
          <w:lang w:eastAsia="zh-Hans"/>
        </w:rPr>
        <w:t>办法》（财库〔2020〕46号）及《财政部关于进一步加大政府采购支持中小企业力度的通知》（财库〔2022〕19号）的规定，投标人为小型和微型企业，并在其投标文件中提供《中小企业声明函》，且其所投标产品全部为小型和微型企业产品的，对其投标价格给予20%的扣除。</w:t>
      </w:r>
    </w:p>
    <w:p w14:paraId="0270FC22">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color w:val="auto"/>
          <w:sz w:val="32"/>
          <w:szCs w:val="32"/>
          <w:highlight w:val="none"/>
          <w:lang w:eastAsia="zh-Hans"/>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55B9A95">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color w:val="auto"/>
          <w:sz w:val="32"/>
          <w:szCs w:val="32"/>
          <w:highlight w:val="none"/>
          <w:lang w:eastAsia="zh-Hans"/>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43ACC8B">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color w:val="auto"/>
          <w:sz w:val="32"/>
          <w:szCs w:val="32"/>
          <w:highlight w:val="none"/>
          <w:lang w:eastAsia="zh-Hans"/>
        </w:rPr>
        <w:t>（5）政策性扣除计算方法。</w:t>
      </w:r>
      <w:r>
        <w:rPr>
          <w:rFonts w:hint="eastAsia" w:ascii="Times New Roman" w:hAnsi="Times New Roman" w:eastAsia="仿宋_GB2312" w:cs="Times New Roman"/>
          <w:color w:val="auto"/>
          <w:sz w:val="32"/>
          <w:szCs w:val="32"/>
          <w:highlight w:val="none"/>
          <w:lang w:val="en-US" w:eastAsia="zh-CN"/>
        </w:rPr>
        <w:t>本项目</w:t>
      </w:r>
      <w:r>
        <w:rPr>
          <w:rFonts w:hint="default" w:ascii="Times New Roman" w:hAnsi="Times New Roman" w:eastAsia="仿宋_GB2312" w:cs="Times New Roman"/>
          <w:color w:val="auto"/>
          <w:sz w:val="32"/>
          <w:szCs w:val="32"/>
          <w:highlight w:val="none"/>
          <w:lang w:val="en-US" w:eastAsia="zh-Hans"/>
        </w:rPr>
        <w:t>不允许联合体投标</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eastAsia="zh-Hans"/>
        </w:rPr>
        <w:t>投标人被评定为监狱企业或残疾人福利性单位或小型和微型企业且其所投标全部产品为小型和微型企业产品的，该投标人的投标报价给予20%的扣除，扣除后的价格为评标报价，即评标报价=投标报价×（1-20%）。</w:t>
      </w:r>
    </w:p>
    <w:p w14:paraId="03C142DC">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color w:val="auto"/>
          <w:sz w:val="32"/>
          <w:szCs w:val="32"/>
          <w:highlight w:val="none"/>
          <w:lang w:eastAsia="zh-Hans"/>
        </w:rPr>
        <w:t>（6）除上述情况外，评标报价=投标报价</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且投标人只能进行一次报价</w:t>
      </w:r>
      <w:r>
        <w:rPr>
          <w:rFonts w:hint="default" w:ascii="Times New Roman" w:hAnsi="Times New Roman" w:eastAsia="仿宋_GB2312" w:cs="Times New Roman"/>
          <w:color w:val="auto"/>
          <w:sz w:val="32"/>
          <w:szCs w:val="32"/>
          <w:highlight w:val="none"/>
          <w:lang w:eastAsia="zh-Hans"/>
        </w:rPr>
        <w:t>。</w:t>
      </w:r>
    </w:p>
    <w:p w14:paraId="16CB1D84">
      <w:pPr>
        <w:pageBreakBefore w:val="0"/>
        <w:widowControl w:val="0"/>
        <w:kinsoku/>
        <w:wordWrap/>
        <w:overflowPunct/>
        <w:topLinePunct w:val="0"/>
        <w:autoSpaceDE/>
        <w:autoSpaceDN/>
        <w:bidi w:val="0"/>
        <w:spacing w:line="560" w:lineRule="exact"/>
        <w:ind w:left="0" w:leftChars="0" w:firstLine="643" w:firstLineChars="200"/>
        <w:textAlignment w:val="auto"/>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b/>
          <w:bCs/>
          <w:color w:val="auto"/>
          <w:sz w:val="32"/>
          <w:szCs w:val="32"/>
          <w:highlight w:val="none"/>
          <w:lang w:eastAsia="zh-Hans"/>
        </w:rPr>
        <w:t>2.技术分5</w:t>
      </w:r>
      <w:r>
        <w:rPr>
          <w:rFonts w:hint="default" w:ascii="Times New Roman" w:hAnsi="Times New Roman" w:eastAsia="仿宋_GB2312" w:cs="Times New Roman"/>
          <w:b/>
          <w:bCs/>
          <w:color w:val="auto"/>
          <w:sz w:val="32"/>
          <w:szCs w:val="32"/>
          <w:highlight w:val="none"/>
          <w:lang w:val="en-US" w:eastAsia="zh-CN"/>
        </w:rPr>
        <w:t>0</w:t>
      </w:r>
      <w:r>
        <w:rPr>
          <w:rFonts w:hint="default" w:ascii="Times New Roman" w:hAnsi="Times New Roman" w:eastAsia="仿宋_GB2312" w:cs="Times New Roman"/>
          <w:b/>
          <w:bCs/>
          <w:color w:val="auto"/>
          <w:sz w:val="32"/>
          <w:szCs w:val="32"/>
          <w:highlight w:val="none"/>
          <w:lang w:eastAsia="zh-Hans"/>
        </w:rPr>
        <w:t>分</w:t>
      </w:r>
    </w:p>
    <w:p w14:paraId="14C024AC">
      <w:pPr>
        <w:pStyle w:val="4"/>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（1）项目背景</w:t>
      </w:r>
      <w:r>
        <w:rPr>
          <w:rFonts w:hint="default" w:ascii="Times New Roman" w:hAnsi="Times New Roman" w:eastAsia="仿宋_GB2312" w:cs="Times New Roman"/>
          <w:b/>
          <w:bCs/>
          <w:sz w:val="32"/>
          <w:szCs w:val="32"/>
          <w:highlight w:val="none"/>
          <w:lang w:val="en-US" w:eastAsia="zh-CN"/>
        </w:rPr>
        <w:t>分析及</w:t>
      </w:r>
      <w:r>
        <w:rPr>
          <w:rFonts w:hint="default" w:ascii="Times New Roman" w:hAnsi="Times New Roman" w:eastAsia="仿宋_GB2312" w:cs="Times New Roman"/>
          <w:b/>
          <w:bCs/>
          <w:sz w:val="32"/>
          <w:szCs w:val="32"/>
          <w:highlight w:val="none"/>
        </w:rPr>
        <w:t>理解（满分</w:t>
      </w:r>
      <w:r>
        <w:rPr>
          <w:rFonts w:hint="default" w:ascii="Times New Roman" w:hAnsi="Times New Roman" w:eastAsia="仿宋_GB2312" w:cs="Times New Roman"/>
          <w:b/>
          <w:bCs/>
          <w:sz w:val="32"/>
          <w:szCs w:val="32"/>
          <w:highlight w:val="none"/>
          <w:lang w:val="en-US" w:eastAsia="zh-CN"/>
        </w:rPr>
        <w:t>6</w:t>
      </w:r>
      <w:r>
        <w:rPr>
          <w:rFonts w:hint="default" w:ascii="Times New Roman" w:hAnsi="Times New Roman" w:eastAsia="仿宋_GB2312" w:cs="Times New Roman"/>
          <w:b/>
          <w:bCs/>
          <w:sz w:val="32"/>
          <w:szCs w:val="32"/>
          <w:highlight w:val="none"/>
        </w:rPr>
        <w:t>分）</w:t>
      </w:r>
    </w:p>
    <w:p w14:paraId="2D6CB1E5">
      <w:pPr>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由</w:t>
      </w:r>
      <w:r>
        <w:rPr>
          <w:rFonts w:hint="eastAsia" w:eastAsia="仿宋_GB2312" w:cs="Times New Roman"/>
          <w:sz w:val="32"/>
          <w:szCs w:val="32"/>
          <w:highlight w:val="none"/>
          <w:lang w:eastAsia="zh-CN"/>
        </w:rPr>
        <w:t>磋商小组</w:t>
      </w:r>
      <w:r>
        <w:rPr>
          <w:rFonts w:hint="default" w:ascii="Times New Roman" w:hAnsi="Times New Roman" w:eastAsia="仿宋_GB2312" w:cs="Times New Roman"/>
          <w:sz w:val="32"/>
          <w:szCs w:val="32"/>
          <w:highlight w:val="none"/>
        </w:rPr>
        <w:t>根据各报价人提供的项目背景分析及</w:t>
      </w:r>
      <w:r>
        <w:rPr>
          <w:rFonts w:hint="default" w:ascii="Times New Roman" w:hAnsi="Times New Roman" w:eastAsia="仿宋_GB2312" w:cs="Times New Roman"/>
          <w:sz w:val="32"/>
          <w:szCs w:val="32"/>
          <w:highlight w:val="none"/>
          <w:lang w:val="en-US" w:eastAsia="zh-CN"/>
        </w:rPr>
        <w:t>项目理解</w:t>
      </w:r>
      <w:r>
        <w:rPr>
          <w:rFonts w:hint="default" w:ascii="Times New Roman" w:hAnsi="Times New Roman" w:eastAsia="仿宋_GB2312" w:cs="Times New Roman"/>
          <w:sz w:val="32"/>
          <w:szCs w:val="32"/>
          <w:highlight w:val="none"/>
        </w:rPr>
        <w:t>，确定各投标人所属档次及分值。不满足一档要求或未提供方案的，得0分。</w:t>
      </w:r>
    </w:p>
    <w:p w14:paraId="76873909">
      <w:pPr>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一档（2分）：对项目有基础理解，对项目理解基本满足项目需求。</w:t>
      </w:r>
    </w:p>
    <w:p w14:paraId="07883F63">
      <w:pPr>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二档（4分）：对项目理解较深刻、阐述较清晰，对项目理解能较好满足项目需求。</w:t>
      </w:r>
    </w:p>
    <w:p w14:paraId="0F111D32">
      <w:pPr>
        <w:pStyle w:val="4"/>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三档（6分）：对项目理解全面深刻、阐述清晰，内容完整，对项目理解能全面满足并优于采购要求。</w:t>
      </w:r>
    </w:p>
    <w:p w14:paraId="102DFFC2">
      <w:pPr>
        <w:pStyle w:val="4"/>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kern w:val="2"/>
          <w:sz w:val="32"/>
          <w:szCs w:val="32"/>
          <w:highlight w:val="none"/>
          <w:lang w:val="en-US" w:eastAsia="zh-CN" w:bidi="ar-SA"/>
        </w:rPr>
        <w:t>（2）实施</w:t>
      </w:r>
      <w:r>
        <w:rPr>
          <w:rFonts w:hint="default" w:ascii="Times New Roman" w:hAnsi="Times New Roman" w:eastAsia="仿宋_GB2312" w:cs="Times New Roman"/>
          <w:b/>
          <w:bCs/>
          <w:sz w:val="32"/>
          <w:szCs w:val="32"/>
          <w:highlight w:val="none"/>
        </w:rPr>
        <w:t>方案（满分</w:t>
      </w:r>
      <w:r>
        <w:rPr>
          <w:rFonts w:hint="default" w:ascii="Times New Roman" w:hAnsi="Times New Roman" w:eastAsia="仿宋_GB2312" w:cs="Times New Roman"/>
          <w:b/>
          <w:bCs/>
          <w:sz w:val="32"/>
          <w:szCs w:val="32"/>
          <w:highlight w:val="none"/>
          <w:lang w:val="en-US" w:eastAsia="zh-CN"/>
        </w:rPr>
        <w:t>18</w:t>
      </w:r>
      <w:r>
        <w:rPr>
          <w:rFonts w:hint="default" w:ascii="Times New Roman" w:hAnsi="Times New Roman" w:eastAsia="仿宋_GB2312" w:cs="Times New Roman"/>
          <w:b/>
          <w:bCs/>
          <w:sz w:val="32"/>
          <w:szCs w:val="32"/>
          <w:highlight w:val="none"/>
        </w:rPr>
        <w:t>分）</w:t>
      </w:r>
    </w:p>
    <w:p w14:paraId="47C1FD90">
      <w:pPr>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由</w:t>
      </w:r>
      <w:r>
        <w:rPr>
          <w:rFonts w:hint="eastAsia" w:eastAsia="仿宋_GB2312" w:cs="Times New Roman"/>
          <w:sz w:val="32"/>
          <w:szCs w:val="32"/>
          <w:highlight w:val="none"/>
          <w:lang w:eastAsia="zh-CN"/>
        </w:rPr>
        <w:t>磋商小组</w:t>
      </w:r>
      <w:r>
        <w:rPr>
          <w:rFonts w:hint="default" w:ascii="Times New Roman" w:hAnsi="Times New Roman" w:eastAsia="仿宋_GB2312" w:cs="Times New Roman"/>
          <w:sz w:val="32"/>
          <w:szCs w:val="32"/>
          <w:highlight w:val="none"/>
        </w:rPr>
        <w:t>根据各报价人提供的项目</w:t>
      </w:r>
      <w:r>
        <w:rPr>
          <w:rFonts w:hint="default" w:ascii="Times New Roman" w:hAnsi="Times New Roman" w:eastAsia="仿宋_GB2312" w:cs="Times New Roman"/>
          <w:sz w:val="32"/>
          <w:szCs w:val="32"/>
          <w:highlight w:val="none"/>
          <w:lang w:val="en-US" w:eastAsia="zh-CN"/>
        </w:rPr>
        <w:t>实施</w:t>
      </w:r>
      <w:r>
        <w:rPr>
          <w:rFonts w:hint="default" w:ascii="Times New Roman" w:hAnsi="Times New Roman" w:eastAsia="仿宋_GB2312" w:cs="Times New Roman"/>
          <w:sz w:val="32"/>
          <w:szCs w:val="32"/>
          <w:highlight w:val="none"/>
        </w:rPr>
        <w:t>方案，分析</w:t>
      </w:r>
      <w:r>
        <w:rPr>
          <w:rFonts w:hint="default" w:ascii="Times New Roman" w:hAnsi="Times New Roman" w:eastAsia="仿宋_GB2312" w:cs="Times New Roman"/>
          <w:sz w:val="32"/>
          <w:szCs w:val="32"/>
          <w:highlight w:val="none"/>
          <w:lang w:val="en-US" w:eastAsia="zh-CN"/>
        </w:rPr>
        <w:t>实施</w:t>
      </w:r>
      <w:r>
        <w:rPr>
          <w:rFonts w:hint="default" w:ascii="Times New Roman" w:hAnsi="Times New Roman" w:eastAsia="仿宋_GB2312" w:cs="Times New Roman"/>
          <w:sz w:val="32"/>
          <w:szCs w:val="32"/>
          <w:highlight w:val="none"/>
        </w:rPr>
        <w:t>方案内容的可操作性、</w:t>
      </w:r>
      <w:r>
        <w:rPr>
          <w:rFonts w:hint="default" w:ascii="Times New Roman" w:hAnsi="Times New Roman" w:eastAsia="仿宋_GB2312" w:cs="Times New Roman"/>
          <w:sz w:val="32"/>
          <w:szCs w:val="32"/>
          <w:highlight w:val="none"/>
          <w:lang w:val="en-US" w:eastAsia="zh-CN"/>
        </w:rPr>
        <w:t>合理</w:t>
      </w:r>
      <w:r>
        <w:rPr>
          <w:rFonts w:hint="default" w:ascii="Times New Roman" w:hAnsi="Times New Roman" w:eastAsia="仿宋_GB2312" w:cs="Times New Roman"/>
          <w:sz w:val="32"/>
          <w:szCs w:val="32"/>
          <w:highlight w:val="none"/>
        </w:rPr>
        <w:t>性，确定各投标人所属档次及分值。不满足一档要求或未提供方案的，得0分。</w:t>
      </w:r>
    </w:p>
    <w:p w14:paraId="73F8C5BF">
      <w:pPr>
        <w:ind w:firstLine="643"/>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val="en-US" w:eastAsia="zh-CN"/>
        </w:rPr>
        <w:t>实施</w:t>
      </w:r>
      <w:r>
        <w:rPr>
          <w:rFonts w:hint="default" w:ascii="Times New Roman" w:hAnsi="Times New Roman" w:eastAsia="仿宋_GB2312" w:cs="Times New Roman"/>
          <w:b/>
          <w:bCs/>
          <w:sz w:val="32"/>
          <w:szCs w:val="32"/>
          <w:highlight w:val="none"/>
        </w:rPr>
        <w:t>方案：</w:t>
      </w:r>
      <w:r>
        <w:rPr>
          <w:rFonts w:hint="default" w:ascii="Times New Roman" w:hAnsi="Times New Roman" w:eastAsia="仿宋_GB2312" w:cs="Times New Roman"/>
          <w:sz w:val="32"/>
          <w:szCs w:val="32"/>
          <w:highlight w:val="none"/>
        </w:rPr>
        <w:t xml:space="preserve">方案内容应包含但不限于以下内容：① </w:t>
      </w:r>
      <w:r>
        <w:rPr>
          <w:rFonts w:hint="default" w:ascii="Times New Roman" w:hAnsi="Times New Roman" w:eastAsia="仿宋_GB2312" w:cs="Times New Roman"/>
          <w:sz w:val="32"/>
          <w:szCs w:val="32"/>
          <w:highlight w:val="none"/>
          <w:lang w:val="en-US" w:eastAsia="zh-CN"/>
        </w:rPr>
        <w:t>项目工作重点及难点分析。</w:t>
      </w:r>
      <w:r>
        <w:rPr>
          <w:rFonts w:hint="default" w:ascii="Times New Roman" w:hAnsi="Times New Roman" w:eastAsia="仿宋_GB2312" w:cs="Times New Roman"/>
          <w:sz w:val="32"/>
          <w:szCs w:val="32"/>
          <w:highlight w:val="none"/>
        </w:rPr>
        <w:t>②报价人应基于</w:t>
      </w:r>
      <w:r>
        <w:rPr>
          <w:rFonts w:hint="default" w:ascii="Times New Roman" w:hAnsi="Times New Roman" w:eastAsia="仿宋_GB2312" w:cs="Times New Roman"/>
          <w:sz w:val="32"/>
          <w:szCs w:val="32"/>
          <w:highlight w:val="none"/>
          <w:lang w:val="en-US" w:eastAsia="zh-CN"/>
        </w:rPr>
        <w:t>“地图展示与查询一体化服务”、“多渠道咨询服务”、“智能出行导航服务”、“在线办理与个性化服务”、“高效投诉与建议处理机制”以及“后台统计管理”等采购需求提供详细项目实施方案，并</w:t>
      </w:r>
      <w:r>
        <w:rPr>
          <w:rFonts w:hint="default" w:ascii="Times New Roman" w:hAnsi="Times New Roman" w:eastAsia="仿宋_GB2312" w:cs="Times New Roman"/>
          <w:sz w:val="32"/>
          <w:szCs w:val="32"/>
          <w:highlight w:val="none"/>
        </w:rPr>
        <w:t>阐述相关考虑。</w:t>
      </w:r>
    </w:p>
    <w:p w14:paraId="0BBCFA4A">
      <w:pPr>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一档（</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分）：</w:t>
      </w:r>
      <w:r>
        <w:rPr>
          <w:rFonts w:hint="default" w:ascii="Times New Roman" w:hAnsi="Times New Roman" w:eastAsia="仿宋_GB2312" w:cs="Times New Roman"/>
          <w:sz w:val="32"/>
          <w:szCs w:val="32"/>
          <w:highlight w:val="none"/>
          <w:lang w:val="en-US" w:eastAsia="zh-CN"/>
        </w:rPr>
        <w:t>工作重点及难点分析基本符合实际，有简单分析；提供简单项目实施方案，说明项目各个阶段工作内容，能阐述清楚实施组织办法及保障措施，基</w:t>
      </w:r>
      <w:r>
        <w:rPr>
          <w:rFonts w:hint="default" w:ascii="Times New Roman" w:hAnsi="Times New Roman" w:eastAsia="仿宋_GB2312" w:cs="Times New Roman"/>
          <w:sz w:val="32"/>
          <w:szCs w:val="32"/>
          <w:highlight w:val="none"/>
        </w:rPr>
        <w:t>本满足采购要求。</w:t>
      </w:r>
    </w:p>
    <w:p w14:paraId="0CD7BD53">
      <w:pPr>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二档（</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分）：工作重点及难点分析符合实际，分析详细合理，无明显错误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提供</w:t>
      </w:r>
      <w:r>
        <w:rPr>
          <w:rFonts w:hint="default" w:ascii="Times New Roman" w:hAnsi="Times New Roman" w:eastAsia="仿宋_GB2312" w:cs="Times New Roman"/>
          <w:sz w:val="32"/>
          <w:szCs w:val="32"/>
          <w:highlight w:val="none"/>
          <w:lang w:val="en-US" w:eastAsia="zh-CN"/>
        </w:rPr>
        <w:t>比较</w:t>
      </w:r>
      <w:r>
        <w:rPr>
          <w:rFonts w:hint="default" w:ascii="Times New Roman" w:hAnsi="Times New Roman" w:eastAsia="仿宋_GB2312" w:cs="Times New Roman"/>
          <w:sz w:val="32"/>
          <w:szCs w:val="32"/>
          <w:highlight w:val="none"/>
        </w:rPr>
        <w:t>详细的项目实施方案，</w:t>
      </w:r>
      <w:r>
        <w:rPr>
          <w:rFonts w:hint="default" w:ascii="Times New Roman" w:hAnsi="Times New Roman" w:eastAsia="仿宋_GB2312" w:cs="Times New Roman"/>
          <w:sz w:val="32"/>
          <w:szCs w:val="32"/>
          <w:highlight w:val="none"/>
          <w:lang w:val="en-US" w:eastAsia="zh-CN"/>
        </w:rPr>
        <w:t>比较</w:t>
      </w:r>
      <w:r>
        <w:rPr>
          <w:rFonts w:hint="default" w:ascii="Times New Roman" w:hAnsi="Times New Roman" w:eastAsia="仿宋_GB2312" w:cs="Times New Roman"/>
          <w:sz w:val="32"/>
          <w:szCs w:val="32"/>
          <w:highlight w:val="none"/>
        </w:rPr>
        <w:t>详细说明</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各个阶段工作内容，能阐述清楚实施组织办法及保障措施，具有</w:t>
      </w:r>
      <w:r>
        <w:rPr>
          <w:rFonts w:hint="default" w:ascii="Times New Roman" w:hAnsi="Times New Roman" w:eastAsia="仿宋_GB2312" w:cs="Times New Roman"/>
          <w:sz w:val="32"/>
          <w:szCs w:val="32"/>
          <w:highlight w:val="none"/>
          <w:lang w:val="en-US" w:eastAsia="zh-CN"/>
        </w:rPr>
        <w:t>比</w:t>
      </w:r>
      <w:r>
        <w:rPr>
          <w:rFonts w:hint="default" w:ascii="Times New Roman" w:hAnsi="Times New Roman" w:eastAsia="仿宋_GB2312" w:cs="Times New Roman"/>
          <w:sz w:val="32"/>
          <w:szCs w:val="32"/>
          <w:highlight w:val="none"/>
        </w:rPr>
        <w:t>较完</w:t>
      </w:r>
      <w:r>
        <w:rPr>
          <w:rFonts w:hint="default" w:ascii="Times New Roman" w:hAnsi="Times New Roman" w:eastAsia="仿宋_GB2312" w:cs="Times New Roman"/>
          <w:sz w:val="32"/>
          <w:szCs w:val="32"/>
          <w:highlight w:val="none"/>
          <w:lang w:val="en-US" w:eastAsia="zh-CN"/>
        </w:rPr>
        <w:t>善</w:t>
      </w:r>
      <w:r>
        <w:rPr>
          <w:rFonts w:hint="default" w:ascii="Times New Roman" w:hAnsi="Times New Roman" w:eastAsia="仿宋_GB2312" w:cs="Times New Roman"/>
          <w:sz w:val="32"/>
          <w:szCs w:val="32"/>
          <w:highlight w:val="none"/>
        </w:rPr>
        <w:t>的管理组织、项目实施规范和管理制度</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较好满足采购要求。</w:t>
      </w:r>
    </w:p>
    <w:p w14:paraId="3561962D">
      <w:pPr>
        <w:pStyle w:val="4"/>
        <w:adjustRightInd w:val="0"/>
        <w:snapToGrid w:val="0"/>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三档（14分）：</w:t>
      </w:r>
      <w:r>
        <w:rPr>
          <w:rFonts w:hint="default" w:ascii="Times New Roman" w:hAnsi="Times New Roman" w:eastAsia="仿宋_GB2312" w:cs="Times New Roman"/>
          <w:sz w:val="32"/>
          <w:szCs w:val="32"/>
          <w:highlight w:val="none"/>
        </w:rPr>
        <w:t>工作重点及难点分析符合实际，</w:t>
      </w:r>
      <w:r>
        <w:rPr>
          <w:rFonts w:hint="eastAsia" w:ascii="Times New Roman" w:hAnsi="Times New Roman" w:eastAsia="仿宋_GB2312" w:cs="Times New Roman"/>
          <w:sz w:val="32"/>
          <w:szCs w:val="32"/>
          <w:highlight w:val="none"/>
          <w:lang w:val="en-US" w:eastAsia="zh-CN"/>
        </w:rPr>
        <w:t>分析详细合理，能</w:t>
      </w:r>
      <w:r>
        <w:rPr>
          <w:rFonts w:hint="default" w:ascii="Times New Roman" w:hAnsi="Times New Roman" w:eastAsia="仿宋_GB2312" w:cs="Times New Roman"/>
          <w:sz w:val="32"/>
          <w:szCs w:val="32"/>
          <w:highlight w:val="none"/>
        </w:rPr>
        <w:t>针对项目的重点难点能提出合理化解决办法，</w:t>
      </w:r>
      <w:r>
        <w:rPr>
          <w:rFonts w:hint="default" w:ascii="Times New Roman" w:hAnsi="Times New Roman" w:eastAsia="仿宋_GB2312" w:cs="Times New Roman"/>
          <w:sz w:val="32"/>
          <w:szCs w:val="32"/>
          <w:highlight w:val="none"/>
          <w:lang w:val="en-US" w:eastAsia="zh-CN"/>
        </w:rPr>
        <w:t>考虑</w:t>
      </w:r>
      <w:r>
        <w:rPr>
          <w:rFonts w:hint="eastAsia" w:ascii="Times New Roman" w:hAnsi="Times New Roman" w:eastAsia="仿宋_GB2312" w:cs="Times New Roman"/>
          <w:sz w:val="32"/>
          <w:szCs w:val="32"/>
          <w:highlight w:val="none"/>
          <w:lang w:val="en-US" w:eastAsia="zh-CN"/>
        </w:rPr>
        <w:t>较为</w:t>
      </w:r>
      <w:r>
        <w:rPr>
          <w:rFonts w:hint="default" w:ascii="Times New Roman" w:hAnsi="Times New Roman" w:eastAsia="仿宋_GB2312" w:cs="Times New Roman"/>
          <w:sz w:val="32"/>
          <w:szCs w:val="32"/>
          <w:highlight w:val="none"/>
          <w:lang w:val="en-US" w:eastAsia="zh-CN"/>
        </w:rPr>
        <w:t>全面完善，</w:t>
      </w:r>
      <w:r>
        <w:rPr>
          <w:rFonts w:hint="default" w:ascii="Times New Roman" w:hAnsi="Times New Roman" w:eastAsia="仿宋_GB2312" w:cs="Times New Roman"/>
          <w:sz w:val="32"/>
          <w:szCs w:val="32"/>
          <w:highlight w:val="none"/>
        </w:rPr>
        <w:t>无明显错误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提供详细的项目实施方案，详细说明</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各个阶段工作内容，能阐述清楚实施组织办法及保障措施，具有</w:t>
      </w:r>
      <w:r>
        <w:rPr>
          <w:rFonts w:hint="default" w:ascii="Times New Roman" w:hAnsi="Times New Roman" w:eastAsia="仿宋_GB2312" w:cs="Times New Roman"/>
          <w:sz w:val="32"/>
          <w:szCs w:val="32"/>
          <w:highlight w:val="none"/>
          <w:lang w:val="en-US" w:eastAsia="zh-CN"/>
        </w:rPr>
        <w:t>比</w:t>
      </w:r>
      <w:r>
        <w:rPr>
          <w:rFonts w:hint="default" w:ascii="Times New Roman" w:hAnsi="Times New Roman" w:eastAsia="仿宋_GB2312" w:cs="Times New Roman"/>
          <w:sz w:val="32"/>
          <w:szCs w:val="32"/>
          <w:highlight w:val="none"/>
        </w:rPr>
        <w:t>较完</w:t>
      </w:r>
      <w:r>
        <w:rPr>
          <w:rFonts w:hint="default" w:ascii="Times New Roman" w:hAnsi="Times New Roman" w:eastAsia="仿宋_GB2312" w:cs="Times New Roman"/>
          <w:sz w:val="32"/>
          <w:szCs w:val="32"/>
          <w:highlight w:val="none"/>
          <w:lang w:val="en-US" w:eastAsia="zh-CN"/>
        </w:rPr>
        <w:t>善</w:t>
      </w:r>
      <w:r>
        <w:rPr>
          <w:rFonts w:hint="default" w:ascii="Times New Roman" w:hAnsi="Times New Roman" w:eastAsia="仿宋_GB2312" w:cs="Times New Roman"/>
          <w:sz w:val="32"/>
          <w:szCs w:val="32"/>
          <w:highlight w:val="none"/>
        </w:rPr>
        <w:t>的管理组织、项目实施规范和管理制度</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满足采购要求。</w:t>
      </w:r>
    </w:p>
    <w:p w14:paraId="1DB206A4">
      <w:pPr>
        <w:pStyle w:val="4"/>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档（</w:t>
      </w:r>
      <w:r>
        <w:rPr>
          <w:rFonts w:hint="default"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分）：工作重点及难点分析符合实际，内容详细合理，针对项目的重点难点能提出合理化解决办法，可操作性强，</w:t>
      </w:r>
      <w:r>
        <w:rPr>
          <w:rFonts w:hint="default" w:ascii="Times New Roman" w:hAnsi="Times New Roman" w:eastAsia="仿宋_GB2312" w:cs="Times New Roman"/>
          <w:sz w:val="32"/>
          <w:szCs w:val="32"/>
          <w:highlight w:val="none"/>
          <w:lang w:val="en-US" w:eastAsia="zh-CN"/>
        </w:rPr>
        <w:t>考虑全面完善，</w:t>
      </w:r>
      <w:r>
        <w:rPr>
          <w:rFonts w:hint="default" w:ascii="Times New Roman" w:hAnsi="Times New Roman" w:eastAsia="仿宋_GB2312" w:cs="Times New Roman"/>
          <w:sz w:val="32"/>
          <w:szCs w:val="32"/>
          <w:highlight w:val="none"/>
        </w:rPr>
        <w:t>无明显错误</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提供详细的项目实施方案，详细说明</w:t>
      </w:r>
      <w:r>
        <w:rPr>
          <w:rFonts w:hint="default" w:ascii="Times New Roman" w:hAnsi="Times New Roman" w:eastAsia="仿宋_GB2312" w:cs="Times New Roman"/>
          <w:sz w:val="32"/>
          <w:szCs w:val="32"/>
          <w:highlight w:val="none"/>
          <w:lang w:val="en-US" w:eastAsia="zh-CN"/>
        </w:rPr>
        <w:t>项目</w:t>
      </w:r>
      <w:r>
        <w:rPr>
          <w:rFonts w:hint="default" w:ascii="Times New Roman" w:hAnsi="Times New Roman" w:eastAsia="仿宋_GB2312" w:cs="Times New Roman"/>
          <w:sz w:val="32"/>
          <w:szCs w:val="32"/>
          <w:highlight w:val="none"/>
        </w:rPr>
        <w:t>各个阶段工作内容，能阐述清楚实施组织办法及保障措施，有详细的进度计划，具有完</w:t>
      </w:r>
      <w:r>
        <w:rPr>
          <w:rFonts w:hint="default" w:ascii="Times New Roman" w:hAnsi="Times New Roman" w:eastAsia="仿宋_GB2312" w:cs="Times New Roman"/>
          <w:sz w:val="32"/>
          <w:szCs w:val="32"/>
          <w:highlight w:val="none"/>
          <w:lang w:val="en-US" w:eastAsia="zh-CN"/>
        </w:rPr>
        <w:t>善</w:t>
      </w:r>
      <w:r>
        <w:rPr>
          <w:rFonts w:hint="default" w:ascii="Times New Roman" w:hAnsi="Times New Roman" w:eastAsia="仿宋_GB2312" w:cs="Times New Roman"/>
          <w:sz w:val="32"/>
          <w:szCs w:val="32"/>
          <w:highlight w:val="none"/>
        </w:rPr>
        <w:t>的管理组织、项目实施规范和管理制度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全面满足并优于采购要求。</w:t>
      </w:r>
    </w:p>
    <w:p w14:paraId="41D80EF0">
      <w:pPr>
        <w:pStyle w:val="4"/>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kern w:val="2"/>
          <w:sz w:val="32"/>
          <w:szCs w:val="32"/>
          <w:highlight w:val="none"/>
          <w:lang w:val="en-US" w:eastAsia="zh-CN" w:bidi="ar-SA"/>
        </w:rPr>
        <w:t>（3）</w:t>
      </w:r>
      <w:r>
        <w:rPr>
          <w:rFonts w:hint="default" w:ascii="Times New Roman" w:hAnsi="Times New Roman" w:eastAsia="仿宋_GB2312" w:cs="Times New Roman"/>
          <w:b/>
          <w:bCs/>
          <w:sz w:val="32"/>
          <w:szCs w:val="32"/>
          <w:highlight w:val="none"/>
        </w:rPr>
        <w:t>保密</w:t>
      </w:r>
      <w:r>
        <w:rPr>
          <w:rFonts w:hint="default" w:ascii="Times New Roman" w:hAnsi="Times New Roman" w:eastAsia="仿宋_GB2312" w:cs="Times New Roman"/>
          <w:b/>
          <w:bCs/>
          <w:sz w:val="32"/>
          <w:szCs w:val="32"/>
          <w:highlight w:val="none"/>
          <w:lang w:val="en-US" w:eastAsia="zh-CN"/>
        </w:rPr>
        <w:t>保证</w:t>
      </w:r>
      <w:r>
        <w:rPr>
          <w:rFonts w:hint="default" w:ascii="Times New Roman" w:hAnsi="Times New Roman" w:eastAsia="仿宋_GB2312" w:cs="Times New Roman"/>
          <w:b/>
          <w:bCs/>
          <w:sz w:val="32"/>
          <w:szCs w:val="32"/>
          <w:highlight w:val="none"/>
        </w:rPr>
        <w:t>措施及承诺（满分</w:t>
      </w:r>
      <w:r>
        <w:rPr>
          <w:rFonts w:hint="default" w:ascii="Times New Roman" w:hAnsi="Times New Roman" w:eastAsia="仿宋_GB2312" w:cs="Times New Roman"/>
          <w:b/>
          <w:bCs/>
          <w:sz w:val="32"/>
          <w:szCs w:val="32"/>
          <w:highlight w:val="none"/>
          <w:lang w:val="en-US" w:eastAsia="zh-CN"/>
        </w:rPr>
        <w:t>6</w:t>
      </w:r>
      <w:r>
        <w:rPr>
          <w:rFonts w:hint="default" w:ascii="Times New Roman" w:hAnsi="Times New Roman" w:eastAsia="仿宋_GB2312" w:cs="Times New Roman"/>
          <w:b/>
          <w:bCs/>
          <w:sz w:val="32"/>
          <w:szCs w:val="32"/>
          <w:highlight w:val="none"/>
        </w:rPr>
        <w:t>分）</w:t>
      </w:r>
    </w:p>
    <w:p w14:paraId="79577E6B">
      <w:pPr>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由</w:t>
      </w:r>
      <w:r>
        <w:rPr>
          <w:rFonts w:hint="eastAsia" w:eastAsia="仿宋_GB2312" w:cs="Times New Roman"/>
          <w:sz w:val="32"/>
          <w:szCs w:val="32"/>
          <w:highlight w:val="none"/>
          <w:lang w:eastAsia="zh-CN"/>
        </w:rPr>
        <w:t>磋商小组</w:t>
      </w:r>
      <w:r>
        <w:rPr>
          <w:rFonts w:hint="default" w:ascii="Times New Roman" w:hAnsi="Times New Roman" w:eastAsia="仿宋_GB2312" w:cs="Times New Roman"/>
          <w:sz w:val="32"/>
          <w:szCs w:val="32"/>
          <w:highlight w:val="none"/>
        </w:rPr>
        <w:t>根据各报价人提供的保密保证措施及承诺内容的完整性、针对性，确定各投标人所属档次及分值。不满足一档要求或未提供方案的，得0分。</w:t>
      </w:r>
    </w:p>
    <w:p w14:paraId="4B70FBB6">
      <w:pPr>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一档（</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分）：</w:t>
      </w:r>
      <w:r>
        <w:rPr>
          <w:rFonts w:hint="default" w:ascii="Times New Roman" w:hAnsi="Times New Roman" w:eastAsia="仿宋_GB2312" w:cs="Times New Roman"/>
          <w:sz w:val="32"/>
          <w:szCs w:val="32"/>
          <w:highlight w:val="none"/>
          <w:lang w:val="en-US" w:eastAsia="zh-CN"/>
        </w:rPr>
        <w:t>有一定的针对性，提供基础的保密保证措施及承诺</w:t>
      </w:r>
      <w:r>
        <w:rPr>
          <w:rFonts w:hint="default" w:ascii="Times New Roman" w:hAnsi="Times New Roman" w:eastAsia="仿宋_GB2312" w:cs="Times New Roman"/>
          <w:sz w:val="32"/>
          <w:szCs w:val="32"/>
          <w:highlight w:val="none"/>
        </w:rPr>
        <w:t>；</w:t>
      </w:r>
    </w:p>
    <w:p w14:paraId="783C59E5">
      <w:pPr>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Hans"/>
        </w:rPr>
        <w:t>二</w:t>
      </w:r>
      <w:r>
        <w:rPr>
          <w:rFonts w:hint="default" w:ascii="Times New Roman" w:hAnsi="Times New Roman" w:eastAsia="仿宋_GB2312" w:cs="Times New Roman"/>
          <w:sz w:val="32"/>
          <w:szCs w:val="32"/>
          <w:highlight w:val="none"/>
        </w:rPr>
        <w:t>档（</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分）：</w:t>
      </w:r>
      <w:r>
        <w:rPr>
          <w:rFonts w:hint="default" w:ascii="Times New Roman" w:hAnsi="Times New Roman" w:eastAsia="仿宋_GB2312" w:cs="Times New Roman"/>
          <w:sz w:val="32"/>
          <w:szCs w:val="32"/>
          <w:highlight w:val="none"/>
          <w:lang w:val="en-US" w:eastAsia="zh-CN"/>
        </w:rPr>
        <w:t>有较强的针对性，提供良好的保密保证措施及承诺</w:t>
      </w:r>
      <w:r>
        <w:rPr>
          <w:rFonts w:hint="default" w:ascii="Times New Roman" w:hAnsi="Times New Roman" w:eastAsia="仿宋_GB2312" w:cs="Times New Roman"/>
          <w:sz w:val="32"/>
          <w:szCs w:val="32"/>
          <w:highlight w:val="none"/>
        </w:rPr>
        <w:t>；</w:t>
      </w:r>
    </w:p>
    <w:p w14:paraId="08EC055B">
      <w:pPr>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Hans"/>
        </w:rPr>
        <w:t>三</w:t>
      </w:r>
      <w:r>
        <w:rPr>
          <w:rFonts w:hint="default" w:ascii="Times New Roman" w:hAnsi="Times New Roman" w:eastAsia="仿宋_GB2312" w:cs="Times New Roman"/>
          <w:sz w:val="32"/>
          <w:szCs w:val="32"/>
          <w:highlight w:val="none"/>
        </w:rPr>
        <w:t>档（</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分）：</w:t>
      </w:r>
      <w:r>
        <w:rPr>
          <w:rFonts w:hint="default" w:ascii="Times New Roman" w:hAnsi="Times New Roman" w:eastAsia="仿宋_GB2312" w:cs="Times New Roman"/>
          <w:sz w:val="32"/>
          <w:szCs w:val="32"/>
          <w:highlight w:val="none"/>
          <w:lang w:val="en-US" w:eastAsia="zh-CN"/>
        </w:rPr>
        <w:t>提供</w:t>
      </w:r>
      <w:r>
        <w:rPr>
          <w:rFonts w:hint="default" w:ascii="Times New Roman" w:hAnsi="Times New Roman" w:eastAsia="仿宋_GB2312" w:cs="Times New Roman"/>
          <w:sz w:val="32"/>
          <w:szCs w:val="32"/>
          <w:highlight w:val="none"/>
        </w:rPr>
        <w:t>完整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有</w:t>
      </w:r>
      <w:r>
        <w:rPr>
          <w:rFonts w:hint="default" w:ascii="Times New Roman" w:hAnsi="Times New Roman" w:eastAsia="仿宋_GB2312" w:cs="Times New Roman"/>
          <w:sz w:val="32"/>
          <w:szCs w:val="32"/>
          <w:highlight w:val="none"/>
        </w:rPr>
        <w:t>针对性</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全周期的</w:t>
      </w:r>
      <w:r>
        <w:rPr>
          <w:rFonts w:hint="default" w:ascii="Times New Roman" w:hAnsi="Times New Roman" w:eastAsia="仿宋_GB2312" w:cs="Times New Roman"/>
          <w:sz w:val="32"/>
          <w:szCs w:val="32"/>
          <w:highlight w:val="none"/>
        </w:rPr>
        <w:t>优秀</w:t>
      </w:r>
      <w:r>
        <w:rPr>
          <w:rFonts w:hint="default" w:ascii="Times New Roman" w:hAnsi="Times New Roman" w:eastAsia="仿宋_GB2312" w:cs="Times New Roman"/>
          <w:sz w:val="32"/>
          <w:szCs w:val="32"/>
          <w:highlight w:val="none"/>
          <w:lang w:val="en-US" w:eastAsia="zh-CN"/>
        </w:rPr>
        <w:t>保密保证措施及承诺</w:t>
      </w:r>
      <w:r>
        <w:rPr>
          <w:rFonts w:hint="default" w:ascii="Times New Roman" w:hAnsi="Times New Roman" w:eastAsia="仿宋_GB2312" w:cs="Times New Roman"/>
          <w:bCs/>
          <w:color w:val="auto"/>
          <w:sz w:val="32"/>
          <w:szCs w:val="32"/>
          <w:highlight w:val="none"/>
        </w:rPr>
        <w:t>。</w:t>
      </w:r>
    </w:p>
    <w:p w14:paraId="179FA1DC">
      <w:pPr>
        <w:pStyle w:val="4"/>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w:t>
      </w:r>
      <w:r>
        <w:rPr>
          <w:rFonts w:hint="default" w:ascii="Times New Roman" w:hAnsi="Times New Roman" w:eastAsia="仿宋_GB2312" w:cs="Times New Roman"/>
          <w:b/>
          <w:bCs/>
          <w:sz w:val="32"/>
          <w:szCs w:val="32"/>
          <w:highlight w:val="none"/>
          <w:lang w:val="en-US" w:eastAsia="zh-CN"/>
        </w:rPr>
        <w:t>产品</w:t>
      </w:r>
      <w:r>
        <w:rPr>
          <w:rFonts w:hint="default" w:ascii="Times New Roman" w:hAnsi="Times New Roman" w:eastAsia="仿宋_GB2312" w:cs="Times New Roman"/>
          <w:b/>
          <w:bCs/>
          <w:sz w:val="32"/>
          <w:szCs w:val="32"/>
          <w:highlight w:val="none"/>
        </w:rPr>
        <w:t>原型效果图（满分1</w:t>
      </w:r>
      <w:r>
        <w:rPr>
          <w:rFonts w:hint="default" w:ascii="Times New Roman" w:hAnsi="Times New Roman" w:eastAsia="仿宋_GB2312" w:cs="Times New Roman"/>
          <w:b/>
          <w:bCs/>
          <w:sz w:val="32"/>
          <w:szCs w:val="32"/>
          <w:highlight w:val="none"/>
          <w:lang w:val="en-US"/>
        </w:rPr>
        <w:t>4</w:t>
      </w:r>
      <w:r>
        <w:rPr>
          <w:rFonts w:hint="default" w:ascii="Times New Roman" w:hAnsi="Times New Roman" w:eastAsia="仿宋_GB2312" w:cs="Times New Roman"/>
          <w:b/>
          <w:bCs/>
          <w:sz w:val="32"/>
          <w:szCs w:val="32"/>
          <w:highlight w:val="none"/>
        </w:rPr>
        <w:t>分）</w:t>
      </w:r>
    </w:p>
    <w:p w14:paraId="7FC087A0">
      <w:pPr>
        <w:pStyle w:val="4"/>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由</w:t>
      </w:r>
      <w:r>
        <w:rPr>
          <w:rFonts w:hint="eastAsia" w:ascii="Times New Roman" w:hAnsi="Times New Roman" w:eastAsia="仿宋_GB2312" w:cs="Times New Roman"/>
          <w:sz w:val="32"/>
          <w:szCs w:val="32"/>
          <w:highlight w:val="none"/>
          <w:lang w:eastAsia="zh-CN"/>
        </w:rPr>
        <w:t>磋商小组</w:t>
      </w:r>
      <w:r>
        <w:rPr>
          <w:rFonts w:hint="default" w:ascii="Times New Roman" w:hAnsi="Times New Roman" w:eastAsia="仿宋_GB2312" w:cs="Times New Roman"/>
          <w:sz w:val="32"/>
          <w:szCs w:val="32"/>
          <w:highlight w:val="none"/>
        </w:rPr>
        <w:t>根据各报价人提供的</w:t>
      </w:r>
      <w:r>
        <w:rPr>
          <w:rFonts w:hint="default" w:ascii="Times New Roman" w:hAnsi="Times New Roman" w:eastAsia="仿宋_GB2312" w:cs="Times New Roman"/>
          <w:sz w:val="32"/>
          <w:szCs w:val="32"/>
          <w:highlight w:val="none"/>
          <w:lang w:val="en-US" w:eastAsia="zh-CN"/>
        </w:rPr>
        <w:t>产品原型图的完整性、合理性，</w:t>
      </w:r>
      <w:r>
        <w:rPr>
          <w:rFonts w:hint="default" w:ascii="Times New Roman" w:hAnsi="Times New Roman" w:eastAsia="仿宋_GB2312" w:cs="Times New Roman"/>
          <w:sz w:val="32"/>
          <w:szCs w:val="32"/>
          <w:highlight w:val="none"/>
        </w:rPr>
        <w:t>确定各投标人所属档次及分值。不满足一档要求或未提供方案的，得0分。</w:t>
      </w:r>
    </w:p>
    <w:p w14:paraId="3014DBD0">
      <w:pPr>
        <w:pStyle w:val="4"/>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FF0000"/>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产品原型效果图</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sz w:val="32"/>
          <w:szCs w:val="32"/>
          <w:highlight w:val="none"/>
          <w:lang w:val="en-US" w:eastAsia="zh-CN"/>
        </w:rPr>
        <w:t>原型</w:t>
      </w:r>
      <w:r>
        <w:rPr>
          <w:rFonts w:hint="default" w:ascii="Times New Roman" w:hAnsi="Times New Roman" w:eastAsia="仿宋_GB2312" w:cs="Times New Roman"/>
          <w:sz w:val="32"/>
          <w:szCs w:val="32"/>
          <w:highlight w:val="none"/>
        </w:rPr>
        <w:t>内容应包含但不限于以下内容：</w:t>
      </w:r>
      <w:r>
        <w:rPr>
          <w:rFonts w:hint="default" w:ascii="Times New Roman" w:hAnsi="Times New Roman" w:eastAsia="仿宋_GB2312" w:cs="Times New Roman"/>
          <w:color w:val="auto"/>
          <w:sz w:val="32"/>
          <w:szCs w:val="32"/>
          <w:highlight w:val="none"/>
        </w:rPr>
        <w:t>①</w:t>
      </w:r>
      <w:r>
        <w:rPr>
          <w:rFonts w:hint="default" w:ascii="Times New Roman" w:hAnsi="Times New Roman" w:eastAsia="仿宋_GB2312" w:cs="Times New Roman"/>
          <w:color w:val="auto"/>
          <w:sz w:val="32"/>
          <w:szCs w:val="32"/>
          <w:highlight w:val="none"/>
          <w:lang w:val="en-US" w:eastAsia="zh-CN"/>
        </w:rPr>
        <w:t>标注全区政务服务点的地理位置信息功能。</w:t>
      </w:r>
      <w:r>
        <w:rPr>
          <w:rFonts w:hint="default" w:ascii="Times New Roman" w:hAnsi="Times New Roman" w:eastAsia="仿宋_GB2312" w:cs="Times New Roman"/>
          <w:color w:val="auto"/>
          <w:sz w:val="32"/>
          <w:szCs w:val="32"/>
          <w:highlight w:val="none"/>
        </w:rPr>
        <w:t>②</w:t>
      </w:r>
      <w:r>
        <w:rPr>
          <w:rFonts w:hint="default" w:ascii="Times New Roman" w:hAnsi="Times New Roman" w:eastAsia="仿宋_GB2312" w:cs="Times New Roman"/>
          <w:color w:val="auto"/>
          <w:sz w:val="32"/>
          <w:szCs w:val="32"/>
          <w:highlight w:val="none"/>
          <w:lang w:val="en-US" w:eastAsia="zh-CN"/>
        </w:rPr>
        <w:t>政务服务地图智能检索功能。③政务服务场所进行分类集成展示，展示内容包括但不限于各个政务服务点的详细情况及可办理事项。④分多个模块直观展示各政务服务中心办理政务服务事项的办事指南。⑤提供多种模式导航选项，智能推荐就近和最节约时间的办理站点，实现服务场所一键导航直达。⑥后台统计管理功能。</w:t>
      </w:r>
    </w:p>
    <w:p w14:paraId="7C48E3ED">
      <w:pPr>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一档（</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分）：</w:t>
      </w:r>
      <w:r>
        <w:rPr>
          <w:rFonts w:hint="default" w:ascii="Times New Roman" w:hAnsi="Times New Roman" w:eastAsia="仿宋_GB2312" w:cs="Times New Roman"/>
          <w:sz w:val="32"/>
          <w:szCs w:val="32"/>
          <w:highlight w:val="none"/>
          <w:lang w:val="en-US" w:eastAsia="zh-CN"/>
        </w:rPr>
        <w:t>能提供部分内容的产品原型图，能满足大部分采购要求；</w:t>
      </w:r>
    </w:p>
    <w:p w14:paraId="0C2EE884">
      <w:pPr>
        <w:ind w:firstLine="64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Hans"/>
        </w:rPr>
        <w:t>二</w:t>
      </w:r>
      <w:r>
        <w:rPr>
          <w:rFonts w:hint="default" w:ascii="Times New Roman" w:hAnsi="Times New Roman" w:eastAsia="仿宋_GB2312" w:cs="Times New Roman"/>
          <w:sz w:val="32"/>
          <w:szCs w:val="32"/>
          <w:highlight w:val="none"/>
        </w:rPr>
        <w:t>档（</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分）：</w:t>
      </w:r>
      <w:r>
        <w:rPr>
          <w:rFonts w:hint="default" w:ascii="Times New Roman" w:hAnsi="Times New Roman" w:eastAsia="仿宋_GB2312" w:cs="Times New Roman"/>
          <w:sz w:val="32"/>
          <w:szCs w:val="32"/>
          <w:highlight w:val="none"/>
          <w:lang w:val="en-US" w:eastAsia="zh-CN"/>
        </w:rPr>
        <w:t>能提供全部内容的产品原型图，</w:t>
      </w:r>
      <w:r>
        <w:rPr>
          <w:rFonts w:hint="default" w:ascii="Times New Roman" w:hAnsi="Times New Roman" w:eastAsia="仿宋_GB2312" w:cs="Times New Roman"/>
          <w:sz w:val="32"/>
          <w:szCs w:val="32"/>
          <w:highlight w:val="none"/>
        </w:rPr>
        <w:t>符合实际，</w:t>
      </w:r>
      <w:r>
        <w:rPr>
          <w:rFonts w:hint="default" w:ascii="Times New Roman" w:hAnsi="Times New Roman" w:eastAsia="仿宋_GB2312" w:cs="Times New Roman"/>
          <w:sz w:val="32"/>
          <w:szCs w:val="32"/>
          <w:highlight w:val="none"/>
          <w:lang w:val="en-US" w:eastAsia="zh-CN"/>
        </w:rPr>
        <w:t>基本满足采购要求；</w:t>
      </w:r>
    </w:p>
    <w:p w14:paraId="573EB77C">
      <w:pPr>
        <w:ind w:firstLine="640"/>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三档（10分）：</w:t>
      </w:r>
      <w:r>
        <w:rPr>
          <w:rFonts w:hint="default" w:ascii="Times New Roman" w:hAnsi="Times New Roman" w:eastAsia="仿宋_GB2312" w:cs="Times New Roman"/>
          <w:sz w:val="32"/>
          <w:szCs w:val="32"/>
          <w:highlight w:val="none"/>
          <w:lang w:val="en-US" w:eastAsia="zh-CN"/>
        </w:rPr>
        <w:t>能提供全部内容的产品原型图，</w:t>
      </w:r>
      <w:r>
        <w:rPr>
          <w:rFonts w:hint="eastAsia" w:ascii="Times New Roman" w:hAnsi="Times New Roman" w:eastAsia="仿宋_GB2312" w:cs="Times New Roman"/>
          <w:sz w:val="32"/>
          <w:szCs w:val="32"/>
          <w:highlight w:val="none"/>
          <w:lang w:val="en-US" w:eastAsia="zh-CN"/>
        </w:rPr>
        <w:t>设计合理，功能较为完善，满足采购要求；</w:t>
      </w:r>
    </w:p>
    <w:p w14:paraId="4807629B">
      <w:pPr>
        <w:pStyle w:val="4"/>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eastAsia" w:ascii="Times New Roman" w:hAnsi="Times New Roman" w:eastAsia="仿宋_GB2312" w:cs="Times New Roman"/>
          <w:sz w:val="32"/>
          <w:szCs w:val="32"/>
          <w:highlight w:val="none"/>
          <w:lang w:val="en-US" w:eastAsia="zh-CN"/>
        </w:rPr>
        <w:t>四</w:t>
      </w:r>
      <w:r>
        <w:rPr>
          <w:rFonts w:hint="default" w:ascii="Times New Roman" w:hAnsi="Times New Roman" w:eastAsia="仿宋_GB2312" w:cs="Times New Roman"/>
          <w:sz w:val="32"/>
          <w:szCs w:val="32"/>
          <w:highlight w:val="none"/>
        </w:rPr>
        <w:t>档（</w:t>
      </w:r>
      <w:r>
        <w:rPr>
          <w:rFonts w:hint="default" w:ascii="Times New Roman" w:hAnsi="Times New Roman"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rPr>
        <w:t>分）：</w:t>
      </w:r>
      <w:r>
        <w:rPr>
          <w:rFonts w:hint="default" w:ascii="Times New Roman" w:hAnsi="Times New Roman" w:eastAsia="仿宋_GB2312" w:cs="Times New Roman"/>
          <w:sz w:val="32"/>
          <w:szCs w:val="32"/>
          <w:highlight w:val="none"/>
          <w:lang w:val="en-US" w:eastAsia="zh-CN"/>
        </w:rPr>
        <w:t>能提供全部内容的产品原型图，设计</w:t>
      </w:r>
      <w:r>
        <w:rPr>
          <w:rFonts w:hint="default" w:ascii="Times New Roman" w:hAnsi="Times New Roman" w:eastAsia="仿宋_GB2312" w:cs="Times New Roman"/>
          <w:sz w:val="32"/>
          <w:szCs w:val="32"/>
          <w:highlight w:val="none"/>
        </w:rPr>
        <w:t>合理，</w:t>
      </w:r>
      <w:r>
        <w:rPr>
          <w:rFonts w:hint="default" w:ascii="Times New Roman" w:hAnsi="Times New Roman" w:eastAsia="仿宋_GB2312" w:cs="Times New Roman"/>
          <w:sz w:val="32"/>
          <w:szCs w:val="32"/>
          <w:highlight w:val="none"/>
          <w:lang w:val="en-US" w:eastAsia="zh-CN"/>
        </w:rPr>
        <w:t>功能完善，</w:t>
      </w:r>
      <w:r>
        <w:rPr>
          <w:rFonts w:hint="default" w:ascii="Times New Roman" w:hAnsi="Times New Roman" w:eastAsia="仿宋_GB2312" w:cs="Times New Roman"/>
          <w:sz w:val="32"/>
          <w:szCs w:val="32"/>
          <w:highlight w:val="none"/>
        </w:rPr>
        <w:t>全面满足并优于采购要求</w:t>
      </w:r>
      <w:r>
        <w:rPr>
          <w:rFonts w:hint="default" w:ascii="Times New Roman" w:hAnsi="Times New Roman" w:eastAsia="仿宋_GB2312" w:cs="Times New Roman"/>
          <w:bCs/>
          <w:color w:val="auto"/>
          <w:sz w:val="32"/>
          <w:szCs w:val="32"/>
          <w:highlight w:val="none"/>
        </w:rPr>
        <w:t>。</w:t>
      </w:r>
    </w:p>
    <w:p w14:paraId="4CDC38E4">
      <w:pPr>
        <w:pStyle w:val="4"/>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bCs/>
          <w:sz w:val="32"/>
          <w:szCs w:val="32"/>
          <w:highlight w:val="none"/>
          <w:lang w:val="en-US" w:eastAsia="zh-CN"/>
        </w:rPr>
        <w:t>5</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b/>
          <w:bCs/>
          <w:sz w:val="32"/>
          <w:szCs w:val="32"/>
          <w:highlight w:val="none"/>
          <w:lang w:val="en-US" w:eastAsia="zh-CN"/>
        </w:rPr>
        <w:t>运维服务方案</w:t>
      </w:r>
      <w:r>
        <w:rPr>
          <w:rFonts w:hint="default" w:ascii="Times New Roman" w:hAnsi="Times New Roman" w:eastAsia="仿宋_GB2312" w:cs="Times New Roman"/>
          <w:b/>
          <w:bCs/>
          <w:sz w:val="32"/>
          <w:szCs w:val="32"/>
          <w:highlight w:val="none"/>
        </w:rPr>
        <w:t>（满分</w:t>
      </w:r>
      <w:r>
        <w:rPr>
          <w:rFonts w:hint="default" w:ascii="Times New Roman" w:hAnsi="Times New Roman" w:eastAsia="仿宋_GB2312" w:cs="Times New Roman"/>
          <w:b/>
          <w:bCs/>
          <w:sz w:val="32"/>
          <w:szCs w:val="32"/>
          <w:highlight w:val="none"/>
          <w:lang w:val="en-US" w:eastAsia="zh-CN"/>
        </w:rPr>
        <w:t>6</w:t>
      </w:r>
      <w:r>
        <w:rPr>
          <w:rFonts w:hint="default" w:ascii="Times New Roman" w:hAnsi="Times New Roman" w:eastAsia="仿宋_GB2312" w:cs="Times New Roman"/>
          <w:b/>
          <w:bCs/>
          <w:sz w:val="32"/>
          <w:szCs w:val="32"/>
          <w:highlight w:val="none"/>
        </w:rPr>
        <w:t>分）</w:t>
      </w:r>
    </w:p>
    <w:p w14:paraId="6A878153">
      <w:pPr>
        <w:pStyle w:val="4"/>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val="en-US" w:eastAsia="zh-CN"/>
        </w:rPr>
        <w:t>运维服务方案：</w:t>
      </w:r>
      <w:r>
        <w:rPr>
          <w:rFonts w:hint="default" w:ascii="Times New Roman" w:hAnsi="Times New Roman" w:eastAsia="仿宋_GB2312" w:cs="Times New Roman"/>
          <w:sz w:val="32"/>
          <w:szCs w:val="32"/>
          <w:highlight w:val="none"/>
          <w:lang w:val="en-US" w:eastAsia="zh-CN"/>
        </w:rPr>
        <w:t>方案内容包括但不限于以下内容：①运维保障措施、②系统稳定性运行方案、③免费运维服务期限</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由</w:t>
      </w:r>
      <w:r>
        <w:rPr>
          <w:rFonts w:hint="eastAsia" w:ascii="Times New Roman" w:hAnsi="Times New Roman" w:eastAsia="仿宋_GB2312" w:cs="Times New Roman"/>
          <w:sz w:val="32"/>
          <w:szCs w:val="32"/>
          <w:highlight w:val="none"/>
          <w:lang w:val="en-US" w:eastAsia="zh-CN"/>
        </w:rPr>
        <w:t>磋商小组</w:t>
      </w:r>
      <w:r>
        <w:rPr>
          <w:rFonts w:hint="default" w:ascii="Times New Roman" w:hAnsi="Times New Roman" w:eastAsia="仿宋_GB2312" w:cs="Times New Roman"/>
          <w:sz w:val="32"/>
          <w:szCs w:val="32"/>
          <w:highlight w:val="none"/>
        </w:rPr>
        <w:t>分析</w:t>
      </w:r>
      <w:r>
        <w:rPr>
          <w:rFonts w:hint="default" w:ascii="Times New Roman" w:hAnsi="Times New Roman" w:eastAsia="仿宋_GB2312" w:cs="Times New Roman"/>
          <w:sz w:val="32"/>
          <w:szCs w:val="32"/>
          <w:highlight w:val="none"/>
          <w:lang w:val="en-US" w:eastAsia="zh-CN"/>
        </w:rPr>
        <w:t>运维服务</w:t>
      </w:r>
      <w:r>
        <w:rPr>
          <w:rFonts w:hint="default" w:ascii="Times New Roman" w:hAnsi="Times New Roman" w:eastAsia="仿宋_GB2312" w:cs="Times New Roman"/>
          <w:sz w:val="32"/>
          <w:szCs w:val="32"/>
          <w:highlight w:val="none"/>
        </w:rPr>
        <w:t>方案内容的可操作性、</w:t>
      </w:r>
      <w:r>
        <w:rPr>
          <w:rFonts w:hint="default" w:ascii="Times New Roman" w:hAnsi="Times New Roman" w:eastAsia="仿宋_GB2312" w:cs="Times New Roman"/>
          <w:sz w:val="32"/>
          <w:szCs w:val="32"/>
          <w:highlight w:val="none"/>
          <w:lang w:val="en-US" w:eastAsia="zh-CN"/>
        </w:rPr>
        <w:t>合理</w:t>
      </w:r>
      <w:r>
        <w:rPr>
          <w:rFonts w:hint="default" w:ascii="Times New Roman" w:hAnsi="Times New Roman" w:eastAsia="仿宋_GB2312" w:cs="Times New Roman"/>
          <w:sz w:val="32"/>
          <w:szCs w:val="32"/>
          <w:highlight w:val="none"/>
        </w:rPr>
        <w:t>性，确定各投标人所属档次及分值。不满足一档要求或未提供方案的，得0分。</w:t>
      </w:r>
    </w:p>
    <w:p w14:paraId="271C80EE">
      <w:pPr>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一档（</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分）：</w:t>
      </w:r>
      <w:r>
        <w:rPr>
          <w:rFonts w:hint="default" w:ascii="Times New Roman" w:hAnsi="Times New Roman" w:eastAsia="仿宋_GB2312" w:cs="Times New Roman"/>
          <w:sz w:val="32"/>
          <w:szCs w:val="32"/>
          <w:highlight w:val="none"/>
          <w:lang w:val="en-US" w:eastAsia="zh-CN"/>
        </w:rPr>
        <w:t>运维服务方案基本满足项目需求，并在项目验收后能提供不低于1个月项目运维保障工作；</w:t>
      </w:r>
    </w:p>
    <w:p w14:paraId="7FDAB2AB">
      <w:pPr>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Hans"/>
        </w:rPr>
        <w:t>二</w:t>
      </w:r>
      <w:r>
        <w:rPr>
          <w:rFonts w:hint="default" w:ascii="Times New Roman" w:hAnsi="Times New Roman" w:eastAsia="仿宋_GB2312" w:cs="Times New Roman"/>
          <w:sz w:val="32"/>
          <w:szCs w:val="32"/>
          <w:highlight w:val="none"/>
        </w:rPr>
        <w:t>档（</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分）：</w:t>
      </w:r>
      <w:r>
        <w:rPr>
          <w:rFonts w:hint="default" w:ascii="Times New Roman" w:hAnsi="Times New Roman" w:eastAsia="仿宋_GB2312" w:cs="Times New Roman"/>
          <w:sz w:val="32"/>
          <w:szCs w:val="32"/>
          <w:highlight w:val="none"/>
          <w:lang w:val="en-US" w:eastAsia="zh-CN"/>
        </w:rPr>
        <w:t>运维服务方案较好满足项目需求，并在项目验收后能提供不低于3个月项目运维保障工作；</w:t>
      </w:r>
    </w:p>
    <w:p w14:paraId="33BDBC20">
      <w:pPr>
        <w:pStyle w:val="4"/>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eastAsia="zh-Hans"/>
        </w:rPr>
        <w:t>三</w:t>
      </w:r>
      <w:r>
        <w:rPr>
          <w:rFonts w:hint="default" w:ascii="Times New Roman" w:hAnsi="Times New Roman" w:eastAsia="仿宋_GB2312" w:cs="Times New Roman"/>
          <w:sz w:val="32"/>
          <w:szCs w:val="32"/>
          <w:highlight w:val="none"/>
        </w:rPr>
        <w:t>档（</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分）：</w:t>
      </w:r>
      <w:r>
        <w:rPr>
          <w:rFonts w:hint="default" w:ascii="Times New Roman" w:hAnsi="Times New Roman" w:eastAsia="仿宋_GB2312" w:cs="Times New Roman"/>
          <w:sz w:val="32"/>
          <w:szCs w:val="32"/>
          <w:highlight w:val="none"/>
          <w:lang w:val="en-US" w:eastAsia="zh-CN"/>
        </w:rPr>
        <w:t>运维服务方案阐述清晰、内容完整，全面满足项目需求，并在项目验收后能提供不低于6个月项目运维保障工作</w:t>
      </w:r>
      <w:r>
        <w:rPr>
          <w:rFonts w:hint="default" w:ascii="Times New Roman" w:hAnsi="Times New Roman" w:eastAsia="仿宋_GB2312" w:cs="Times New Roman"/>
          <w:bCs/>
          <w:color w:val="auto"/>
          <w:sz w:val="32"/>
          <w:szCs w:val="32"/>
          <w:highlight w:val="none"/>
        </w:rPr>
        <w:t>。</w:t>
      </w:r>
    </w:p>
    <w:p w14:paraId="191A60A8">
      <w:pPr>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rPr>
        <w:t>商务分30分</w:t>
      </w:r>
    </w:p>
    <w:p w14:paraId="27D23054">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eastAsia" w:eastAsia="仿宋_GB2312" w:cs="Times New Roman"/>
          <w:kern w:val="0"/>
          <w:sz w:val="32"/>
          <w:szCs w:val="32"/>
          <w:highlight w:val="none"/>
          <w:lang w:eastAsia="zh-CN"/>
        </w:rPr>
        <w:t>磋商小组</w:t>
      </w:r>
      <w:bookmarkStart w:id="5" w:name="_GoBack"/>
      <w:bookmarkEnd w:id="5"/>
      <w:r>
        <w:rPr>
          <w:rFonts w:hint="default" w:ascii="Times New Roman" w:hAnsi="Times New Roman" w:eastAsia="仿宋_GB2312" w:cs="Times New Roman"/>
          <w:kern w:val="0"/>
          <w:sz w:val="32"/>
          <w:szCs w:val="32"/>
          <w:highlight w:val="none"/>
        </w:rPr>
        <w:t>以各报价人所提供的</w:t>
      </w:r>
      <w:r>
        <w:rPr>
          <w:rFonts w:hint="default" w:ascii="Times New Roman" w:hAnsi="Times New Roman" w:eastAsia="仿宋_GB2312" w:cs="Times New Roman"/>
          <w:sz w:val="32"/>
          <w:szCs w:val="32"/>
          <w:highlight w:val="none"/>
        </w:rPr>
        <w:t>说明材料</w:t>
      </w:r>
      <w:r>
        <w:rPr>
          <w:rFonts w:hint="default" w:ascii="Times New Roman" w:hAnsi="Times New Roman" w:eastAsia="仿宋_GB2312" w:cs="Times New Roman"/>
          <w:kern w:val="0"/>
          <w:sz w:val="32"/>
          <w:szCs w:val="32"/>
          <w:highlight w:val="none"/>
        </w:rPr>
        <w:t>作为评分依据。</w:t>
      </w:r>
    </w:p>
    <w:p w14:paraId="3705AB38">
      <w:pPr>
        <w:pStyle w:val="4"/>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highlight w:val="none"/>
        </w:rPr>
      </w:pPr>
      <w:bookmarkStart w:id="4" w:name="_Toc516848741"/>
      <w:r>
        <w:rPr>
          <w:rFonts w:hint="default" w:ascii="Times New Roman" w:hAnsi="Times New Roman" w:eastAsia="仿宋_GB2312" w:cs="Times New Roman"/>
          <w:b/>
          <w:bCs/>
          <w:sz w:val="32"/>
          <w:szCs w:val="32"/>
          <w:highlight w:val="none"/>
        </w:rPr>
        <w:t>（1）</w:t>
      </w:r>
      <w:r>
        <w:rPr>
          <w:rFonts w:hint="default" w:ascii="Times New Roman" w:hAnsi="Times New Roman" w:eastAsia="仿宋_GB2312" w:cs="Times New Roman"/>
          <w:b/>
          <w:bCs/>
          <w:sz w:val="32"/>
          <w:szCs w:val="32"/>
          <w:highlight w:val="none"/>
          <w:lang w:val="en-US" w:eastAsia="zh-CN"/>
        </w:rPr>
        <w:t>实施单位能力</w:t>
      </w:r>
      <w:r>
        <w:rPr>
          <w:rFonts w:hint="default" w:ascii="Times New Roman" w:hAnsi="Times New Roman" w:eastAsia="仿宋_GB2312" w:cs="Times New Roman"/>
          <w:b/>
          <w:bCs/>
          <w:sz w:val="32"/>
          <w:szCs w:val="32"/>
          <w:highlight w:val="none"/>
        </w:rPr>
        <w:t>（满分1</w:t>
      </w:r>
      <w:r>
        <w:rPr>
          <w:rFonts w:hint="default" w:ascii="Times New Roman" w:hAnsi="Times New Roman" w:eastAsia="仿宋_GB2312"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rPr>
        <w:t>分）</w:t>
      </w:r>
    </w:p>
    <w:p w14:paraId="12D388EE">
      <w:pPr>
        <w:pStyle w:val="4"/>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0"/>
          <w:sz w:val="32"/>
          <w:szCs w:val="32"/>
          <w:highlight w:val="none"/>
        </w:rPr>
        <w:t>具</w:t>
      </w:r>
      <w:r>
        <w:rPr>
          <w:rFonts w:hint="default" w:ascii="Times New Roman" w:hAnsi="Times New Roman" w:eastAsia="仿宋_GB2312" w:cs="Times New Roman"/>
          <w:sz w:val="32"/>
          <w:szCs w:val="32"/>
          <w:highlight w:val="none"/>
        </w:rPr>
        <w:t>有ISO9001质量管理体系认证证书、</w:t>
      </w:r>
      <w:r>
        <w:rPr>
          <w:rFonts w:hint="default" w:ascii="Times New Roman" w:hAnsi="Times New Roman" w:eastAsia="仿宋_GB2312" w:cs="Times New Roman"/>
          <w:sz w:val="32"/>
          <w:szCs w:val="32"/>
          <w:highlight w:val="none"/>
          <w:lang w:eastAsia="zh-Hans"/>
        </w:rPr>
        <w:t>商品售后服务认证证书</w:t>
      </w:r>
      <w:r>
        <w:rPr>
          <w:rFonts w:hint="eastAsia" w:ascii="Times New Roman" w:hAnsi="Times New Roman" w:eastAsia="仿宋_GB2312" w:cs="Times New Roman"/>
          <w:sz w:val="32"/>
          <w:szCs w:val="32"/>
          <w:highlight w:val="none"/>
          <w:lang w:eastAsia="zh-CN"/>
        </w:rPr>
        <w:t>、环境管理体系认证证书，</w:t>
      </w:r>
      <w:r>
        <w:rPr>
          <w:rFonts w:hint="eastAsia" w:ascii="Times New Roman" w:hAnsi="Times New Roman" w:eastAsia="仿宋_GB2312" w:cs="Times New Roman"/>
          <w:sz w:val="32"/>
          <w:szCs w:val="32"/>
          <w:highlight w:val="none"/>
          <w:lang w:val="en-US" w:eastAsia="zh-CN"/>
        </w:rPr>
        <w:t>以上证书认证范围须包含</w:t>
      </w:r>
      <w:r>
        <w:rPr>
          <w:rFonts w:hint="eastAsia" w:ascii="Times New Roman" w:hAnsi="Times New Roman" w:eastAsia="仿宋_GB2312" w:cs="Times New Roman"/>
          <w:sz w:val="32"/>
          <w:szCs w:val="32"/>
          <w:highlight w:val="none"/>
          <w:lang w:eastAsia="zh-CN"/>
        </w:rPr>
        <w:t>应用软件研发</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Hans"/>
        </w:rPr>
        <w:t>每</w:t>
      </w:r>
      <w:r>
        <w:rPr>
          <w:rFonts w:hint="default" w:ascii="Times New Roman" w:hAnsi="Times New Roman" w:eastAsia="仿宋_GB2312" w:cs="Times New Roman"/>
          <w:sz w:val="32"/>
          <w:szCs w:val="32"/>
          <w:highlight w:val="none"/>
          <w:lang w:val="en-US" w:eastAsia="zh-CN"/>
        </w:rPr>
        <w:t>项</w:t>
      </w:r>
      <w:r>
        <w:rPr>
          <w:rFonts w:hint="default" w:ascii="Times New Roman" w:hAnsi="Times New Roman" w:eastAsia="仿宋_GB2312" w:cs="Times New Roman"/>
          <w:sz w:val="32"/>
          <w:szCs w:val="32"/>
          <w:highlight w:val="none"/>
        </w:rPr>
        <w:t>得</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分，</w:t>
      </w:r>
      <w:r>
        <w:rPr>
          <w:rFonts w:hint="default" w:ascii="Times New Roman" w:hAnsi="Times New Roman" w:eastAsia="仿宋_GB2312" w:cs="Times New Roman"/>
          <w:sz w:val="32"/>
          <w:szCs w:val="32"/>
          <w:highlight w:val="none"/>
          <w:lang w:eastAsia="zh-Hans"/>
        </w:rPr>
        <w:t>满分</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eastAsia="zh-Hans"/>
        </w:rPr>
        <w:t>分</w:t>
      </w:r>
      <w:r>
        <w:rPr>
          <w:rFonts w:hint="eastAsia" w:ascii="Times New Roman" w:hAnsi="Times New Roman" w:eastAsia="仿宋_GB2312" w:cs="Times New Roman"/>
          <w:sz w:val="32"/>
          <w:szCs w:val="32"/>
          <w:highlight w:val="none"/>
          <w:lang w:eastAsia="zh-CN"/>
        </w:rPr>
        <w:t>。</w:t>
      </w:r>
    </w:p>
    <w:p w14:paraId="14840184">
      <w:pPr>
        <w:pStyle w:val="4"/>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（2）人员配置（满分</w:t>
      </w:r>
      <w:r>
        <w:rPr>
          <w:rFonts w:hint="default" w:ascii="Times New Roman" w:hAnsi="Times New Roman" w:eastAsia="仿宋_GB2312" w:cs="Times New Roman"/>
          <w:b/>
          <w:bCs/>
          <w:sz w:val="32"/>
          <w:szCs w:val="32"/>
          <w:highlight w:val="none"/>
          <w:lang w:val="en-US" w:eastAsia="zh-CN"/>
        </w:rPr>
        <w:t>10</w:t>
      </w:r>
      <w:r>
        <w:rPr>
          <w:rFonts w:hint="default" w:ascii="Times New Roman" w:hAnsi="Times New Roman" w:eastAsia="仿宋_GB2312" w:cs="Times New Roman"/>
          <w:b/>
          <w:bCs/>
          <w:sz w:val="32"/>
          <w:szCs w:val="32"/>
          <w:highlight w:val="none"/>
        </w:rPr>
        <w:t>分）</w:t>
      </w:r>
    </w:p>
    <w:p w14:paraId="162C50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一档（3分）：计划投入本项目工作的管理人员及技术人员基本满足本项目需求：计划投入的中级</w:t>
      </w:r>
      <w:r>
        <w:rPr>
          <w:rFonts w:hint="eastAsia" w:ascii="Times New Roman" w:hAnsi="Times New Roman" w:eastAsia="仿宋_GB2312" w:cs="Times New Roman"/>
          <w:kern w:val="2"/>
          <w:sz w:val="32"/>
          <w:szCs w:val="32"/>
          <w:highlight w:val="none"/>
          <w:lang w:val="en-US" w:eastAsia="zh-CN" w:bidi="ar-SA"/>
        </w:rPr>
        <w:t>及以上</w:t>
      </w:r>
      <w:r>
        <w:rPr>
          <w:rFonts w:hint="default" w:ascii="Times New Roman" w:hAnsi="Times New Roman" w:eastAsia="仿宋_GB2312" w:cs="Times New Roman"/>
          <w:kern w:val="2"/>
          <w:sz w:val="32"/>
          <w:szCs w:val="32"/>
          <w:highlight w:val="none"/>
          <w:lang w:val="en-US" w:eastAsia="zh-CN" w:bidi="ar-SA"/>
        </w:rPr>
        <w:t>职称工程师2-4名。</w:t>
      </w:r>
    </w:p>
    <w:p w14:paraId="0E41EC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二档（6分）：计划投入本项目工作的管理人员及技术人员基本满足本项目需求：计划投入的中级</w:t>
      </w:r>
      <w:r>
        <w:rPr>
          <w:rFonts w:hint="eastAsia" w:ascii="Times New Roman" w:hAnsi="Times New Roman" w:eastAsia="仿宋_GB2312" w:cs="Times New Roman"/>
          <w:kern w:val="2"/>
          <w:sz w:val="32"/>
          <w:szCs w:val="32"/>
          <w:highlight w:val="none"/>
          <w:lang w:val="en-US" w:eastAsia="zh-CN" w:bidi="ar-SA"/>
        </w:rPr>
        <w:t>及以上</w:t>
      </w:r>
      <w:r>
        <w:rPr>
          <w:rFonts w:hint="default" w:ascii="Times New Roman" w:hAnsi="Times New Roman" w:eastAsia="仿宋_GB2312" w:cs="Times New Roman"/>
          <w:kern w:val="2"/>
          <w:sz w:val="32"/>
          <w:szCs w:val="32"/>
          <w:highlight w:val="none"/>
          <w:lang w:val="en-US" w:eastAsia="zh-CN" w:bidi="ar-SA"/>
        </w:rPr>
        <w:t>职称工程师5-</w:t>
      </w:r>
      <w:r>
        <w:rPr>
          <w:rFonts w:hint="eastAsia" w:ascii="Times New Roman" w:hAnsi="Times New Roman" w:eastAsia="仿宋_GB2312" w:cs="Times New Roman"/>
          <w:kern w:val="2"/>
          <w:sz w:val="32"/>
          <w:szCs w:val="32"/>
          <w:highlight w:val="none"/>
          <w:lang w:val="en-US" w:eastAsia="zh-CN" w:bidi="ar-SA"/>
        </w:rPr>
        <w:t>8</w:t>
      </w:r>
      <w:r>
        <w:rPr>
          <w:rFonts w:hint="default" w:ascii="Times New Roman" w:hAnsi="Times New Roman" w:eastAsia="仿宋_GB2312" w:cs="Times New Roman"/>
          <w:kern w:val="2"/>
          <w:sz w:val="32"/>
          <w:szCs w:val="32"/>
          <w:highlight w:val="none"/>
          <w:lang w:val="en-US" w:eastAsia="zh-CN" w:bidi="ar-SA"/>
        </w:rPr>
        <w:t>名。</w:t>
      </w:r>
    </w:p>
    <w:p w14:paraId="793373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三档（10分）：计划投入本项目工作的管理人员及技术人员基本满足本项目需求：计划投入的中级及以上职称工程师8名以上。</w:t>
      </w:r>
    </w:p>
    <w:p w14:paraId="758C6D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highlight w:val="none"/>
        </w:rPr>
        <w:t>注：以上人员</w:t>
      </w:r>
      <w:r>
        <w:rPr>
          <w:rFonts w:hint="eastAsia" w:ascii="Times New Roman" w:hAnsi="Times New Roman" w:eastAsia="仿宋_GB2312" w:cs="Times New Roman"/>
          <w:sz w:val="32"/>
          <w:szCs w:val="32"/>
          <w:highlight w:val="none"/>
          <w:lang w:val="en-US" w:eastAsia="zh-CN"/>
        </w:rPr>
        <w:t>职称专业要求为</w:t>
      </w:r>
      <w:r>
        <w:rPr>
          <w:rFonts w:hint="eastAsia" w:ascii="Times New Roman" w:hAnsi="Times New Roman" w:eastAsia="仿宋_GB2312" w:cs="Times New Roman"/>
          <w:kern w:val="2"/>
          <w:sz w:val="32"/>
          <w:szCs w:val="32"/>
          <w:highlight w:val="none"/>
          <w:lang w:val="en-US" w:eastAsia="zh-CN" w:bidi="ar-SA"/>
        </w:rPr>
        <w:t>计算机科学与技术、系统集成项目管理师或电子信息技术，</w:t>
      </w:r>
      <w:r>
        <w:rPr>
          <w:rFonts w:hint="default" w:ascii="Times New Roman" w:hAnsi="Times New Roman" w:eastAsia="仿宋_GB2312" w:cs="Times New Roman"/>
          <w:sz w:val="32"/>
          <w:szCs w:val="32"/>
          <w:highlight w:val="none"/>
        </w:rPr>
        <w:t>均为本公司员工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提供投标人</w:t>
      </w:r>
      <w:r>
        <w:rPr>
          <w:rFonts w:hint="default" w:ascii="Times New Roman" w:hAnsi="Times New Roman" w:eastAsia="仿宋_GB2312" w:cs="Times New Roman"/>
          <w:sz w:val="32"/>
          <w:szCs w:val="32"/>
          <w:highlight w:val="none"/>
          <w:lang w:val="en-US" w:eastAsia="zh-CN"/>
        </w:rPr>
        <w:t>近三个月内任意</w:t>
      </w:r>
      <w:r>
        <w:rPr>
          <w:rFonts w:hint="eastAsia"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val="en-US" w:eastAsia="zh-CN"/>
        </w:rPr>
        <w:t>个月</w:t>
      </w:r>
      <w:r>
        <w:rPr>
          <w:rFonts w:hint="default" w:ascii="Times New Roman" w:hAnsi="Times New Roman" w:eastAsia="仿宋_GB2312" w:cs="Times New Roman"/>
          <w:sz w:val="32"/>
          <w:szCs w:val="32"/>
          <w:highlight w:val="none"/>
        </w:rPr>
        <w:t>为其缴费的社保证明或依法免缴社保的证明或事业单位机构编制证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，提供对应人员证书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提供有效的职称证复印件、职业资格证复印件。以上材料提供复印件并加盖单位公章，否则不得分。</w:t>
      </w:r>
    </w:p>
    <w:p w14:paraId="61BF2F28">
      <w:pPr>
        <w:pStyle w:val="4"/>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（3）业绩分（满分</w:t>
      </w:r>
      <w:r>
        <w:rPr>
          <w:rFonts w:hint="default" w:ascii="Times New Roman" w:hAnsi="Times New Roman" w:eastAsia="仿宋_GB2312" w:cs="Times New Roman"/>
          <w:b/>
          <w:bCs/>
          <w:sz w:val="32"/>
          <w:szCs w:val="32"/>
          <w:highlight w:val="none"/>
          <w:lang w:val="en-US" w:eastAsia="zh-CN"/>
        </w:rPr>
        <w:t>8</w:t>
      </w:r>
      <w:r>
        <w:rPr>
          <w:rFonts w:hint="default" w:ascii="Times New Roman" w:hAnsi="Times New Roman" w:eastAsia="仿宋_GB2312" w:cs="Times New Roman"/>
          <w:b/>
          <w:bCs/>
          <w:sz w:val="32"/>
          <w:szCs w:val="32"/>
          <w:highlight w:val="none"/>
        </w:rPr>
        <w:t>分）</w:t>
      </w:r>
    </w:p>
    <w:p w14:paraId="39C35CA9">
      <w:pPr>
        <w:pStyle w:val="4"/>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近3年来具</w:t>
      </w:r>
      <w:r>
        <w:rPr>
          <w:rFonts w:hint="default" w:ascii="Times New Roman" w:hAnsi="Times New Roman" w:eastAsia="仿宋_GB2312" w:cs="Times New Roman"/>
          <w:sz w:val="32"/>
          <w:szCs w:val="32"/>
          <w:highlight w:val="none"/>
        </w:rPr>
        <w:t>有</w:t>
      </w:r>
      <w:r>
        <w:rPr>
          <w:rFonts w:hint="default" w:ascii="Times New Roman" w:hAnsi="Times New Roman" w:eastAsia="仿宋_GB2312" w:cs="Times New Roman"/>
          <w:sz w:val="32"/>
          <w:szCs w:val="32"/>
          <w:highlight w:val="none"/>
          <w:lang w:val="en-US" w:eastAsia="zh-CN"/>
        </w:rPr>
        <w:t>政务服务地图和</w:t>
      </w:r>
      <w:r>
        <w:rPr>
          <w:rFonts w:hint="default" w:ascii="Times New Roman" w:hAnsi="Times New Roman" w:eastAsia="仿宋_GB2312" w:cs="Times New Roman"/>
          <w:sz w:val="32"/>
          <w:szCs w:val="32"/>
          <w:highlight w:val="none"/>
        </w:rPr>
        <w:t>政务类信息化项目业绩的，每个项目得</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分（以提供中标/成交通知书或合同</w:t>
      </w:r>
      <w:r>
        <w:rPr>
          <w:rFonts w:hint="eastAsia" w:ascii="Times New Roman" w:hAnsi="Times New Roman" w:eastAsia="仿宋_GB2312" w:cs="Times New Roman"/>
          <w:sz w:val="32"/>
          <w:szCs w:val="32"/>
          <w:highlight w:val="none"/>
          <w:lang w:val="en-US" w:eastAsia="zh-CN"/>
        </w:rPr>
        <w:t>关键页</w:t>
      </w:r>
      <w:r>
        <w:rPr>
          <w:rFonts w:hint="default" w:ascii="Times New Roman" w:hAnsi="Times New Roman" w:eastAsia="仿宋_GB2312" w:cs="Times New Roman"/>
          <w:sz w:val="32"/>
          <w:szCs w:val="32"/>
          <w:highlight w:val="none"/>
        </w:rPr>
        <w:t>复印件为准），满分</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分。</w:t>
      </w:r>
    </w:p>
    <w:p w14:paraId="2C1D55DE">
      <w:pPr>
        <w:pStyle w:val="4"/>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三</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bCs/>
          <w:sz w:val="32"/>
          <w:szCs w:val="32"/>
          <w:highlight w:val="none"/>
        </w:rPr>
        <w:t>总得分=1+2+3</w:t>
      </w:r>
    </w:p>
    <w:p w14:paraId="36679527">
      <w:pPr>
        <w:pStyle w:val="4"/>
        <w:pageBreakBefore w:val="0"/>
        <w:widowControl w:val="0"/>
        <w:kinsoku/>
        <w:wordWrap/>
        <w:overflowPunct/>
        <w:topLinePunct w:val="0"/>
        <w:autoSpaceDE/>
        <w:autoSpaceDN/>
        <w:bidi w:val="0"/>
        <w:adjustRightInd w:val="0"/>
        <w:spacing w:line="560" w:lineRule="exact"/>
        <w:ind w:firstLine="640" w:firstLineChars="200"/>
        <w:contextualSpacing/>
        <w:textAlignment w:val="auto"/>
        <w:rPr>
          <w:rFonts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三、中标候选人推荐原则</w:t>
      </w:r>
    </w:p>
    <w:p w14:paraId="799A0DFF">
      <w:pPr>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磋商小组</w:t>
      </w:r>
      <w:r>
        <w:rPr>
          <w:rFonts w:hint="default" w:ascii="Times New Roman" w:hAnsi="Times New Roman" w:eastAsia="仿宋_GB2312" w:cs="Times New Roman"/>
          <w:sz w:val="32"/>
          <w:szCs w:val="32"/>
          <w:highlight w:val="none"/>
        </w:rPr>
        <w:t>将按评审后得分由高到低顺序排列（得分相同的，按报价由低到高顺序排列，得分相同且投标报价相同的，按技术指标优劣顺序排列并推荐中标候选人名单）。采购人应当确定排名第一的中标候选人为中标人。除非有法定事由，如排名第一的中标候选人放弃中标、因不可抗力不能履行合同，或者被查实存在影响中标结果的违法行为等情形，不符合中标条件的。该等情况下，采购人可以按照</w:t>
      </w:r>
      <w:r>
        <w:rPr>
          <w:rFonts w:hint="default" w:ascii="Times New Roman" w:hAnsi="Times New Roman" w:eastAsia="仿宋_GB2312" w:cs="Times New Roman"/>
          <w:color w:val="auto"/>
          <w:sz w:val="32"/>
          <w:szCs w:val="32"/>
          <w:highlight w:val="none"/>
        </w:rPr>
        <w:t>磋商小组</w:t>
      </w:r>
      <w:r>
        <w:rPr>
          <w:rFonts w:hint="default" w:ascii="Times New Roman" w:hAnsi="Times New Roman" w:eastAsia="仿宋_GB2312" w:cs="Times New Roman"/>
          <w:sz w:val="32"/>
          <w:szCs w:val="32"/>
          <w:highlight w:val="none"/>
        </w:rPr>
        <w:t>提出的中标候选人名单排序依法确定其他中标候选人为中标人，也可以重新开展采购活动</w:t>
      </w:r>
      <w:bookmarkEnd w:id="4"/>
      <w:r>
        <w:rPr>
          <w:rFonts w:hint="default" w:ascii="Times New Roman" w:hAnsi="Times New Roman" w:eastAsia="仿宋_GB2312" w:cs="Times New Roman"/>
          <w:sz w:val="32"/>
          <w:szCs w:val="32"/>
          <w:highlight w:val="none"/>
        </w:rPr>
        <w:t>。</w:t>
      </w:r>
      <w:bookmarkEnd w:id="2"/>
      <w:bookmarkEnd w:id="3"/>
    </w:p>
    <w:p w14:paraId="23B5FD13">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Times New Roman"/>
          <w:b/>
          <w:bCs/>
          <w:kern w:val="2"/>
          <w:sz w:val="32"/>
          <w:szCs w:val="32"/>
          <w:highlight w:val="none"/>
          <w:lang w:val="en-US" w:eastAsia="zh-CN" w:bidi="ar-SA"/>
        </w:rPr>
      </w:pPr>
    </w:p>
    <w:p w14:paraId="3FDB766B">
      <w:pPr>
        <w:pStyle w:val="4"/>
        <w:keepNext w:val="0"/>
        <w:keepLines w:val="0"/>
        <w:pageBreakBefore w:val="0"/>
        <w:kinsoku/>
        <w:wordWrap/>
        <w:overflowPunct/>
        <w:topLinePunct w:val="0"/>
        <w:autoSpaceDE/>
        <w:autoSpaceDN/>
        <w:bidi w:val="0"/>
        <w:adjustRightInd w:val="0"/>
        <w:snapToGrid w:val="0"/>
        <w:spacing w:line="560" w:lineRule="exact"/>
        <w:ind w:left="0" w:leftChars="0" w:firstLine="646" w:firstLineChars="202"/>
        <w:rPr>
          <w:rFonts w:hint="eastAsia" w:ascii="Times New Roman" w:hAnsi="Times New Roman" w:eastAsia="方正仿宋_GBK" w:cs="方正仿宋_GBK"/>
          <w:color w:val="auto"/>
          <w:sz w:val="32"/>
          <w:szCs w:val="32"/>
          <w:highlight w:val="none"/>
        </w:rPr>
      </w:pPr>
    </w:p>
    <w:p w14:paraId="7FD12206">
      <w:pPr>
        <w:keepNext w:val="0"/>
        <w:keepLines w:val="0"/>
        <w:pageBreakBefore w:val="0"/>
        <w:kinsoku/>
        <w:wordWrap/>
        <w:overflowPunct/>
        <w:topLinePunct w:val="0"/>
        <w:autoSpaceDE/>
        <w:autoSpaceDN/>
        <w:bidi w:val="0"/>
        <w:spacing w:line="560" w:lineRule="exact"/>
        <w:ind w:left="0" w:leftChars="0"/>
        <w:rPr>
          <w:rFonts w:hint="eastAsia" w:ascii="Times New Roman" w:hAnsi="Times New Roman" w:eastAsia="方正仿宋_GBK" w:cs="方正仿宋_GBK"/>
          <w:color w:val="auto"/>
          <w:sz w:val="32"/>
          <w:szCs w:val="32"/>
          <w:highlight w:val="none"/>
        </w:rPr>
      </w:pPr>
    </w:p>
    <w:sectPr>
      <w:footerReference r:id="rId4" w:type="first"/>
      <w:footerReference r:id="rId3" w:type="default"/>
      <w:pgSz w:w="11906" w:h="16838"/>
      <w:pgMar w:top="1247" w:right="1247" w:bottom="1247" w:left="124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5ACCE">
    <w:pPr>
      <w:pStyle w:val="5"/>
      <w:framePr w:wrap="auto"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14:paraId="2B55FE3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2A013">
    <w:pPr>
      <w:pStyle w:val="5"/>
      <w:ind w:right="360"/>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NTg2MTljNTQxYzYwNzQyNmVlMmQwYzg1OTdmOTkifQ=="/>
  </w:docVars>
  <w:rsids>
    <w:rsidRoot w:val="00016DF8"/>
    <w:rsid w:val="00016DF8"/>
    <w:rsid w:val="000C4C1E"/>
    <w:rsid w:val="00230EA4"/>
    <w:rsid w:val="00274664"/>
    <w:rsid w:val="00634F27"/>
    <w:rsid w:val="00735A4E"/>
    <w:rsid w:val="00DC217F"/>
    <w:rsid w:val="059A697F"/>
    <w:rsid w:val="05F153A7"/>
    <w:rsid w:val="0DA67EC9"/>
    <w:rsid w:val="10620C2D"/>
    <w:rsid w:val="119E24A5"/>
    <w:rsid w:val="11FF514C"/>
    <w:rsid w:val="19DE2297"/>
    <w:rsid w:val="1A9E4F94"/>
    <w:rsid w:val="29FF5E96"/>
    <w:rsid w:val="322A4EC6"/>
    <w:rsid w:val="322B22C0"/>
    <w:rsid w:val="341D4464"/>
    <w:rsid w:val="342C2F94"/>
    <w:rsid w:val="428118EB"/>
    <w:rsid w:val="42AB5D42"/>
    <w:rsid w:val="5D4C48C0"/>
    <w:rsid w:val="5EFF0EFD"/>
    <w:rsid w:val="61C50C03"/>
    <w:rsid w:val="70DF030B"/>
    <w:rsid w:val="76AE1D16"/>
    <w:rsid w:val="7CCB71F0"/>
    <w:rsid w:val="7D5B868A"/>
    <w:rsid w:val="DE4FBD42"/>
    <w:rsid w:val="F7DF5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line="560" w:lineRule="atLeast"/>
      <w:outlineLvl w:val="0"/>
    </w:pPr>
    <w:rPr>
      <w:rFonts w:eastAsia="黑体"/>
      <w:bCs/>
      <w:kern w:val="44"/>
      <w:szCs w:val="44"/>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19"/>
    <w:autoRedefine/>
    <w:semiHidden/>
    <w:unhideWhenUsed/>
    <w:qFormat/>
    <w:uiPriority w:val="99"/>
    <w:rPr>
      <w:rFonts w:ascii="宋体"/>
      <w:sz w:val="18"/>
      <w:szCs w:val="18"/>
    </w:rPr>
  </w:style>
  <w:style w:type="paragraph" w:styleId="4">
    <w:name w:val="Plain Text"/>
    <w:basedOn w:val="1"/>
    <w:link w:val="12"/>
    <w:qFormat/>
    <w:uiPriority w:val="0"/>
    <w:rPr>
      <w:rFonts w:ascii="宋体" w:hAnsi="Courier New"/>
      <w:szCs w:val="20"/>
    </w:rPr>
  </w:style>
  <w:style w:type="paragraph" w:styleId="5">
    <w:name w:val="footer"/>
    <w:basedOn w:val="1"/>
    <w:link w:val="14"/>
    <w:autoRedefine/>
    <w:qFormat/>
    <w:uiPriority w:val="0"/>
    <w:pPr>
      <w:tabs>
        <w:tab w:val="center" w:pos="4153"/>
        <w:tab w:val="right" w:pos="8306"/>
      </w:tabs>
      <w:snapToGrid w:val="0"/>
      <w:jc w:val="left"/>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9"/>
    <w:basedOn w:val="1"/>
    <w:next w:val="1"/>
    <w:autoRedefine/>
    <w:semiHidden/>
    <w:qFormat/>
    <w:uiPriority w:val="0"/>
    <w:pPr>
      <w:tabs>
        <w:tab w:val="right" w:leader="dot" w:pos="9185"/>
      </w:tabs>
      <w:adjustRightInd w:val="0"/>
      <w:spacing w:line="460" w:lineRule="exact"/>
      <w:ind w:left="420" w:leftChars="200" w:firstLine="525" w:firstLineChars="250"/>
      <w:textAlignment w:val="baseline"/>
    </w:pPr>
    <w:rPr>
      <w:rFonts w:cs="宋体"/>
      <w:color w:val="008000"/>
      <w:kern w:val="0"/>
    </w:rPr>
  </w:style>
  <w:style w:type="character" w:styleId="10">
    <w:name w:val="page number"/>
    <w:autoRedefine/>
    <w:qFormat/>
    <w:uiPriority w:val="0"/>
    <w:rPr>
      <w:rFonts w:cs="Times New Roman"/>
    </w:rPr>
  </w:style>
  <w:style w:type="character" w:customStyle="1" w:styleId="11">
    <w:name w:val="纯文本 Char"/>
    <w:basedOn w:val="9"/>
    <w:link w:val="4"/>
    <w:autoRedefine/>
    <w:semiHidden/>
    <w:qFormat/>
    <w:uiPriority w:val="99"/>
    <w:rPr>
      <w:rFonts w:ascii="宋体" w:hAnsi="Courier New" w:eastAsia="宋体" w:cs="Courier New"/>
      <w:szCs w:val="21"/>
    </w:rPr>
  </w:style>
  <w:style w:type="character" w:customStyle="1" w:styleId="12">
    <w:name w:val="纯文本 Char1"/>
    <w:link w:val="4"/>
    <w:autoRedefine/>
    <w:qFormat/>
    <w:locked/>
    <w:uiPriority w:val="0"/>
    <w:rPr>
      <w:rFonts w:ascii="宋体" w:hAnsi="Courier New" w:eastAsia="宋体" w:cs="Times New Roman"/>
      <w:szCs w:val="20"/>
    </w:rPr>
  </w:style>
  <w:style w:type="character" w:customStyle="1" w:styleId="13">
    <w:name w:val="页脚 Char"/>
    <w:basedOn w:val="9"/>
    <w:link w:val="5"/>
    <w:autoRedefine/>
    <w:semiHidden/>
    <w:qFormat/>
    <w:uiPriority w:val="99"/>
    <w:rPr>
      <w:rFonts w:ascii="Times New Roman" w:hAnsi="Times New Roman" w:eastAsia="宋体" w:cs="Times New Roman"/>
      <w:sz w:val="18"/>
      <w:szCs w:val="18"/>
    </w:rPr>
  </w:style>
  <w:style w:type="character" w:customStyle="1" w:styleId="14">
    <w:name w:val="页脚 Char1"/>
    <w:link w:val="5"/>
    <w:autoRedefine/>
    <w:qFormat/>
    <w:locked/>
    <w:uiPriority w:val="0"/>
    <w:rPr>
      <w:rFonts w:ascii="Times New Roman" w:hAnsi="Times New Roman" w:eastAsia="宋体" w:cs="Times New Roman"/>
      <w:sz w:val="18"/>
      <w:szCs w:val="18"/>
    </w:rPr>
  </w:style>
  <w:style w:type="character" w:customStyle="1" w:styleId="15">
    <w:name w:val="页眉 Char"/>
    <w:basedOn w:val="9"/>
    <w:link w:val="6"/>
    <w:autoRedefine/>
    <w:semiHidden/>
    <w:qFormat/>
    <w:uiPriority w:val="99"/>
    <w:rPr>
      <w:rFonts w:ascii="Times New Roman" w:hAnsi="Times New Roman" w:eastAsia="宋体" w:cs="Times New Roman"/>
      <w:sz w:val="18"/>
      <w:szCs w:val="18"/>
    </w:rPr>
  </w:style>
  <w:style w:type="character" w:customStyle="1" w:styleId="16">
    <w:name w:val="页眉 Char1"/>
    <w:link w:val="6"/>
    <w:autoRedefine/>
    <w:qFormat/>
    <w:locked/>
    <w:uiPriority w:val="0"/>
    <w:rPr>
      <w:rFonts w:ascii="Times New Roman" w:hAnsi="Times New Roman" w:eastAsia="宋体" w:cs="Times New Roman"/>
      <w:sz w:val="18"/>
      <w:szCs w:val="18"/>
    </w:rPr>
  </w:style>
  <w:style w:type="paragraph" w:customStyle="1" w:styleId="17">
    <w:name w:val="_Style 35"/>
    <w:basedOn w:val="3"/>
    <w:autoRedefine/>
    <w:qFormat/>
    <w:uiPriority w:val="0"/>
    <w:pPr>
      <w:widowControl/>
      <w:shd w:val="clear" w:color="auto" w:fill="000080"/>
      <w:ind w:firstLine="454"/>
      <w:jc w:val="left"/>
    </w:pPr>
    <w:rPr>
      <w:rFonts w:ascii="Times New Roman"/>
      <w:sz w:val="21"/>
      <w:szCs w:val="24"/>
    </w:rPr>
  </w:style>
  <w:style w:type="paragraph" w:customStyle="1" w:styleId="18">
    <w:name w:val="p16"/>
    <w:basedOn w:val="1"/>
    <w:autoRedefine/>
    <w:qFormat/>
    <w:uiPriority w:val="0"/>
    <w:pPr>
      <w:widowControl/>
    </w:pPr>
    <w:rPr>
      <w:rFonts w:ascii="宋体" w:hAnsi="宋体" w:cs="宋体"/>
      <w:kern w:val="0"/>
    </w:rPr>
  </w:style>
  <w:style w:type="character" w:customStyle="1" w:styleId="19">
    <w:name w:val="文档结构图 Char"/>
    <w:basedOn w:val="9"/>
    <w:link w:val="3"/>
    <w:autoRedefine/>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7</Pages>
  <Words>3447</Words>
  <Characters>3503</Characters>
  <Lines>24</Lines>
  <Paragraphs>6</Paragraphs>
  <TotalTime>0</TotalTime>
  <ScaleCrop>false</ScaleCrop>
  <LinksUpToDate>false</LinksUpToDate>
  <CharactersWithSpaces>3506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2022-03-29T07:31:00Z</dcterms:created>
  <dc:creator>Windows User</dc:creator>
  <cp:lastModifiedBy>mingyu</cp:lastModifiedBy>
  <dcterms:modified xsi:type="dcterms:W3CDTF">2024-11-15T09:46:42Z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333DA64201EB428FB323972BED458EA3_13</vt:lpwstr>
  </property>
</Properties>
</file>