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color w:val="auto"/>
          <w:kern w:val="2"/>
          <w:sz w:val="44"/>
          <w:szCs w:val="44"/>
          <w:highlight w:val="none"/>
          <w:lang w:val="en-US" w:eastAsia="zh-CN"/>
        </w:rPr>
      </w:pPr>
      <w:r>
        <w:rPr>
          <w:rFonts w:hint="default" w:ascii="Times New Roman" w:hAnsi="Times New Roman" w:eastAsia="方正小标宋简体" w:cs="Times New Roman"/>
          <w:color w:val="auto"/>
          <w:kern w:val="2"/>
          <w:sz w:val="44"/>
          <w:szCs w:val="44"/>
          <w:highlight w:val="none"/>
          <w:lang w:val="en-US" w:eastAsia="zh-CN"/>
        </w:rPr>
        <w:t>第八届</w:t>
      </w:r>
      <w:r>
        <w:rPr>
          <w:rFonts w:hint="default" w:ascii="Times New Roman" w:hAnsi="Times New Roman" w:eastAsia="方正小标宋简体" w:cs="Times New Roman"/>
          <w:color w:val="auto"/>
          <w:kern w:val="2"/>
          <w:sz w:val="44"/>
          <w:szCs w:val="44"/>
          <w:highlight w:val="none"/>
        </w:rPr>
        <w:t>数字中国建设</w:t>
      </w:r>
      <w:r>
        <w:rPr>
          <w:rFonts w:hint="default" w:ascii="Times New Roman" w:hAnsi="Times New Roman" w:eastAsia="方正小标宋简体" w:cs="Times New Roman"/>
          <w:color w:val="auto"/>
          <w:kern w:val="2"/>
          <w:sz w:val="44"/>
          <w:szCs w:val="44"/>
          <w:highlight w:val="none"/>
          <w:lang w:val="en-US" w:eastAsia="zh-CN"/>
        </w:rPr>
        <w:t>峰会数字广西建设</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color w:val="auto"/>
          <w:kern w:val="2"/>
          <w:sz w:val="36"/>
          <w:szCs w:val="36"/>
          <w:highlight w:val="none"/>
        </w:rPr>
      </w:pPr>
      <w:r>
        <w:rPr>
          <w:rFonts w:hint="default" w:ascii="Times New Roman" w:hAnsi="Times New Roman" w:eastAsia="方正小标宋简体" w:cs="Times New Roman"/>
          <w:color w:val="auto"/>
          <w:kern w:val="2"/>
          <w:sz w:val="44"/>
          <w:szCs w:val="44"/>
          <w:highlight w:val="none"/>
          <w:lang w:val="en-US" w:eastAsia="zh-CN"/>
        </w:rPr>
        <w:t>成果</w:t>
      </w:r>
      <w:r>
        <w:rPr>
          <w:rFonts w:hint="default" w:ascii="Times New Roman" w:hAnsi="Times New Roman" w:eastAsia="方正小标宋简体" w:cs="Times New Roman"/>
          <w:color w:val="auto"/>
          <w:kern w:val="2"/>
          <w:sz w:val="44"/>
          <w:szCs w:val="44"/>
          <w:highlight w:val="none"/>
        </w:rPr>
        <w:t>布展和运营服务项目采购文件</w:t>
      </w:r>
      <w:r>
        <w:rPr>
          <w:rFonts w:hint="default" w:ascii="Times New Roman" w:hAnsi="Times New Roman" w:eastAsia="方正小标宋简体" w:cs="Times New Roman"/>
          <w:color w:val="auto"/>
          <w:kern w:val="2"/>
          <w:sz w:val="44"/>
          <w:szCs w:val="44"/>
          <w:highlight w:val="none"/>
        </w:rPr>
        <w:br w:type="textWrapping"/>
      </w:r>
      <w:r>
        <w:rPr>
          <w:rFonts w:hint="default" w:ascii="Times New Roman" w:hAnsi="Times New Roman" w:eastAsia="方正小标宋简体" w:cs="Times New Roman"/>
          <w:color w:val="auto"/>
          <w:kern w:val="2"/>
          <w:sz w:val="44"/>
          <w:szCs w:val="44"/>
          <w:highlight w:val="none"/>
        </w:rPr>
        <w:br w:type="textWrapping"/>
      </w:r>
      <w:r>
        <w:rPr>
          <w:rFonts w:hint="default" w:ascii="Times New Roman" w:hAnsi="Times New Roman" w:eastAsia="方正小标宋简体" w:cs="Times New Roman"/>
          <w:color w:val="auto"/>
          <w:kern w:val="2"/>
          <w:sz w:val="36"/>
          <w:szCs w:val="36"/>
          <w:highlight w:val="none"/>
          <w:lang w:val="en-US" w:eastAsia="zh-CN"/>
        </w:rPr>
        <w:t xml:space="preserve">第一部分  </w:t>
      </w:r>
      <w:r>
        <w:rPr>
          <w:rFonts w:hint="default" w:ascii="Times New Roman" w:hAnsi="Times New Roman" w:eastAsia="方正小标宋简体" w:cs="Times New Roman"/>
          <w:color w:val="auto"/>
          <w:kern w:val="2"/>
          <w:sz w:val="36"/>
          <w:szCs w:val="36"/>
          <w:highlight w:val="none"/>
        </w:rPr>
        <w:t>采购需求</w:t>
      </w:r>
    </w:p>
    <w:p>
      <w:pPr>
        <w:pStyle w:val="2"/>
        <w:rPr>
          <w:rFonts w:hint="default" w:ascii="Times New Roman" w:hAnsi="Times New Roman" w:cs="Times New Roma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cs="Times New Roman"/>
          <w:color w:val="auto"/>
          <w:sz w:val="32"/>
          <w:szCs w:val="32"/>
          <w:highlight w:val="none"/>
          <w:lang w:bidi="ar"/>
        </w:rPr>
      </w:pPr>
      <w:r>
        <w:rPr>
          <w:rFonts w:hint="default" w:ascii="Times New Roman" w:hAnsi="Times New Roman" w:eastAsia="黑体" w:cs="Times New Roman"/>
          <w:color w:val="auto"/>
          <w:sz w:val="32"/>
          <w:szCs w:val="32"/>
          <w:highlight w:val="none"/>
          <w:lang w:val="en-US" w:eastAsia="zh-CN"/>
        </w:rPr>
        <w:t>一、</w:t>
      </w:r>
      <w:r>
        <w:rPr>
          <w:rFonts w:hint="default" w:ascii="Times New Roman" w:hAnsi="Times New Roman" w:eastAsia="黑体" w:cs="Times New Roman"/>
          <w:color w:val="auto"/>
          <w:sz w:val="32"/>
          <w:szCs w:val="32"/>
          <w:highlight w:val="none"/>
        </w:rPr>
        <w:t>项目介绍：</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rPr>
        <w:t>（一）项目名称：</w:t>
      </w:r>
      <w:r>
        <w:rPr>
          <w:rFonts w:hint="default" w:ascii="Times New Roman" w:hAnsi="Times New Roman" w:eastAsia="仿宋_GB2312" w:cs="Times New Roman"/>
          <w:color w:val="auto"/>
          <w:sz w:val="32"/>
          <w:szCs w:val="32"/>
          <w:highlight w:val="none"/>
          <w:lang w:val="en-US" w:eastAsia="zh-CN"/>
        </w:rPr>
        <w:t>第八届数字中国建设峰会数字广西建设成果</w:t>
      </w:r>
      <w:r>
        <w:rPr>
          <w:rFonts w:hint="default" w:ascii="Times New Roman" w:hAnsi="Times New Roman" w:eastAsia="仿宋_GB2312" w:cs="Times New Roman"/>
          <w:color w:val="auto"/>
          <w:sz w:val="32"/>
          <w:szCs w:val="32"/>
          <w:highlight w:val="none"/>
        </w:rPr>
        <w:t>布展和运营服务项目</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rPr>
        <w:t>（二）立项背景：</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数字中国建设峰会（简称“峰会”）于2018年落户福州，已连续成功举办</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届。自举办以来，峰会紧紧围绕“四个平台”功能定位，举办系列论坛、展览、大赛和特色活动等一系列活动。其中，论坛包括开幕式、主论坛、分论坛等，展览包括数字中国建设成果展览会、中国国际数字产品博览会。数字中国建设成果展览会（以下简称：成果展）是数字中国建设峰会的重要组成部分，始终坚持战略引领、全面系统，紧跟国家战略，紧扣峰会主题，旨在全面丰富、清晰立体地呈现数字中国建设宏伟蓝图。展示内容全面覆盖数字基础设施、数据要素、数字经济、数字政务、数字社会、数字文化、数字生态环境、数字治理、数字领域国际合作等数字中国建设各领域。成果展已成为展示我国数字化技术新趋势、数字化发展新成果、数字化应用新特色和数字化实践新案例的重要窗口。</w:t>
      </w:r>
      <w:r>
        <w:rPr>
          <w:rFonts w:hint="default" w:ascii="Times New Roman" w:hAnsi="Times New Roman" w:eastAsia="仿宋_GB2312" w:cs="Times New Roman"/>
          <w:color w:val="auto"/>
          <w:sz w:val="32"/>
          <w:szCs w:val="32"/>
          <w:highlight w:val="none"/>
          <w:lang w:eastAsia="zh-CN"/>
        </w:rPr>
        <w:t>应福建省人民政府邀请，</w:t>
      </w:r>
      <w:r>
        <w:rPr>
          <w:rFonts w:hint="default" w:ascii="Times New Roman" w:hAnsi="Times New Roman" w:eastAsia="仿宋_GB2312" w:cs="Times New Roman"/>
          <w:color w:val="auto"/>
          <w:sz w:val="32"/>
          <w:szCs w:val="32"/>
          <w:highlight w:val="none"/>
        </w:rPr>
        <w:t>广西壮族自治区</w:t>
      </w:r>
      <w:r>
        <w:rPr>
          <w:rFonts w:hint="default" w:ascii="Times New Roman" w:hAnsi="Times New Roman" w:eastAsia="仿宋_GB2312" w:cs="Times New Roman"/>
          <w:color w:val="auto"/>
          <w:sz w:val="32"/>
          <w:szCs w:val="32"/>
          <w:highlight w:val="none"/>
          <w:lang w:eastAsia="zh-CN"/>
        </w:rPr>
        <w:t>人民政府组织</w:t>
      </w:r>
      <w:r>
        <w:rPr>
          <w:rFonts w:hint="default" w:ascii="Times New Roman" w:hAnsi="Times New Roman" w:eastAsia="仿宋_GB2312" w:cs="Times New Roman"/>
          <w:color w:val="auto"/>
          <w:sz w:val="32"/>
          <w:szCs w:val="32"/>
          <w:highlight w:val="none"/>
        </w:rPr>
        <w:t>参展。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lang w:bidi="ar"/>
        </w:rPr>
      </w:pPr>
      <w:r>
        <w:rPr>
          <w:rFonts w:hint="default" w:ascii="Times New Roman" w:hAnsi="Times New Roman" w:eastAsia="仿宋_GB2312" w:cs="Times New Roman"/>
          <w:color w:val="auto"/>
          <w:sz w:val="32"/>
          <w:szCs w:val="32"/>
          <w:highlight w:val="none"/>
          <w:lang w:bidi="ar"/>
        </w:rPr>
        <w:t>（三）预算金额</w:t>
      </w:r>
      <w:r>
        <w:rPr>
          <w:rFonts w:hint="eastAsia" w:ascii="Times New Roman" w:hAnsi="Times New Roman" w:eastAsia="仿宋_GB2312" w:cs="Times New Roman"/>
          <w:color w:val="auto"/>
          <w:sz w:val="32"/>
          <w:szCs w:val="32"/>
          <w:highlight w:val="none"/>
          <w:lang w:eastAsia="zh-CN" w:bidi="ar"/>
        </w:rPr>
        <w:t>：</w:t>
      </w:r>
      <w:r>
        <w:rPr>
          <w:rFonts w:hint="eastAsia" w:ascii="仿宋_GB2312" w:hAnsi="仿宋_GB2312" w:eastAsia="仿宋_GB2312" w:cs="仿宋_GB2312"/>
          <w:color w:val="auto"/>
          <w:kern w:val="2"/>
          <w:sz w:val="32"/>
          <w:szCs w:val="32"/>
          <w:highlight w:val="none"/>
          <w:lang w:val="en-US" w:eastAsia="zh-CN" w:bidi="ar-SA"/>
        </w:rPr>
        <w:t>956873.14</w:t>
      </w:r>
      <w:r>
        <w:rPr>
          <w:rFonts w:hint="eastAsia" w:ascii="Times New Roman" w:hAnsi="Times New Roman" w:eastAsia="仿宋_GB2312" w:cs="Times New Roman"/>
          <w:sz w:val="32"/>
          <w:szCs w:val="32"/>
          <w:highlight w:val="none"/>
          <w:lang w:val="en-US" w:eastAsia="zh-CN"/>
        </w:rPr>
        <w:t>元（￥玖拾伍万陆仟捌佰柒拾叁元壹角肆分）</w:t>
      </w:r>
      <w:r>
        <w:rPr>
          <w:rFonts w:hint="default" w:ascii="Times New Roman" w:hAnsi="Times New Roman" w:eastAsia="仿宋_GB2312" w:cs="Times New Roman"/>
          <w:color w:val="auto"/>
          <w:sz w:val="32"/>
          <w:szCs w:val="32"/>
          <w:highlight w:val="none"/>
          <w:lang w:bidi="ar"/>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二、项目实施时间、地点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2025年4月</w:t>
      </w:r>
      <w:r>
        <w:rPr>
          <w:rFonts w:hint="eastAsia" w:ascii="Times New Roman" w:hAnsi="Times New Roman" w:eastAsia="仿宋_GB2312" w:cs="Times New Roman"/>
          <w:color w:val="auto"/>
          <w:sz w:val="32"/>
          <w:szCs w:val="32"/>
          <w:highlight w:val="none"/>
          <w:lang w:val="en-US" w:eastAsia="zh-CN"/>
        </w:rPr>
        <w:t>28日—5月4</w:t>
      </w:r>
      <w:r>
        <w:rPr>
          <w:rFonts w:hint="default" w:ascii="Times New Roman" w:hAnsi="Times New Roman" w:eastAsia="仿宋_GB2312" w:cs="Times New Roman"/>
          <w:color w:val="auto"/>
          <w:sz w:val="32"/>
          <w:szCs w:val="32"/>
          <w:highlight w:val="none"/>
          <w:lang w:val="en-US" w:eastAsia="zh-CN"/>
        </w:rPr>
        <w:t>日展览，地点在福建省福州海峡国际会展中心，展位面积2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0平方米。——具体以第八届数字中国建设峰会安排为准。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、服务内容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根据项目需求，结合峰会主题，生动展现</w:t>
      </w:r>
      <w:r>
        <w:rPr>
          <w:rFonts w:hint="default" w:ascii="Times New Roman" w:hAnsi="Times New Roman" w:eastAsia="仿宋_GB2312" w:cs="Times New Roman"/>
          <w:color w:val="auto"/>
          <w:sz w:val="32"/>
          <w:szCs w:val="32"/>
          <w:highlight w:val="none"/>
          <w:lang w:eastAsia="zh-CN"/>
        </w:rPr>
        <w:t>广西人工智能发展</w:t>
      </w:r>
      <w:r>
        <w:rPr>
          <w:rFonts w:hint="default" w:ascii="Times New Roman" w:hAnsi="Times New Roman" w:eastAsia="仿宋_GB2312" w:cs="Times New Roman"/>
          <w:color w:val="auto"/>
          <w:sz w:val="32"/>
          <w:szCs w:val="32"/>
          <w:highlight w:val="none"/>
        </w:rPr>
        <w:t>的亮点，</w:t>
      </w:r>
      <w:r>
        <w:rPr>
          <w:rFonts w:hint="default" w:ascii="Times New Roman" w:hAnsi="Times New Roman" w:eastAsia="仿宋_GB2312" w:cs="Times New Roman"/>
          <w:color w:val="auto"/>
          <w:sz w:val="32"/>
          <w:szCs w:val="32"/>
          <w:highlight w:val="none"/>
          <w:lang w:eastAsia="zh-CN"/>
        </w:rPr>
        <w:t>特别是中国—东盟人工智能创新合作中心的规划建设成果</w:t>
      </w:r>
      <w:r>
        <w:rPr>
          <w:rFonts w:hint="default" w:ascii="Times New Roman" w:hAnsi="Times New Roman" w:eastAsia="仿宋_GB2312" w:cs="Times New Roman"/>
          <w:color w:val="auto"/>
          <w:sz w:val="32"/>
          <w:szCs w:val="32"/>
          <w:highlight w:val="none"/>
        </w:rPr>
        <w:t>。提供展厅整体设计、展台整体多媒体内容设计制作、展厅搭建及现场运营策划等布展设计方案，包括整体创意构思、主题内容构思、空间内容划分、展示氛围及效果描述等，应充分考虑展区内整体形象展现、业务展示等需求。现场运营策划方案包括讲解接待服务、运维支撑服务、应急响应服务、突发事件处理流程等，应充分考虑展区现场运营管控的各类情况。方案输出方式以WORD、PPT等常用办公软件为主，如策划方案未能完全满足要求的，应积极配合修改、调整。</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展会执行要求能按照采购方确认的策划方案，在规定的时间内，完成多媒体内容的设计及制作、布展、</w:t>
      </w:r>
      <w:r>
        <w:rPr>
          <w:rFonts w:hint="default" w:ascii="Times New Roman" w:hAnsi="Times New Roman" w:eastAsia="仿宋_GB2312" w:cs="Times New Roman"/>
          <w:color w:val="auto"/>
          <w:sz w:val="32"/>
          <w:szCs w:val="32"/>
          <w:highlight w:val="none"/>
          <w:lang w:val="en-US" w:eastAsia="zh-CN"/>
        </w:rPr>
        <w:t>现场设备及配套信息展示系统的安装、联调、测试、运维以及</w:t>
      </w:r>
      <w:r>
        <w:rPr>
          <w:rFonts w:hint="default" w:ascii="Times New Roman" w:hAnsi="Times New Roman" w:eastAsia="仿宋_GB2312" w:cs="Times New Roman"/>
          <w:color w:val="auto"/>
          <w:sz w:val="32"/>
          <w:szCs w:val="32"/>
          <w:highlight w:val="none"/>
        </w:rPr>
        <w:t>现场运营接待讲解等工作。</w:t>
      </w:r>
    </w:p>
    <w:p>
      <w:pPr>
        <w:keepNext w:val="0"/>
        <w:keepLines w:val="0"/>
        <w:pageBreakBefore w:val="0"/>
        <w:widowControl w:val="0"/>
        <w:numPr>
          <w:ilvl w:val="0"/>
          <w:numId w:val="1"/>
        </w:numPr>
        <w:tabs>
          <w:tab w:val="center" w:pos="4153"/>
          <w:tab w:val="right" w:pos="8306"/>
        </w:tabs>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楷体_GB2312" w:cs="Times New Roman"/>
          <w:bCs/>
          <w:color w:val="auto"/>
          <w:kern w:val="2"/>
          <w:sz w:val="32"/>
          <w:szCs w:val="32"/>
          <w:highlight w:val="none"/>
        </w:rPr>
      </w:pPr>
      <w:r>
        <w:rPr>
          <w:rFonts w:hint="default" w:ascii="Times New Roman" w:hAnsi="Times New Roman" w:eastAsia="楷体_GB2312" w:cs="Times New Roman"/>
          <w:bCs/>
          <w:color w:val="auto"/>
          <w:kern w:val="2"/>
          <w:sz w:val="32"/>
          <w:szCs w:val="32"/>
          <w:highlight w:val="none"/>
        </w:rPr>
        <w:t>布展服务。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布展服务内容包括展厅布展设计、多媒体内容制作和展台搭建等。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1.根据大会主题，设计会场搭建方案，包括但不限于总体图案设计、音响、灯光设备的布置，会场LED屏幕搭建、VI设计制作等。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2.根据会场的主办方和采购方布展要求，完成展厅造型的布置，包括但不限于造型制作、地面制作、墙面制作等。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3.多媒体内容设计及制作需紧扣展会主题，供应商需就多媒体内容设计制作的整体流程、响应能力、方案可行性以及执行能力等进行说明。</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（1）根据展区主题规划整体内容。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整体内容规划需充分结合数字广西建设的亮点，充分考虑展区内整体形象展现、业务展示等需求，聚焦广西数字化建设的典型案例或应用场景，突出展示壮美广西特色元素，重点展现广西数字基础设施、数据要素、数字经济、数字政</w:t>
      </w:r>
      <w:r>
        <w:rPr>
          <w:rFonts w:hint="default" w:ascii="Times New Roman" w:hAnsi="Times New Roman" w:eastAsia="仿宋_GB2312" w:cs="Times New Roman"/>
          <w:color w:val="auto"/>
          <w:sz w:val="32"/>
          <w:szCs w:val="32"/>
          <w:highlight w:val="none"/>
          <w:lang w:val="en-US" w:eastAsia="zh-CN"/>
        </w:rPr>
        <w:t>府</w:t>
      </w:r>
      <w:r>
        <w:rPr>
          <w:rFonts w:hint="default" w:ascii="Times New Roman" w:hAnsi="Times New Roman" w:eastAsia="仿宋_GB2312" w:cs="Times New Roman"/>
          <w:color w:val="auto"/>
          <w:sz w:val="32"/>
          <w:szCs w:val="32"/>
          <w:highlight w:val="none"/>
        </w:rPr>
        <w:t>、数字社会、数字文化、数字生态、数字治理、数字领域国际合作等数字广西建设各领域建设成效。内容布局应根据展示面积大小合理规划，形成展区整体创意构思及展示内容大纲。</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展示内容设计人员要求有丰富的规划设计能力，对空间尺度及展示环境有敏锐的洞察力，可以根据采购方要求进行深入分析、合理规划，同时具有针对性的设计、制作与呈现。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（2）提供展区内容展示方案。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对整体展示方案特色进行汇总和说明方案亮点。方案内容应包括参观流线、空间内容划分、展示氛围及效果描述等。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展台设计需从参观的角度出发，结合参观路线、参观流程、空间环境、体验方式等多方面特点。</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展示内容明确主体，清晰地呈现展示业务应用场景，配合突出展示业务功能，根据不同的参观群体选择部分业务进行演示。</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展区互动需整体设计参观者的互动体验环节，结合参观主线和思维脉络相匹配，达到首尾呼应的作用。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（3）媒体内容脚本设计及制作方案。</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多媒体内容脚本设计及制作中采用的技术需具备先进性，能够全面、丰富的面向参观者演示数字广西建设成效，数字广西建设的亮点，展示壮美广西的特色元素。</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多媒体内容脚本设计及制作需以创意、多样的形式合理展现展区内容，设计内容应包括内容设计构思理念、内容平面落位说明、内容脚本设计说明、各展区展项及展示设备的说明等。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4.提供展台布展及搭建服务。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（三）现场运营支撑服务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本项目实际需求组建富有经验的现场运营团队，包括不限于现场管控负责人1人，讲解员2人，运营人员2人，负责对接好展会现场秩序保障工作，包括现场秩序、安保应急工作协调，提供具有广西特色的现场展示服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1.负责展区现场各项事宜的协调落实工作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2.负责展区现场接待讲解、内容展示工作</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3.负责展区线下的运维保障及应急响应工作。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4.负责配合完成展会宣传推广事宜。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（四）布展材料及施工要求：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 xml:space="preserve">展位策划与设计：根据大会主题，设计会场搭建方案及效果图（纸质、电子版），应急演练方案。总体图案设计、音响、灯光设备的布置，会场LED屏及拼接屏幕架子搭建、VI设计制作等； </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造型制作：根据采购方要求，专业桁架搭建，镀锌方管焊接安装支架。亚克力弧形吊楣固定安装，发光字整体挂装固定等。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地面制作：钢结构地台龙骨框架搭建，基层细木工板交错拼接，不锈钢全侧面收边强力胶背胶粘贴安装，钢结构基层，细木工板固定，装饰板面层洗防滑槽，淋油板背胶铺设，地贴等零星装饰等。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墙面制作：钢木结构漆板墙面，UV画面背胶粘贴，造型发光剪板，显示屏收边条，展台制作，展板造型框，标题立体字，中岛台，入口展墙等。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5</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钢结构支架（挡光板）：钢结构柱子等</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展台灯具及布线：灯带/导轨灯及轨道、展台整体电线，网线部署等。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场馆其他费用：网络、电箱费用、提供展会所需桌椅、饮用水、绿植、灭火器等。</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运输及安装：搭建物料运输、布展等服务。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负责本展区结构搭建工作：按照采购方确定的展区设计方案，坚持高标准高要求的原则，开展驻场施工，于峰会开幕前完成搭建工作。结构搭建工作主要包括但不限于：通过数字可视化、展墙搭建、墙饰布置、产品展示、现场软装布置、配套电源布线等方式进行展览，图文展板等科技化展示方式。</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提供高效运转的布展实施团队。本展区结构搭建服务工作须配备1名具备项目管理经验的项目经理、5名以上实施人员，实行7×24小时</w:t>
      </w:r>
      <w:r>
        <w:rPr>
          <w:rFonts w:hint="default" w:ascii="Times New Roman" w:hAnsi="Times New Roman" w:eastAsia="仿宋_GB2312" w:cs="Times New Roman"/>
          <w:color w:val="auto"/>
          <w:sz w:val="32"/>
          <w:szCs w:val="32"/>
          <w:highlight w:val="none"/>
          <w:lang w:eastAsia="zh-CN"/>
        </w:rPr>
        <w:t>立即</w:t>
      </w:r>
      <w:r>
        <w:rPr>
          <w:rFonts w:hint="default" w:ascii="Times New Roman" w:hAnsi="Times New Roman" w:eastAsia="仿宋_GB2312" w:cs="Times New Roman"/>
          <w:color w:val="auto"/>
          <w:sz w:val="32"/>
          <w:szCs w:val="32"/>
          <w:highlight w:val="none"/>
        </w:rPr>
        <w:t>响应及服务。</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（五）负责展区撤展工作：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在峰会展览结束后，按主办方要求时间内完成本展区撤展工作。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本展区撤展工作主要包括但不限于：展品的打包、展墙的拆除、展览废弃物的清运等，保证恢复展厅原状，项目实施过程中需严格遵守各项安全规章制度安全布展、安全运营、安全撤展。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六</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设备租赁服务</w:t>
      </w:r>
      <w:r>
        <w:rPr>
          <w:rFonts w:hint="default" w:ascii="Times New Roman" w:hAnsi="Times New Roman" w:eastAsia="楷体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根据布展要求，提供布展所需设备的租赁服务，包括但不限于 led屏、音响、触摸屏、液晶屏等设备及其附属线缆租赁，提供展示服务，满足展区展示的需求，供应商应具备布展所需设备及配套信息展示系统的安装、联调、测试、运维等能力，能够完成展厅的搭建和布置，保障展厅的顺利展示。</w:t>
      </w:r>
    </w:p>
    <w:p>
      <w:pPr>
        <w:pStyle w:val="2"/>
        <w:rPr>
          <w:rFonts w:hint="default" w:ascii="Times New Roman" w:hAnsi="Times New Roman" w:eastAsia="仿宋_GB2312" w:cs="Times New Roman"/>
          <w:color w:val="auto"/>
          <w:sz w:val="32"/>
          <w:szCs w:val="32"/>
          <w:highlight w:val="none"/>
          <w:lang w:val="en-US" w:eastAsia="zh-CN"/>
        </w:rPr>
      </w:pPr>
    </w:p>
    <w:p>
      <w:pPr>
        <w:rPr>
          <w:rFonts w:hint="default" w:ascii="Times New Roman" w:hAnsi="Times New Roman" w:eastAsia="仿宋_GB2312" w:cs="Times New Roman"/>
          <w:color w:val="auto"/>
          <w:sz w:val="32"/>
          <w:szCs w:val="32"/>
          <w:highlight w:val="none"/>
          <w:lang w:val="en-US" w:eastAsia="zh-CN"/>
        </w:rPr>
      </w:pPr>
    </w:p>
    <w:p>
      <w:pPr>
        <w:pStyle w:val="2"/>
        <w:rPr>
          <w:rFonts w:hint="default" w:ascii="Times New Roman" w:hAnsi="Times New Roman" w:eastAsia="仿宋_GB2312" w:cs="Times New Roman"/>
          <w:color w:val="auto"/>
          <w:sz w:val="32"/>
          <w:szCs w:val="32"/>
          <w:highlight w:val="none"/>
          <w:lang w:val="en-US" w:eastAsia="zh-CN"/>
        </w:rPr>
      </w:pPr>
    </w:p>
    <w:p>
      <w:pPr>
        <w:rPr>
          <w:rFonts w:hint="default"/>
          <w:lang w:val="en-US" w:eastAsia="zh-CN"/>
        </w:rPr>
      </w:pPr>
      <w:bookmarkStart w:id="0" w:name="_GoBack"/>
      <w:bookmarkEnd w:id="0"/>
    </w:p>
    <w:tbl>
      <w:tblPr>
        <w:tblStyle w:val="4"/>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2"/>
        <w:gridCol w:w="897"/>
        <w:gridCol w:w="538"/>
        <w:gridCol w:w="468"/>
        <w:gridCol w:w="6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技术规格要求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led屏1（室内显示屏）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平方米</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1.点间距（mm）       ≤3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2.像素点密度（点/m2）≥192X192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3.模组尺寸（mm）  ≤ 500X500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4.模组分辨率（PX*PX）≥192X192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5.视角（度）          ≥H160/V140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6.亮度（cd/m2）     800-1000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7.灰度等级（bit）   ≥14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8.刷新率（Hz）        ≥3840HZ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led屏2（室内显示屏）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平方米</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1.点间距（mm）       ≤3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2.像素点密度（点/m2）≥262X144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3.模组尺寸（mm）  ≤ 500X500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4.模组分辨率（PX*PX）≥ 256X256</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5.视角（度）          ≥H160/V160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6.亮度（cd/m2）    800-1000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7.灰度等级（bit）    ≥14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8.刷新率（Hz）     ≥3840HZ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红外线感应器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1.红外感应器 距离≥10M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LED播放处理器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1.输入源：HDMI、DVI、SDI等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2.输出支持：RJ-45等接口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3.视频输入接口包括2路SDI, 1路HDMI2.0，4路DVI；</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4.输入分辨率≥3840*2160@60Hz；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5.可根据显示屏分辨率对输入图像进行拼接、缩放；</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6.支持画中画，位置、大小可自由调节；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7.支持12bit高位阶视频输入；</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8.视频输出带载能力不少于1000万像素；长或宽不少于16000点；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9.支持多台发送器拼接级联，严格同步；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视频矩阵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1.提供自动化电子监控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2.单系统可支持≥4096路视频输入，≥512路视频输出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3.支持易扩展的高密度结构，模块化设计，支持板卡热插拔，易于安装、操作和扩展</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4.支持512条宏命令，独特的宏指令让复杂的操作简单化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笔记本电脑1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1.显示屏尺寸≥13英寸</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2.CPU：Intel 酷睿12代I5或AMD 锐龙ZEN3 R5同级别或以上的处理器，主频≥2.3GHz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3.内存：≥16G DDR4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4.硬盘：固态硬盘≥256G</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5.需配置鼠标，自带网络接口或配置转接头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网络浏览器、PPT需可正常使用，无需注册</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6.支持的扩展分辨率：≥1920 x 1200，500 尼特亮度广色域 (P3)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笔记本电脑2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1.显示屏尺寸≥13英寸</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2.CPU：Intel 酷睿12代I5或AMD 锐龙ZEN3 R5同级别或以上的处理器，主频≥2.3GHz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3.显卡：配置RTX 3060同级别或以上显卡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4.内存：≥16G DDR4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5.硬盘：固态硬盘≥256G</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6.需配置鼠标，自带网络接口或配置转接头</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网络浏览器、PPT需可正常使用，无需注册</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7.支持的扩展分辨率：≥1920 x 1200，500 尼特亮度广色域 (P3)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65寸触摸屏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1.系统：配置安卓+win10双系统</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2.内存≥8G</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3.硬盘≥256G</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4.支持多点触摸</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6.屏幕:65英寸，A规屏,采用防眩光钢化玻璃。</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7.对比度：≥5000:1。亮度≥300cd/m2，图像物理高清分辨率支持4K。</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8.多路信号源窗口预览功能:可直接点击预览窗口切换至此信号源，可对任意信号源画面进行批注；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9.采用红外触控方式，支持在Windows与Android系统中进行不低于十点触控及十点书写。</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10.书写方式：手指或笔触摸，触摸分辨率：≥32767*32767。</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11.首点响应速度≤8ms，连续点响应时间≤4ms，触摸定位精度±0.1mm。</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12.支持无线传屏，配备书写笔。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65寸液晶电视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1.屏幕尺寸：65英寸。</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2.图像参数：屏幕比例16:9，分辨率≥3840*2160，屏幕刷新率≥120Hz，水平视角±178度，垂直视角±178度。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3.音频参数：音响功率≥30W，扬声器数量≥4个，音效特点支持模拟5.1声道输出。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4.接口参数：HDMI接口数量≥2个、USB3.0接口数量≥1个,具备有线网络功能和WiFi2.4G/5G，内置蓝牙，无线协议支持DLNA、AirPlay。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75寸液晶电视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1.屏幕尺寸：75英寸。</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2.图像参数：屏幕比例16:9，分辨率≥3840*2160，屏幕刷新率≥120Hz，水平视角±178度，垂直视角±178度。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3.音频参数：音响功率≥30W，扬声器数量≥4个，音效特点支持模拟5.1声道输出。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4.接口参数：HDMI接口数量≥2个、USB3.0接口数量≥1个,具备有线网络功能和WiFi2.4G/5G，内置蓝牙，无线协议支持DLNA、AirPlay。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控制主机的时间线编辑播放器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1.配置处理器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2.硬盘≥500G</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3.内存 ≥16G</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4.显卡不低于P4000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5.非线性编辑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专业冷光灯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盏</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1.光源：LED31颗10W</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2.颜色：白光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3光源色温：3500-7000K</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4.照度≥300000LUX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电脑摇头图案效果灯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1.光源：SUL1000X</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2.移动：水平540 垂直270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3.色温：5000-7000K</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4.工作电压：AC100-240V   50~60HZ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5.耗电功率：≤200w</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6.光源≥12颗CREE 4合一，RGBW</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7.通道信号：18CH</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8.频闪：1-25Hz/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9.调光：线性调光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调光台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1.信号输出：DMX1024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2.输入电压：110-220V</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3.多编组控制</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 .操作与MA2相同，定制人性化扶手，搭配工业鼠标球。</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5.处理器≥4.20GHz，≥16GB内存，≥120G固态硬盘，不低于GTX1060同级别独立显卡。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6.可流畅运行MA3D软件和Wysiwyg3D高级渲染。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8"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专业硅箱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1.不少于36路16A输出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2.输入电压110-220v</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3.不少于每路输出 4KW 共 12 路</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4.起始回路设定 可查看每路的亮度值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5.预热值设置 风机智能控制</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6.全数字触发调光一致性好，无需任何调校，且不受时间的变化和环境的变迁而变动。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7.采用LCD 液晶屏显示，易于查看强制冷风，散热效果好，确保长时间连续稳定工作。</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8.DMX 信号接口采取光隔离，确保强电不能进入控制设备，使其安全可靠。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9.选用高效扼流圈，对音频和视频干扰极小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全频音响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1.声压级110-130分贝</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2.覆盖角度80X50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3.标称阻抗≥8欧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4.4680赫兹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5.工作频率：25Hz-140KHz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6.频率响应：28Hz-100KHz±4dB</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7.最大声压级：≥136dB@1米</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8.覆盖角：360度水平(单个箱体)随着箱体的数量和结构改变</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9.低频单元：不少于两个18"纸盘驱动器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10.功率放大器功率：≥1240瓦(620瓦/通道)</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11.自动电压选择：85-134V AC：165-264V AC；50-60Hz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12.音频输入插座：卡侬母输入和信号并接卡侬公输出或VEAM</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13.AC 插座：NEMAL6-20，IEC309，或VEAM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数字调音台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1.输入灵敏度(XLR/TRS)：-60至+10dBu / -50至+20dBu</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2.模拟增益：-10至+60dB，1 dB步进</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3.较大输入电平(XLR/TRS)：+19dBu/ +29dBu</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4.输入阻抗(XLR/TRS)：&gt;5kΩ/&gt;10 kΩ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5.总谐波失真+噪声，均一增益0dB：0.0005% -89dBu (20-20kHz,直接输出@0dBu 1kHz)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6.总谐波失真+噪声，中频增益+30dB：0.001% -83dBu (20-20kHz，直接输出@0dBu 1kHz)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7.立体声线路输入</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7.1ST1，ST2接口：平衡，1/4" TRS插座，半常态</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ST3接口：非平衡，3.5mm迷你接口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7.2输入灵敏度(ST1，ST2/ST3)：标称+4dBu/ 0dBu</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7.3增益微调：+/-24dB</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7.4较大输入电平(ST1，ST2/ST3)：+22dBu/ +18dBu</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7.5输入阻抗：&gt;7kΩ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8.输出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8.1混音1-10和LR输出：平衡，XLR</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8.2编组和矩阵输出（仅限Qu-24,32）</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8.3输出阻抗：&lt;75Ω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8.4标称输出：+4dBu=0dB电平表读数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8.5较大输出电平：+22dBu</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8.6残余输出噪声：-90dBu(静音，20-20kHz)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8.7立体声Alt输出&amp; 2Trk输出：平衡，1/4” TRS插座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9.音源(Alt输出/ 2Trk输出)：可连接/左右推子后</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9.1输出阻抗：&lt;75Ω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9.2标称输出：+4dBu=0dB电平表读数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9.3较大输出电平：+22dBu</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9.4残余输出噪声：-91dBu (静音20-20kHz)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10.AES数字输出：2通道，48kHz采样率，XLR输出2.5Vpp 平衡终端110Ω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音频处理器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1.处理器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运行速度不低于528MHZ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2.有两个输入通道和三个输出，左右和合并的低频讯号。 音频输入：立体声输入，电子平衡方式，不少于36k Ohms两个XLR-3F接口 检测输入：不少于3个功放检测输入，6针可拔出排线端子 音频输出：不少于2个LR音频输出 电平衡，不少于1路SUB输出 体 输出平衡：20dBm最大值在1K Ohm时+19dBm 失真度和噪声：＜0.03% 电力供应 ：110/220V，50/60Hz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3.有两个输入通道和三个输出，左右和合并的低频讯号。 音频输入：立体声输入，电子平衡方式，不少于36k Ohms两个XLR-3F接口 检测输入：不少于3个功放检测输入，6针可拔出排线端子 音频输出：不少于2个LR音频输出 电平衡，1路SUB输出 输出平衡：20dBm最大值在1K Ohm时+19dBm 失真度和噪声：＜0.03% 电力供应 ：110/220V，50/60Hz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功率放大器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1.不少于4通道输出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2.单路功率≥500W</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3.液晶数字显示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4.功率:2x1050W8Ω功率放大器：输出功率≥2500瓦。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5.削波限制器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6.输入滤波器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7.通过使功放和扬声器频带范围的匹配提高系统的响应能力.防止扬声器低频段音质混浊不清。每个声道单独可调: 采用最小型的全频带扬声器不低于50Hz;采用次低音扬声器和大型全频带系统不低于30Hz；采用录音棚监听时关闭。</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8.技术参数:</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9.≥1100/8Ω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10.≥1800/4Ω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11.≥2500/2Ω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12.≥5000/桥接4Ω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均衡器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1.控制功率均衡输出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2.频响范围：20Hz～20KHz 0.5dB@+4dB, 600Ω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3.全谐波失真：小于0.05%(全谐波失真+噪声)，20Hz～20KHz 600Ω均衡器处于平直状态</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4.哼声和噪声(平均阻抗：600Ω，BPF：20Hz～20KHz)：-96dB均衡器曲线平直(0dB)，输入电平大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5.均衡控制：31段，1/3倍频程</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6.高空滤波器：12dB/倍频程(20～200Hz～30dB点)</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7.峰值显示器(LED显示)：每个通道上当后置均衡信号电平距峰值剥波差3dB时，红色LED显示灯亮</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8.信号显示器(LED显示)：每个通道上当后置均衡信号低于正常电平13dB时，绿色LED显示灯亮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专业压限器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1.限制声压级过高</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2.防止损坏设备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3.平直度5Hz-40kHz，＋0，-0.5dB</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4.带宽0.35-170kHz，＋0，-3dB</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5.输入</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6.阻抗100kΩ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7.（平衡，不平衡）最大电平：＋20dBu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配电柜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0" w:type="auto"/>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组</w:t>
            </w:r>
          </w:p>
        </w:tc>
        <w:tc>
          <w:tcPr>
            <w:tcW w:w="0" w:type="auto"/>
            <w:tcBorders>
              <w:top w:val="single" w:color="auto"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不少于24路16A输出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进电380V转220V</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漏电保护开关</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1额定电压（V） 380/220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 额定频率（Hz） 50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 额定电流（A）</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（1）主母线 4000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（2）分支母线 800,500等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（3）备用段 4000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 技术要求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4.1 类型： 金属封闭，中置式</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4.2额定电压： 12kV</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4.3额定频率： 50Hz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4.4母线热稳定电流： 31.5kA （有效值，4s）</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4.5母线动稳定电流： 80kA （峰值）</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4.6防护等级不低于：</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－外壳 IP4X</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－内部 IP3X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分屏器</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1.多屏幕显示</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2.画中画</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3.不低于4路输入 4K输出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0" w:type="auto"/>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发送盒</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0" w:type="auto"/>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w:t>
            </w:r>
          </w:p>
        </w:tc>
        <w:tc>
          <w:tcPr>
            <w:tcW w:w="0" w:type="auto"/>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1.发送信号到接收卡</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2.带载≥230万像素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3.输入分辨率：1920×1200,2048×1152,2560×960（宽度和高度支持客户专门定义）</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4.容量：≥230万像素。</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5.供电电压：AC-100-240V-50 / 60HZ</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6.视频接口：HDMI / DVI</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7.音频接口：HDMI / 3.5mm</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8.Viedo格式：RGB，YCrCb4：2：2，YCrCb4：4：4</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9.输出接口：支持以太网端口</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10.视频资源的比特深度：8/10 / 12比特</w:t>
            </w:r>
          </w:p>
        </w:tc>
      </w:tr>
    </w:tbl>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供应商应提供有效合理的应急保障、设备运行保障、风火水电保障以及网络保障方案，现场提供展区现场基础设施的有效运行，保障现场设备展示正常运行。</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实施及现场保障服务要求包括但不限于：</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1.项目建设服务：包括租赁的设备和物料的进展、布展、安装、调试、取电、防雷工程等，含实施辅材。实施过程中需严格遵守各项安全规章制度安全布展、安全运营、安全进场。</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2.项目保障服务：第</w:t>
      </w:r>
      <w:r>
        <w:rPr>
          <w:rFonts w:hint="default" w:ascii="Times New Roman" w:hAnsi="Times New Roman" w:eastAsia="仿宋_GB2312" w:cs="Times New Roman"/>
          <w:kern w:val="0"/>
          <w:sz w:val="32"/>
          <w:szCs w:val="32"/>
          <w:lang w:eastAsia="zh-CN"/>
        </w:rPr>
        <w:t>八</w:t>
      </w:r>
      <w:r>
        <w:rPr>
          <w:rFonts w:hint="default" w:ascii="Times New Roman" w:hAnsi="Times New Roman" w:eastAsia="仿宋_GB2312" w:cs="Times New Roman"/>
          <w:kern w:val="0"/>
          <w:sz w:val="32"/>
          <w:szCs w:val="32"/>
        </w:rPr>
        <w:t>届数字政府建设峰会期间配备2人以上运维人员，保障现场运维工作。</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项目撤展服务：租赁的设备和物料撤展及服务工作，主要包括但不限于：设备及物料的拆除、打包、废弃物的清运、运输、恢复展区原状等，含实施辅材。实施过程中需严格遵守各项安全规章制度安全撤展、安全运营、安全撤场。</w:t>
      </w:r>
    </w:p>
    <w:p>
      <w:pPr>
        <w:widowControl w:val="0"/>
        <w:adjustRightInd/>
        <w:snapToGrid/>
        <w:spacing w:line="540" w:lineRule="exact"/>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、交付要求</w:t>
      </w:r>
    </w:p>
    <w:p>
      <w:pPr>
        <w:widowControl w:val="0"/>
        <w:adjustRightInd/>
        <w:snapToGrid/>
        <w:spacing w:line="540" w:lineRule="exact"/>
        <w:ind w:firstLine="640"/>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一</w:t>
      </w: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rPr>
        <w:t>设计交付要求</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供应商须在合同签订生效后5日内给出设计初稿，供应商须在设计终稿完成前确保设计人员可按采购方需求进行现场支撑服务，并于合同签订生效后10日内完成设计终稿，并提供采购方审核。</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所有展示内容至少在展览展期提前</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天完成多媒体内容的上屏测试等，并经采购方确认，供应商有义务配合采购方进行方案调整，直至采购方满意为止。</w:t>
      </w:r>
    </w:p>
    <w:p>
      <w:pPr>
        <w:widowControl w:val="0"/>
        <w:adjustRightInd/>
        <w:snapToGrid/>
        <w:spacing w:line="540" w:lineRule="exact"/>
        <w:ind w:firstLine="640"/>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w:t>
      </w:r>
      <w:r>
        <w:rPr>
          <w:rFonts w:hint="default" w:ascii="Times New Roman" w:hAnsi="Times New Roman" w:eastAsia="楷体" w:cs="Times New Roman"/>
          <w:color w:val="auto"/>
          <w:sz w:val="32"/>
          <w:szCs w:val="32"/>
          <w:highlight w:val="none"/>
          <w:lang w:val="en-US" w:eastAsia="zh-CN"/>
        </w:rPr>
        <w:t>二</w:t>
      </w:r>
      <w:r>
        <w:rPr>
          <w:rFonts w:hint="default" w:ascii="Times New Roman" w:hAnsi="Times New Roman" w:eastAsia="楷体" w:cs="Times New Roman"/>
          <w:color w:val="auto"/>
          <w:sz w:val="32"/>
          <w:szCs w:val="32"/>
          <w:highlight w:val="none"/>
          <w:lang w:eastAsia="zh-CN"/>
        </w:rPr>
        <w:t>）最终成果交付</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供应商应于采购人规定的时间前完成展厅的布展和运营等工作并满足所有可展览条件，峰会期间按要求提供峰会服务保障。</w:t>
      </w:r>
    </w:p>
    <w:p>
      <w:pPr>
        <w:widowControl w:val="0"/>
        <w:adjustRightInd/>
        <w:snapToGrid/>
        <w:spacing w:line="540" w:lineRule="exact"/>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、响应文件要求</w:t>
      </w:r>
    </w:p>
    <w:p>
      <w:pPr>
        <w:widowControl w:val="0"/>
        <w:adjustRightInd/>
        <w:snapToGrid/>
        <w:spacing w:line="540" w:lineRule="exact"/>
        <w:ind w:firstLine="6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（一）布展方案</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按照采购文件技术要求，在响应文件中提供详细的展厅布展设计、展台多媒体内容、展台搭建等整体规划设计的布展方案、展区内容展示方案。</w:t>
      </w:r>
    </w:p>
    <w:p>
      <w:pPr>
        <w:widowControl w:val="0"/>
        <w:adjustRightInd/>
        <w:snapToGrid/>
        <w:spacing w:line="540" w:lineRule="exact"/>
        <w:ind w:firstLine="6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（二）现场运营服务方案</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按照采购文件技术要求，在响应文件中提供详细的现场运营服务方案。</w:t>
      </w:r>
    </w:p>
    <w:p>
      <w:pPr>
        <w:widowControl w:val="0"/>
        <w:adjustRightInd/>
        <w:snapToGrid/>
        <w:spacing w:line="540" w:lineRule="exact"/>
        <w:ind w:firstLine="6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（三）项目组织实施方案，含应急演练预案</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提供项目实施计划，根据采购文件的要求编制项目实施周期规划，并明确标识控制项目进度的关键里程碑，应急演练预案等。</w:t>
      </w:r>
    </w:p>
    <w:p>
      <w:pPr>
        <w:widowControl w:val="0"/>
        <w:adjustRightInd/>
        <w:snapToGrid/>
        <w:spacing w:line="540" w:lineRule="exact"/>
        <w:ind w:firstLine="6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（四）团队支撑方案</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供应商需提供实现上述展示方案的具体团队支撑方案，确保展示内容设计方案及现场运营方案等相关方案的实施可行性，具体要求如下：</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1.项目总负责人</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供应商根据本项目实际需求指派1名项目总负责人与采购方对接，以确保项目工作的顺利开展。</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2.布展实施团队</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根据本项目实际需求组建富有经验的布展实施团队，1名具备项目管理经验的项目经理、5名以上实施人员，实行7×24小时</w:t>
      </w:r>
      <w:r>
        <w:rPr>
          <w:rFonts w:hint="default" w:ascii="Times New Roman" w:hAnsi="Times New Roman" w:eastAsia="仿宋_GB2312" w:cs="Times New Roman"/>
          <w:kern w:val="0"/>
          <w:sz w:val="32"/>
          <w:szCs w:val="32"/>
          <w:lang w:eastAsia="zh-CN"/>
        </w:rPr>
        <w:t>立即</w:t>
      </w:r>
      <w:r>
        <w:rPr>
          <w:rFonts w:hint="default" w:ascii="Times New Roman" w:hAnsi="Times New Roman" w:eastAsia="仿宋_GB2312" w:cs="Times New Roman"/>
          <w:kern w:val="0"/>
          <w:sz w:val="32"/>
          <w:szCs w:val="32"/>
        </w:rPr>
        <w:t>响应及服务。</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3.现场运营团队</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根据本项目实际需求组建富有经验的现场运营团队，包括不限于现场管控负责人1人，讲解员2人，运营人员2人，对接好展会现场秩序保障工作，包括现场秩序、安保应急工作协调等。</w:t>
      </w:r>
    </w:p>
    <w:p>
      <w:pPr>
        <w:widowControl w:val="0"/>
        <w:adjustRightInd/>
        <w:snapToGrid/>
        <w:spacing w:line="540" w:lineRule="exact"/>
        <w:ind w:firstLine="6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（五）承诺书</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供应商需在响应文件中出具以下承诺书：</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（1）承诺提供7×24小时支撑服务，按采购方要求持续优化多媒体内容设计方案及相关工作。</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（2）承诺中标后提供不少于响应文件中所列的相关人员进行服务。</w:t>
      </w:r>
    </w:p>
    <w:p>
      <w:pPr>
        <w:widowControl w:val="0"/>
        <w:adjustRightInd/>
        <w:snapToGrid/>
        <w:spacing w:line="540" w:lineRule="exact"/>
        <w:ind w:firstLine="6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（六）其他</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（1）展会前，供应商委派不少于2名工作人员按照采购方要求开展驻场组织工作，并服从采购方现场负责人的工作安排；</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（2）对接好展会现场秩序保障工作，包括现场秩序、安保应急工作协调等；</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（3）负责完成采购方交办的其他工作。</w:t>
      </w:r>
    </w:p>
    <w:p>
      <w:pPr>
        <w:widowControl w:val="0"/>
        <w:adjustRightInd/>
        <w:snapToGrid/>
        <w:spacing w:line="540" w:lineRule="exact"/>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、交付和验收</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.成交供应商应对提交的服务成果作出全面检查和整理，并列出清单，作为采购方验收和使用的条件依据，清单应随提交的服务成果交给采购方。</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 .成交供应商在指定地点提交服务成果后，采购方应在五个工作日内依据采购文件、成交供应商的报价文件等组织验收，验收完毕后作出书面验收报告。验收时采购方必须在现场。</w:t>
      </w:r>
    </w:p>
    <w:p>
      <w:pPr>
        <w:spacing w:line="54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 .对复杂的服务，采购方可请国家认可的专业机构参与验收，并由其出具验收报告，相关费用由采购方承担。</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、付款条件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bidi="ar-SA"/>
        </w:rPr>
        <w:t>（1）合同签订后十个工作日内由采购人支付成交供应商合同总金额的</w:t>
      </w:r>
      <w:r>
        <w:rPr>
          <w:rFonts w:hint="default" w:ascii="Times New Roman" w:hAnsi="Times New Roman" w:cs="Times New Roman"/>
          <w:color w:val="auto"/>
          <w:sz w:val="32"/>
          <w:szCs w:val="32"/>
          <w:highlight w:val="none"/>
          <w:lang w:val="en-US" w:eastAsia="zh-CN" w:bidi="ar-SA"/>
        </w:rPr>
        <w:t>4</w:t>
      </w:r>
      <w:r>
        <w:rPr>
          <w:rFonts w:hint="default" w:ascii="Times New Roman" w:hAnsi="Times New Roman" w:eastAsia="仿宋_GB2312" w:cs="Times New Roman"/>
          <w:color w:val="auto"/>
          <w:sz w:val="32"/>
          <w:szCs w:val="32"/>
          <w:highlight w:val="none"/>
          <w:lang w:val="en-US" w:eastAsia="zh-CN" w:bidi="ar-SA"/>
        </w:rPr>
        <w:t>0%</w:t>
      </w:r>
      <w:r>
        <w:rPr>
          <w:rFonts w:hint="default" w:ascii="Times New Roman" w:hAnsi="Times New Roman" w:cs="Times New Roman"/>
          <w:color w:val="auto"/>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color w:val="auto"/>
          <w:sz w:val="32"/>
          <w:szCs w:val="32"/>
          <w:highlight w:val="none"/>
          <w:lang w:val="en-US" w:eastAsia="zh-CN" w:bidi="ar-SA"/>
        </w:rPr>
        <w:t>（2）供应商按要求完成采购需求后，经采购人组织专家验收合格后十个工作日内，由甲方向乙方支付剩余合同金</w:t>
      </w:r>
      <w:r>
        <w:rPr>
          <w:rFonts w:hint="default" w:ascii="Times New Roman" w:hAnsi="Times New Roman" w:eastAsia="仿宋_GB2312" w:cs="Times New Roman"/>
          <w:kern w:val="0"/>
          <w:sz w:val="32"/>
          <w:szCs w:val="32"/>
          <w:lang w:val="en-US" w:eastAsia="zh-CN"/>
        </w:rPr>
        <w:t>额（即60%）。</w:t>
      </w:r>
    </w:p>
    <w:p>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bidi="ar-SA"/>
        </w:rPr>
        <w:t>（3）每次付款前，成交供应商需提供发票和请款函。</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黑体" w:cs="Times New Roman"/>
          <w:color w:val="auto"/>
          <w:kern w:val="2"/>
          <w:highlight w:val="none"/>
        </w:rPr>
      </w:pPr>
      <w:r>
        <w:rPr>
          <w:rFonts w:hint="default" w:ascii="Times New Roman" w:hAnsi="Times New Roman" w:eastAsia="方正小标宋简体" w:cs="Times New Roman"/>
          <w:color w:val="auto"/>
          <w:kern w:val="2"/>
          <w:sz w:val="36"/>
          <w:szCs w:val="36"/>
          <w:highlight w:val="none"/>
          <w:lang w:val="en-US" w:eastAsia="zh-CN"/>
        </w:rPr>
        <w:t xml:space="preserve">第二部分  </w:t>
      </w:r>
      <w:r>
        <w:rPr>
          <w:rFonts w:hint="default" w:ascii="Times New Roman" w:hAnsi="Times New Roman" w:eastAsia="方正小标宋简体" w:cs="Times New Roman"/>
          <w:color w:val="auto"/>
          <w:kern w:val="2"/>
          <w:sz w:val="36"/>
          <w:szCs w:val="36"/>
          <w:highlight w:val="none"/>
        </w:rPr>
        <w:t>采购评分标准</w:t>
      </w:r>
      <w:r>
        <w:rPr>
          <w:rFonts w:hint="default" w:ascii="Times New Roman" w:hAnsi="Times New Roman" w:cs="Times New Roman"/>
          <w:color w:val="auto"/>
          <w:highlight w:val="none"/>
        </w:rPr>
        <w:br w:type="textWrapping"/>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一、评审原则</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一</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评审小组构成：本项目的评审小组由采购人单位采购小组成员组成，成员人数为三人以上（含三人）单数。</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评审依据：评审小组将以采购文件和响应文件为评定依据进行评审。</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三</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评审办法：采用百分制综合评分法。</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二、评审方法</w:t>
      </w:r>
    </w:p>
    <w:p>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评审小组会对报价人的响应文件资格性和符合性进行检查，对合格的响应文件，采用百分制综合评分法进行评审。评审小组将以采购文件、响应文件为评审依据，提出最后总得分最高的报价人作为成交人</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br w:type="textWrapping"/>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rPr>
        <w:t>三、评分标准</w:t>
      </w:r>
    </w:p>
    <w:tbl>
      <w:tblPr>
        <w:tblStyle w:val="4"/>
        <w:tblW w:w="4996" w:type="pct"/>
        <w:tblInd w:w="0" w:type="dxa"/>
        <w:tblLayout w:type="fixed"/>
        <w:tblCellMar>
          <w:top w:w="0" w:type="dxa"/>
          <w:left w:w="108" w:type="dxa"/>
          <w:bottom w:w="0" w:type="dxa"/>
          <w:right w:w="108" w:type="dxa"/>
        </w:tblCellMar>
      </w:tblPr>
      <w:tblGrid>
        <w:gridCol w:w="594"/>
        <w:gridCol w:w="686"/>
        <w:gridCol w:w="7171"/>
        <w:gridCol w:w="602"/>
      </w:tblGrid>
      <w:tr>
        <w:tblPrEx>
          <w:tblCellMar>
            <w:top w:w="0" w:type="dxa"/>
            <w:left w:w="108" w:type="dxa"/>
            <w:bottom w:w="0" w:type="dxa"/>
            <w:right w:w="108" w:type="dxa"/>
          </w:tblCellMar>
        </w:tblPrEx>
        <w:trPr>
          <w:trHeight w:val="371" w:hRule="atLeast"/>
        </w:trPr>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480" w:lineRule="exact"/>
              <w:ind w:firstLine="0" w:firstLineChars="0"/>
              <w:jc w:val="center"/>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rPr>
              <w:t>序号</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480" w:lineRule="exact"/>
              <w:ind w:firstLine="0" w:firstLineChars="0"/>
              <w:jc w:val="center"/>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rPr>
              <w:t>类别</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480" w:lineRule="exact"/>
              <w:ind w:firstLine="0" w:firstLineChars="0"/>
              <w:jc w:val="center"/>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color w:val="auto"/>
                <w:kern w:val="2"/>
                <w:sz w:val="24"/>
                <w:szCs w:val="24"/>
                <w:highlight w:val="none"/>
              </w:rPr>
              <w:t>评分标准</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480" w:lineRule="exact"/>
              <w:ind w:firstLine="0" w:firstLineChars="0"/>
              <w:jc w:val="center"/>
              <w:rPr>
                <w:rFonts w:hint="default" w:ascii="Times New Roman" w:hAnsi="Times New Roman" w:eastAsia="宋体" w:cs="Times New Roman"/>
                <w:b/>
                <w:bCs/>
                <w:color w:val="auto"/>
                <w:sz w:val="24"/>
                <w:szCs w:val="24"/>
                <w:highlight w:val="none"/>
                <w:lang w:bidi="ar"/>
              </w:rPr>
            </w:pPr>
            <w:r>
              <w:rPr>
                <w:rFonts w:hint="default" w:ascii="Times New Roman" w:hAnsi="Times New Roman" w:eastAsia="宋体" w:cs="Times New Roman"/>
                <w:b/>
                <w:bCs/>
                <w:color w:val="auto"/>
                <w:sz w:val="24"/>
                <w:szCs w:val="24"/>
                <w:highlight w:val="none"/>
              </w:rPr>
              <w:t>分值</w:t>
            </w:r>
          </w:p>
        </w:tc>
      </w:tr>
      <w:tr>
        <w:tblPrEx>
          <w:tblCellMar>
            <w:top w:w="0" w:type="dxa"/>
            <w:left w:w="108" w:type="dxa"/>
            <w:bottom w:w="0" w:type="dxa"/>
            <w:right w:w="108" w:type="dxa"/>
          </w:tblCellMar>
        </w:tblPrEx>
        <w:trPr>
          <w:trHeight w:val="371" w:hRule="atLeast"/>
        </w:trPr>
        <w:tc>
          <w:tcPr>
            <w:tcW w:w="597"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1</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spacing w:line="400" w:lineRule="exact"/>
              <w:ind w:firstLine="0" w:firstLineChars="0"/>
              <w:jc w:val="center"/>
              <w:textAlignment w:val="baseline"/>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价格部分</w:t>
            </w:r>
          </w:p>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color w:val="auto"/>
                <w:kern w:val="2"/>
                <w:sz w:val="21"/>
                <w:szCs w:val="21"/>
                <w:highlight w:val="none"/>
              </w:rPr>
              <w:t>（</w:t>
            </w:r>
            <w:r>
              <w:rPr>
                <w:rFonts w:hint="default" w:ascii="Times New Roman" w:hAnsi="Times New Roman" w:eastAsia="宋体" w:cs="Times New Roman"/>
                <w:b/>
                <w:bCs/>
                <w:color w:val="auto"/>
                <w:kern w:val="2"/>
                <w:sz w:val="21"/>
                <w:szCs w:val="21"/>
                <w:highlight w:val="none"/>
              </w:rPr>
              <w:t>满分</w:t>
            </w:r>
            <w:r>
              <w:rPr>
                <w:rFonts w:hint="default" w:ascii="Times New Roman" w:hAnsi="Times New Roman" w:eastAsia="宋体" w:cs="Times New Roman"/>
                <w:b/>
                <w:color w:val="auto"/>
                <w:kern w:val="2"/>
                <w:sz w:val="21"/>
                <w:szCs w:val="21"/>
                <w:highlight w:val="none"/>
                <w:lang w:val="en-US" w:eastAsia="zh-CN"/>
              </w:rPr>
              <w:t>30</w:t>
            </w:r>
            <w:r>
              <w:rPr>
                <w:rFonts w:hint="default" w:ascii="Times New Roman" w:hAnsi="Times New Roman" w:eastAsia="宋体" w:cs="Times New Roman"/>
                <w:b/>
                <w:color w:val="auto"/>
                <w:kern w:val="2"/>
                <w:sz w:val="21"/>
                <w:szCs w:val="21"/>
                <w:highlight w:val="none"/>
              </w:rPr>
              <w:t>分）</w:t>
            </w:r>
          </w:p>
        </w:tc>
        <w:tc>
          <w:tcPr>
            <w:tcW w:w="7275" w:type="dxa"/>
            <w:tcBorders>
              <w:top w:val="single" w:color="000000" w:sz="4" w:space="0"/>
              <w:left w:val="single" w:color="000000" w:sz="4" w:space="0"/>
              <w:bottom w:val="single" w:color="000000" w:sz="4" w:space="0"/>
              <w:right w:val="single" w:color="000000" w:sz="4" w:space="0"/>
            </w:tcBorders>
            <w:noWrap w:val="0"/>
            <w:vAlign w:val="top"/>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（1）评标价为投标人的投标报价进行政策性扣除后的价格，评标价只是作为评标时使用。最终中标供应商的中标金额＝投标报价。</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按照《政府采购促进中小企业发展管理办法》（财库〔2020〕46号）《广西壮族自治区财政厅关于贯彻落实政府采购支持中小企业发展政策的通知》（桂财采〔2022〕31号）的规定，投标人在其投标文件中提供《中小企业声明函》，且其所投标产品全部为小型或者微型企业产品的，对其最后报价给予20%的扣除。</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（5）政策性扣除计算方法。</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在货物采购项目中，供应商所投标全部货物由小型或者微型企业制造；在工程采购项目中，工程由小微企业承建；在服务采购项目中，服务由小微企业承接。对符合上述要求的投标人的投标报价给予20%的扣除，扣除后的价格为评标报价，即评标报价=投标报价×20%。除上述情况外，评标报价=投标报价。</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（6）以进入综合评分环节的最低的评标报价为基准价，基准价报价得分为</w:t>
            </w:r>
            <w:r>
              <w:rPr>
                <w:rFonts w:hint="default" w:ascii="Times New Roman" w:hAnsi="Times New Roman" w:eastAsia="宋体" w:cs="Times New Roman"/>
                <w:color w:val="auto"/>
                <w:sz w:val="21"/>
                <w:szCs w:val="21"/>
                <w:highlight w:val="none"/>
                <w:lang w:val="en-US" w:eastAsia="zh-CN" w:bidi="ar"/>
              </w:rPr>
              <w:t>30</w:t>
            </w:r>
            <w:r>
              <w:rPr>
                <w:rFonts w:hint="default" w:ascii="Times New Roman" w:hAnsi="Times New Roman" w:eastAsia="宋体" w:cs="Times New Roman"/>
                <w:color w:val="auto"/>
                <w:sz w:val="21"/>
                <w:szCs w:val="21"/>
                <w:highlight w:val="none"/>
                <w:lang w:bidi="ar"/>
              </w:rPr>
              <w:t>分。</w:t>
            </w:r>
          </w:p>
          <w:p>
            <w:pPr>
              <w:adjustRightInd/>
              <w:snapToGrid/>
              <w:spacing w:line="400" w:lineRule="exact"/>
              <w:ind w:firstLine="0" w:firstLineChars="0"/>
              <w:jc w:val="left"/>
              <w:textAlignment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sz w:val="21"/>
                <w:szCs w:val="21"/>
                <w:highlight w:val="none"/>
                <w:lang w:bidi="ar"/>
              </w:rPr>
              <w:t>（7）价格分计算公式：某投标人价格分=基准价/某投标人评标报价金额×</w:t>
            </w:r>
            <w:r>
              <w:rPr>
                <w:rFonts w:hint="default" w:ascii="Times New Roman" w:hAnsi="Times New Roman" w:eastAsia="宋体" w:cs="Times New Roman"/>
                <w:color w:val="auto"/>
                <w:sz w:val="21"/>
                <w:szCs w:val="21"/>
                <w:highlight w:val="none"/>
                <w:lang w:val="en-US" w:eastAsia="zh-CN" w:bidi="ar"/>
              </w:rPr>
              <w:t>30</w:t>
            </w:r>
            <w:r>
              <w:rPr>
                <w:rFonts w:hint="default" w:ascii="Times New Roman" w:hAnsi="Times New Roman" w:eastAsia="宋体" w:cs="Times New Roman"/>
                <w:color w:val="auto"/>
                <w:sz w:val="21"/>
                <w:szCs w:val="21"/>
                <w:highlight w:val="none"/>
                <w:lang w:bidi="ar"/>
              </w:rPr>
              <w:t>分</w:t>
            </w:r>
          </w:p>
        </w:tc>
        <w:tc>
          <w:tcPr>
            <w:tcW w:w="605"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400" w:lineRule="exact"/>
              <w:ind w:firstLine="0" w:firstLineChars="0"/>
              <w:jc w:val="center"/>
              <w:textAlignment w:val="top"/>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val="en-US" w:eastAsia="zh-CN" w:bidi="ar"/>
              </w:rPr>
              <w:t>30</w:t>
            </w:r>
            <w:r>
              <w:rPr>
                <w:rFonts w:hint="default" w:ascii="Times New Roman" w:hAnsi="Times New Roman" w:eastAsia="宋体" w:cs="Times New Roman"/>
                <w:b/>
                <w:color w:val="auto"/>
                <w:kern w:val="2"/>
                <w:sz w:val="21"/>
                <w:szCs w:val="21"/>
                <w:highlight w:val="none"/>
              </w:rPr>
              <w:t>分</w:t>
            </w:r>
          </w:p>
        </w:tc>
      </w:tr>
      <w:tr>
        <w:tblPrEx>
          <w:tblCellMar>
            <w:top w:w="0" w:type="dxa"/>
            <w:left w:w="108" w:type="dxa"/>
            <w:bottom w:w="0" w:type="dxa"/>
            <w:right w:w="108" w:type="dxa"/>
          </w:tblCellMar>
        </w:tblPrEx>
        <w:trPr>
          <w:trHeight w:val="395" w:hRule="atLeast"/>
        </w:trPr>
        <w:tc>
          <w:tcPr>
            <w:tcW w:w="597" w:type="dxa"/>
            <w:tcBorders>
              <w:top w:val="single" w:color="000000" w:sz="4" w:space="0"/>
              <w:left w:val="single" w:color="000000" w:sz="4" w:space="0"/>
              <w:bottom w:val="single" w:color="auto" w:sz="4" w:space="0"/>
              <w:right w:val="single" w:color="000000" w:sz="4" w:space="0"/>
            </w:tcBorders>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2</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sz w:val="21"/>
                <w:szCs w:val="21"/>
                <w:highlight w:val="none"/>
                <w:lang w:bidi="ar"/>
              </w:rPr>
              <w:t>技术部分</w:t>
            </w:r>
          </w:p>
        </w:tc>
        <w:tc>
          <w:tcPr>
            <w:tcW w:w="788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snapToGrid/>
              <w:spacing w:line="400" w:lineRule="exact"/>
              <w:ind w:firstLine="0" w:firstLineChars="0"/>
              <w:jc w:val="center"/>
              <w:textAlignment w:val="top"/>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color w:val="auto"/>
                <w:kern w:val="2"/>
                <w:sz w:val="21"/>
                <w:szCs w:val="21"/>
                <w:highlight w:val="none"/>
              </w:rPr>
              <w:t>评分标准</w:t>
            </w:r>
          </w:p>
        </w:tc>
      </w:tr>
      <w:tr>
        <w:tblPrEx>
          <w:tblCellMar>
            <w:top w:w="0" w:type="dxa"/>
            <w:left w:w="108" w:type="dxa"/>
            <w:bottom w:w="0" w:type="dxa"/>
            <w:right w:w="108" w:type="dxa"/>
          </w:tblCellMar>
        </w:tblPrEx>
        <w:trPr>
          <w:trHeight w:val="1213" w:hRule="atLeast"/>
        </w:trPr>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2.1</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布展方案（满分</w:t>
            </w:r>
            <w:r>
              <w:rPr>
                <w:rFonts w:hint="default" w:ascii="Times New Roman" w:hAnsi="Times New Roman" w:eastAsia="宋体" w:cs="Times New Roman"/>
                <w:b/>
                <w:color w:val="auto"/>
                <w:kern w:val="2"/>
                <w:sz w:val="21"/>
                <w:szCs w:val="21"/>
                <w:highlight w:val="none"/>
                <w:lang w:val="en-US" w:eastAsia="zh-CN"/>
              </w:rPr>
              <w:t>18</w:t>
            </w:r>
            <w:r>
              <w:rPr>
                <w:rFonts w:hint="default" w:ascii="Times New Roman" w:hAnsi="Times New Roman" w:eastAsia="宋体" w:cs="Times New Roman"/>
                <w:b/>
                <w:color w:val="auto"/>
                <w:kern w:val="2"/>
                <w:sz w:val="21"/>
                <w:szCs w:val="21"/>
                <w:highlight w:val="none"/>
              </w:rPr>
              <w:t>分）</w:t>
            </w: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一档（</w:t>
            </w:r>
            <w:r>
              <w:rPr>
                <w:rFonts w:hint="default" w:ascii="Times New Roman" w:hAnsi="Times New Roman" w:eastAsia="宋体" w:cs="Times New Roman"/>
                <w:color w:val="auto"/>
                <w:sz w:val="21"/>
                <w:szCs w:val="21"/>
                <w:highlight w:val="none"/>
                <w:lang w:val="en-US" w:eastAsia="zh-CN" w:bidi="ar"/>
              </w:rPr>
              <w:t>6</w:t>
            </w:r>
            <w:r>
              <w:rPr>
                <w:rFonts w:hint="default" w:ascii="Times New Roman" w:hAnsi="Times New Roman" w:eastAsia="宋体" w:cs="Times New Roman"/>
                <w:color w:val="auto"/>
                <w:sz w:val="21"/>
                <w:szCs w:val="21"/>
                <w:highlight w:val="none"/>
                <w:lang w:bidi="ar"/>
              </w:rPr>
              <w:t>分）：整体布展活动流程及创意设计方案简单，方案重点内容不突出，对项目需求分析不全面，但可行性不高，不能充分满足项目要求；</w:t>
            </w:r>
          </w:p>
        </w:tc>
        <w:tc>
          <w:tcPr>
            <w:tcW w:w="605" w:type="dxa"/>
            <w:vMerge w:val="restart"/>
            <w:tcBorders>
              <w:top w:val="single" w:color="000000" w:sz="4" w:space="0"/>
              <w:left w:val="single" w:color="auto" w:sz="4" w:space="0"/>
              <w:right w:val="single" w:color="000000" w:sz="4" w:space="0"/>
            </w:tcBorders>
            <w:noWrap/>
            <w:vAlign w:val="center"/>
          </w:tcPr>
          <w:p>
            <w:pPr>
              <w:adjustRightInd/>
              <w:snapToGrid/>
              <w:spacing w:line="400" w:lineRule="exact"/>
              <w:ind w:firstLine="0" w:firstLineChars="0"/>
              <w:jc w:val="center"/>
              <w:textAlignment w:val="center"/>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b/>
                <w:bCs/>
                <w:color w:val="auto"/>
                <w:sz w:val="21"/>
                <w:szCs w:val="21"/>
                <w:highlight w:val="none"/>
                <w:lang w:val="en-US" w:eastAsia="zh-CN" w:bidi="ar"/>
              </w:rPr>
              <w:t>18</w:t>
            </w:r>
            <w:r>
              <w:rPr>
                <w:rFonts w:hint="default" w:ascii="Times New Roman" w:hAnsi="Times New Roman" w:eastAsia="宋体" w:cs="Times New Roman"/>
                <w:b/>
                <w:bCs/>
                <w:color w:val="auto"/>
                <w:sz w:val="21"/>
                <w:szCs w:val="21"/>
                <w:highlight w:val="none"/>
                <w:lang w:bidi="ar"/>
              </w:rPr>
              <w:t>分</w:t>
            </w:r>
          </w:p>
        </w:tc>
      </w:tr>
      <w:tr>
        <w:tblPrEx>
          <w:tblCellMar>
            <w:top w:w="0" w:type="dxa"/>
            <w:left w:w="108" w:type="dxa"/>
            <w:bottom w:w="0" w:type="dxa"/>
            <w:right w:w="108" w:type="dxa"/>
          </w:tblCellMar>
        </w:tblPrEx>
        <w:trPr>
          <w:trHeight w:val="1578" w:hRule="atLeast"/>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二档（1</w:t>
            </w:r>
            <w:r>
              <w:rPr>
                <w:rFonts w:hint="default" w:ascii="Times New Roman" w:hAnsi="Times New Roman" w:eastAsia="宋体" w:cs="Times New Roman"/>
                <w:color w:val="auto"/>
                <w:sz w:val="21"/>
                <w:szCs w:val="21"/>
                <w:highlight w:val="none"/>
                <w:lang w:val="en-US" w:eastAsia="zh-CN" w:bidi="ar"/>
              </w:rPr>
              <w:t>2</w:t>
            </w:r>
            <w:r>
              <w:rPr>
                <w:rFonts w:hint="default" w:ascii="Times New Roman" w:hAnsi="Times New Roman" w:eastAsia="宋体" w:cs="Times New Roman"/>
                <w:color w:val="auto"/>
                <w:sz w:val="21"/>
                <w:szCs w:val="21"/>
                <w:highlight w:val="none"/>
                <w:lang w:bidi="ar"/>
              </w:rPr>
              <w:t>分）：整体布展活动流程方案顺畅，衔接有序；创意类设计方案有创意，但方案不够</w:t>
            </w:r>
            <w:r>
              <w:rPr>
                <w:rFonts w:hint="default" w:ascii="Times New Roman" w:hAnsi="Times New Roman" w:cs="Times New Roman"/>
                <w:color w:val="auto"/>
                <w:sz w:val="21"/>
                <w:szCs w:val="21"/>
                <w:highlight w:val="none"/>
                <w:lang w:eastAsia="zh-CN" w:bidi="ar"/>
              </w:rPr>
              <w:t>详细</w:t>
            </w:r>
            <w:r>
              <w:rPr>
                <w:rFonts w:hint="default" w:ascii="Times New Roman" w:hAnsi="Times New Roman" w:eastAsia="宋体" w:cs="Times New Roman"/>
                <w:color w:val="auto"/>
                <w:sz w:val="21"/>
                <w:szCs w:val="21"/>
                <w:highlight w:val="none"/>
                <w:lang w:bidi="ar"/>
              </w:rPr>
              <w:t>。方案有一定可行性，能达到采购方的目的。</w:t>
            </w:r>
          </w:p>
        </w:tc>
        <w:tc>
          <w:tcPr>
            <w:tcW w:w="605" w:type="dxa"/>
            <w:vMerge w:val="continue"/>
            <w:tcBorders>
              <w:left w:val="single" w:color="auto" w:sz="4" w:space="0"/>
              <w:right w:val="single" w:color="000000" w:sz="4" w:space="0"/>
            </w:tcBorders>
            <w:noWrap/>
            <w:vAlign w:val="center"/>
          </w:tcPr>
          <w:p>
            <w:pPr>
              <w:widowControl w:val="0"/>
              <w:adjustRightInd/>
              <w:snapToGrid/>
              <w:spacing w:line="400" w:lineRule="exact"/>
              <w:ind w:firstLine="0" w:firstLineChars="0"/>
              <w:jc w:val="center"/>
              <w:rPr>
                <w:rFonts w:hint="default" w:ascii="Times New Roman" w:hAnsi="Times New Roman" w:eastAsia="宋体" w:cs="Times New Roman"/>
                <w:color w:val="auto"/>
                <w:kern w:val="2"/>
                <w:sz w:val="21"/>
                <w:szCs w:val="21"/>
                <w:highlight w:val="none"/>
              </w:rPr>
            </w:pPr>
          </w:p>
        </w:tc>
      </w:tr>
      <w:tr>
        <w:tblPrEx>
          <w:tblCellMar>
            <w:top w:w="0" w:type="dxa"/>
            <w:left w:w="108" w:type="dxa"/>
            <w:bottom w:w="0" w:type="dxa"/>
            <w:right w:w="108" w:type="dxa"/>
          </w:tblCellMar>
        </w:tblPrEx>
        <w:trPr>
          <w:trHeight w:val="1893" w:hRule="atLeast"/>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三档（</w:t>
            </w:r>
            <w:r>
              <w:rPr>
                <w:rFonts w:hint="default" w:ascii="Times New Roman" w:hAnsi="Times New Roman" w:eastAsia="宋体" w:cs="Times New Roman"/>
                <w:color w:val="auto"/>
                <w:sz w:val="21"/>
                <w:szCs w:val="21"/>
                <w:highlight w:val="none"/>
                <w:lang w:val="en-US" w:eastAsia="zh-CN" w:bidi="ar"/>
              </w:rPr>
              <w:t>18</w:t>
            </w:r>
            <w:r>
              <w:rPr>
                <w:rFonts w:hint="default" w:ascii="Times New Roman" w:hAnsi="Times New Roman" w:eastAsia="宋体" w:cs="Times New Roman"/>
                <w:color w:val="auto"/>
                <w:sz w:val="21"/>
                <w:szCs w:val="21"/>
                <w:highlight w:val="none"/>
                <w:lang w:bidi="ar"/>
              </w:rPr>
              <w:t>分）：整体布展活动流程清晰完整，前后呼应，安排合理，整体性统一；富有创意，主体效果鲜明，方案详实，具备实际意义。方案可行性强，充分满足采购方的采购目的，能很好地实现采购方的预期效果。</w:t>
            </w:r>
          </w:p>
        </w:tc>
        <w:tc>
          <w:tcPr>
            <w:tcW w:w="605" w:type="dxa"/>
            <w:vMerge w:val="continue"/>
            <w:tcBorders>
              <w:left w:val="single" w:color="auto" w:sz="4" w:space="0"/>
              <w:bottom w:val="single" w:color="auto" w:sz="4" w:space="0"/>
              <w:right w:val="single" w:color="000000" w:sz="4" w:space="0"/>
            </w:tcBorders>
            <w:noWrap/>
            <w:vAlign w:val="center"/>
          </w:tcPr>
          <w:p>
            <w:pPr>
              <w:widowControl w:val="0"/>
              <w:adjustRightInd/>
              <w:snapToGrid/>
              <w:spacing w:line="400" w:lineRule="exact"/>
              <w:ind w:firstLine="0" w:firstLineChars="0"/>
              <w:jc w:val="center"/>
              <w:rPr>
                <w:rFonts w:hint="default" w:ascii="Times New Roman" w:hAnsi="Times New Roman" w:eastAsia="宋体" w:cs="Times New Roman"/>
                <w:color w:val="auto"/>
                <w:kern w:val="2"/>
                <w:sz w:val="21"/>
                <w:szCs w:val="21"/>
                <w:highlight w:val="none"/>
              </w:rPr>
            </w:pPr>
          </w:p>
        </w:tc>
      </w:tr>
      <w:tr>
        <w:tblPrEx>
          <w:tblCellMar>
            <w:top w:w="0" w:type="dxa"/>
            <w:left w:w="108" w:type="dxa"/>
            <w:bottom w:w="0" w:type="dxa"/>
            <w:right w:w="108" w:type="dxa"/>
          </w:tblCellMar>
        </w:tblPrEx>
        <w:trPr>
          <w:trHeight w:val="1579" w:hRule="atLeast"/>
        </w:trPr>
        <w:tc>
          <w:tcPr>
            <w:tcW w:w="59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2.2</w:t>
            </w:r>
          </w:p>
        </w:tc>
        <w:tc>
          <w:tcPr>
            <w:tcW w:w="69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现场运营服务方案（满分</w:t>
            </w:r>
            <w:r>
              <w:rPr>
                <w:rFonts w:hint="default" w:ascii="Times New Roman" w:hAnsi="Times New Roman" w:eastAsia="宋体" w:cs="Times New Roman"/>
                <w:b/>
                <w:color w:val="auto"/>
                <w:kern w:val="2"/>
                <w:sz w:val="21"/>
                <w:szCs w:val="21"/>
                <w:highlight w:val="none"/>
                <w:lang w:val="en-US" w:eastAsia="zh-CN"/>
              </w:rPr>
              <w:t>15</w:t>
            </w:r>
            <w:r>
              <w:rPr>
                <w:rFonts w:hint="default" w:ascii="Times New Roman" w:hAnsi="Times New Roman" w:eastAsia="宋体" w:cs="Times New Roman"/>
                <w:b/>
                <w:color w:val="auto"/>
                <w:kern w:val="2"/>
                <w:sz w:val="21"/>
                <w:szCs w:val="21"/>
                <w:highlight w:val="none"/>
              </w:rPr>
              <w:t>分）</w:t>
            </w: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一档（</w:t>
            </w:r>
            <w:r>
              <w:rPr>
                <w:rFonts w:hint="default" w:ascii="Times New Roman" w:hAnsi="Times New Roman" w:eastAsia="宋体" w:cs="Times New Roman"/>
                <w:color w:val="auto"/>
                <w:sz w:val="21"/>
                <w:szCs w:val="21"/>
                <w:highlight w:val="none"/>
                <w:lang w:val="en-US" w:eastAsia="zh-CN" w:bidi="ar"/>
              </w:rPr>
              <w:t>5</w:t>
            </w:r>
            <w:r>
              <w:rPr>
                <w:rFonts w:hint="default" w:ascii="Times New Roman" w:hAnsi="Times New Roman" w:eastAsia="宋体" w:cs="Times New Roman"/>
                <w:color w:val="auto"/>
                <w:sz w:val="21"/>
                <w:szCs w:val="21"/>
                <w:highlight w:val="none"/>
                <w:lang w:bidi="ar"/>
              </w:rPr>
              <w:t>分）：服务方案简单，方案重点内容不突出，对项目需求分析不全面，针对本项目配备有现场运营团队、有组织措施及安排、有对应运营实施保障措施，但可行性不高，不能充分满足项目要求；</w:t>
            </w:r>
          </w:p>
        </w:tc>
        <w:tc>
          <w:tcPr>
            <w:tcW w:w="605" w:type="dxa"/>
            <w:vMerge w:val="restart"/>
            <w:tcBorders>
              <w:top w:val="single" w:color="auto" w:sz="4" w:space="0"/>
              <w:left w:val="single" w:color="auto" w:sz="4" w:space="0"/>
              <w:right w:val="single" w:color="auto" w:sz="4" w:space="0"/>
            </w:tcBorders>
            <w:noWrap/>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val="en-US" w:eastAsia="zh-CN" w:bidi="ar"/>
              </w:rPr>
              <w:t>15</w:t>
            </w:r>
            <w:r>
              <w:rPr>
                <w:rFonts w:hint="default" w:ascii="Times New Roman" w:hAnsi="Times New Roman" w:eastAsia="宋体" w:cs="Times New Roman"/>
                <w:b/>
                <w:bCs/>
                <w:color w:val="auto"/>
                <w:sz w:val="21"/>
                <w:szCs w:val="21"/>
                <w:highlight w:val="none"/>
                <w:lang w:bidi="ar"/>
              </w:rPr>
              <w:t>分</w:t>
            </w:r>
          </w:p>
        </w:tc>
      </w:tr>
      <w:tr>
        <w:tblPrEx>
          <w:tblCellMar>
            <w:top w:w="0" w:type="dxa"/>
            <w:left w:w="108" w:type="dxa"/>
            <w:bottom w:w="0" w:type="dxa"/>
            <w:right w:w="108" w:type="dxa"/>
          </w:tblCellMar>
        </w:tblPrEx>
        <w:trPr>
          <w:trHeight w:val="90" w:hRule="atLeast"/>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二档（</w:t>
            </w:r>
            <w:r>
              <w:rPr>
                <w:rFonts w:hint="default" w:ascii="Times New Roman" w:hAnsi="Times New Roman" w:eastAsia="宋体" w:cs="Times New Roman"/>
                <w:color w:val="auto"/>
                <w:sz w:val="21"/>
                <w:szCs w:val="21"/>
                <w:highlight w:val="none"/>
                <w:lang w:val="en-US" w:eastAsia="zh-CN" w:bidi="ar"/>
              </w:rPr>
              <w:t>10</w:t>
            </w:r>
            <w:r>
              <w:rPr>
                <w:rFonts w:hint="default" w:ascii="Times New Roman" w:hAnsi="Times New Roman" w:eastAsia="宋体" w:cs="Times New Roman"/>
                <w:color w:val="auto"/>
                <w:sz w:val="21"/>
                <w:szCs w:val="21"/>
                <w:highlight w:val="none"/>
                <w:lang w:bidi="ar"/>
              </w:rPr>
              <w:t>分）：服务方案较完整，方案重点内容、措施列举较清晰，对项目需求有一定分析，服务策划合理；针对本项目配备的策划运营现场团队人员分工明确、组织措施及安排有序、对应项目运营保障措施较具体，有一定可行性，能达到采购方的目的。</w:t>
            </w:r>
          </w:p>
        </w:tc>
        <w:tc>
          <w:tcPr>
            <w:tcW w:w="605" w:type="dxa"/>
            <w:vMerge w:val="continue"/>
            <w:tcBorders>
              <w:left w:val="single" w:color="auto" w:sz="4" w:space="0"/>
              <w:right w:val="single" w:color="auto" w:sz="4" w:space="0"/>
            </w:tcBorders>
            <w:noWrap/>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p>
        </w:tc>
      </w:tr>
      <w:tr>
        <w:tblPrEx>
          <w:tblCellMar>
            <w:top w:w="0" w:type="dxa"/>
            <w:left w:w="108" w:type="dxa"/>
            <w:bottom w:w="0" w:type="dxa"/>
            <w:right w:w="108" w:type="dxa"/>
          </w:tblCellMar>
        </w:tblPrEx>
        <w:trPr>
          <w:trHeight w:val="2332" w:hRule="atLeast"/>
        </w:trPr>
        <w:tc>
          <w:tcPr>
            <w:tcW w:w="5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p>
        </w:tc>
        <w:tc>
          <w:tcPr>
            <w:tcW w:w="6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三档（</w:t>
            </w:r>
            <w:r>
              <w:rPr>
                <w:rFonts w:hint="default" w:ascii="Times New Roman" w:hAnsi="Times New Roman" w:eastAsia="宋体" w:cs="Times New Roman"/>
                <w:color w:val="auto"/>
                <w:sz w:val="21"/>
                <w:szCs w:val="21"/>
                <w:highlight w:val="none"/>
                <w:lang w:val="en-US" w:eastAsia="zh-CN" w:bidi="ar"/>
              </w:rPr>
              <w:t>15</w:t>
            </w:r>
            <w:r>
              <w:rPr>
                <w:rFonts w:hint="default" w:ascii="Times New Roman" w:hAnsi="Times New Roman" w:eastAsia="宋体" w:cs="Times New Roman"/>
                <w:color w:val="auto"/>
                <w:sz w:val="21"/>
                <w:szCs w:val="21"/>
                <w:highlight w:val="none"/>
                <w:lang w:bidi="ar"/>
              </w:rPr>
              <w:t>分）：服务方案清晰完整，方案重点内容突出，措施具体，对项目需求分析理解深刻、有延展性，服务规划描述详细、规划合理。针对本项目配备优秀的、经验丰富的现场运营团队，团队人员分工明确，有丰富的管理、服务经验；运营管理措施有具体的时间、质量、进度控制，科学合理，有针对性且可行性高；运营组织安排合理详细；对应的运营实施保障措施安排详细、流程具体。方案可行性强，充分满足采购方的采购目的，能很好的实现采购方的预期效果。</w:t>
            </w:r>
          </w:p>
        </w:tc>
        <w:tc>
          <w:tcPr>
            <w:tcW w:w="605" w:type="dxa"/>
            <w:vMerge w:val="continue"/>
            <w:tcBorders>
              <w:left w:val="single" w:color="auto" w:sz="4" w:space="0"/>
              <w:bottom w:val="single" w:color="auto" w:sz="4" w:space="0"/>
              <w:right w:val="single" w:color="auto" w:sz="4" w:space="0"/>
            </w:tcBorders>
            <w:noWrap/>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p>
        </w:tc>
      </w:tr>
      <w:tr>
        <w:tblPrEx>
          <w:tblCellMar>
            <w:top w:w="0" w:type="dxa"/>
            <w:left w:w="108" w:type="dxa"/>
            <w:bottom w:w="0" w:type="dxa"/>
            <w:right w:w="108" w:type="dxa"/>
          </w:tblCellMar>
        </w:tblPrEx>
        <w:trPr>
          <w:trHeight w:val="1303" w:hRule="atLeast"/>
        </w:trPr>
        <w:tc>
          <w:tcPr>
            <w:tcW w:w="597" w:type="dxa"/>
            <w:vMerge w:val="restart"/>
            <w:tcBorders>
              <w:top w:val="single" w:color="auto" w:sz="4" w:space="0"/>
              <w:left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2.3</w:t>
            </w:r>
          </w:p>
        </w:tc>
        <w:tc>
          <w:tcPr>
            <w:tcW w:w="690" w:type="dxa"/>
            <w:vMerge w:val="restart"/>
            <w:tcBorders>
              <w:top w:val="single" w:color="auto" w:sz="4" w:space="0"/>
              <w:left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项目组织实施方案（满分</w:t>
            </w:r>
            <w:r>
              <w:rPr>
                <w:rFonts w:hint="default" w:ascii="Times New Roman" w:hAnsi="Times New Roman" w:eastAsia="宋体" w:cs="Times New Roman"/>
                <w:b/>
                <w:color w:val="auto"/>
                <w:kern w:val="2"/>
                <w:sz w:val="21"/>
                <w:szCs w:val="21"/>
                <w:highlight w:val="none"/>
                <w:lang w:val="en-US" w:eastAsia="zh-CN"/>
              </w:rPr>
              <w:t>9</w:t>
            </w:r>
            <w:r>
              <w:rPr>
                <w:rFonts w:hint="default" w:ascii="Times New Roman" w:hAnsi="Times New Roman" w:eastAsia="宋体" w:cs="Times New Roman"/>
                <w:b/>
                <w:color w:val="auto"/>
                <w:kern w:val="2"/>
                <w:sz w:val="21"/>
                <w:szCs w:val="21"/>
                <w:highlight w:val="none"/>
              </w:rPr>
              <w:t>分）</w:t>
            </w: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一档（3分）：项目组织实施方案简单，方案重点内容不突出，对项目需求分析不全面，针对本项目配备有布展实施团队、有组织措施及安排、有对应项目实施保障措施，但可行性不高，不能充分满足项目要求；</w:t>
            </w:r>
          </w:p>
        </w:tc>
        <w:tc>
          <w:tcPr>
            <w:tcW w:w="605" w:type="dxa"/>
            <w:vMerge w:val="restart"/>
            <w:tcBorders>
              <w:left w:val="single" w:color="auto" w:sz="4" w:space="0"/>
              <w:right w:val="single" w:color="auto" w:sz="4" w:space="0"/>
            </w:tcBorders>
            <w:noWrap/>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val="en-US" w:eastAsia="zh-CN" w:bidi="ar"/>
              </w:rPr>
              <w:t>9</w:t>
            </w:r>
            <w:r>
              <w:rPr>
                <w:rFonts w:hint="default" w:ascii="Times New Roman" w:hAnsi="Times New Roman" w:eastAsia="宋体" w:cs="Times New Roman"/>
                <w:b/>
                <w:bCs/>
                <w:color w:val="auto"/>
                <w:sz w:val="21"/>
                <w:szCs w:val="21"/>
                <w:highlight w:val="none"/>
                <w:lang w:bidi="ar"/>
              </w:rPr>
              <w:t>分</w:t>
            </w:r>
          </w:p>
        </w:tc>
      </w:tr>
      <w:tr>
        <w:tblPrEx>
          <w:tblCellMar>
            <w:top w:w="0" w:type="dxa"/>
            <w:left w:w="108" w:type="dxa"/>
            <w:bottom w:w="0" w:type="dxa"/>
            <w:right w:w="108" w:type="dxa"/>
          </w:tblCellMar>
        </w:tblPrEx>
        <w:trPr>
          <w:trHeight w:val="1085" w:hRule="atLeast"/>
        </w:trPr>
        <w:tc>
          <w:tcPr>
            <w:tcW w:w="597" w:type="dxa"/>
            <w:vMerge w:val="continue"/>
            <w:tcBorders>
              <w:left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p>
        </w:tc>
        <w:tc>
          <w:tcPr>
            <w:tcW w:w="690" w:type="dxa"/>
            <w:vMerge w:val="continue"/>
            <w:tcBorders>
              <w:left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二档（6分）：项目组织实施方案较完整，方案重点内容、措施列举较清晰，对项目需求有一定分析，有项目实施周期规划；针对本项目配备的布展实施团队人员分工明确、有组织措施及安排有序、对应项目实施保障措施较具体，应急演练预案，有一定可行性，能达到采购方的目的。</w:t>
            </w:r>
          </w:p>
        </w:tc>
        <w:tc>
          <w:tcPr>
            <w:tcW w:w="605" w:type="dxa"/>
            <w:vMerge w:val="continue"/>
            <w:tcBorders>
              <w:left w:val="single" w:color="auto" w:sz="4" w:space="0"/>
              <w:right w:val="single" w:color="auto" w:sz="4" w:space="0"/>
            </w:tcBorders>
            <w:noWrap/>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p>
        </w:tc>
      </w:tr>
      <w:tr>
        <w:tblPrEx>
          <w:tblCellMar>
            <w:top w:w="0" w:type="dxa"/>
            <w:left w:w="108" w:type="dxa"/>
            <w:bottom w:w="0" w:type="dxa"/>
            <w:right w:w="108" w:type="dxa"/>
          </w:tblCellMar>
        </w:tblPrEx>
        <w:trPr>
          <w:trHeight w:val="939" w:hRule="atLeast"/>
        </w:trPr>
        <w:tc>
          <w:tcPr>
            <w:tcW w:w="597" w:type="dxa"/>
            <w:vMerge w:val="continue"/>
            <w:tcBorders>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p>
        </w:tc>
        <w:tc>
          <w:tcPr>
            <w:tcW w:w="690" w:type="dxa"/>
            <w:vMerge w:val="continue"/>
            <w:tcBorders>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p>
        </w:tc>
        <w:tc>
          <w:tcPr>
            <w:tcW w:w="7275"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三档（</w:t>
            </w:r>
            <w:r>
              <w:rPr>
                <w:rFonts w:hint="default" w:ascii="Times New Roman" w:hAnsi="Times New Roman" w:eastAsia="宋体" w:cs="Times New Roman"/>
                <w:color w:val="auto"/>
                <w:sz w:val="21"/>
                <w:szCs w:val="21"/>
                <w:highlight w:val="none"/>
                <w:lang w:val="en-US" w:eastAsia="zh-CN" w:bidi="ar"/>
              </w:rPr>
              <w:t>9</w:t>
            </w:r>
            <w:r>
              <w:rPr>
                <w:rFonts w:hint="default" w:ascii="Times New Roman" w:hAnsi="Times New Roman" w:eastAsia="宋体" w:cs="Times New Roman"/>
                <w:color w:val="auto"/>
                <w:sz w:val="21"/>
                <w:szCs w:val="21"/>
                <w:highlight w:val="none"/>
                <w:lang w:bidi="ar"/>
              </w:rPr>
              <w:t>分）：项目组织实施方案清晰完整，方案重点内容突出，措施具体，对项目需求分析理解深刻、有延展性。针对本项目有细化的项目进度计划流程并明确标识控制项目进度的关键里程碑；针对本项目配备优秀的、经验丰富的布展实施团队，团队人员分工明确，有丰富的管理、服务经验，组织管理措施有具体的时间、质量、进度控制，科学合理，有针对性且可行性高；项目组织安排合理详细；对应的项目实施保障措施，应急演练预案，安排详细、流程具体。方案可行性强，充分满足采购方的采购目的，能很好的实现采购方的预期效果。</w:t>
            </w:r>
          </w:p>
        </w:tc>
        <w:tc>
          <w:tcPr>
            <w:tcW w:w="605" w:type="dxa"/>
            <w:vMerge w:val="continue"/>
            <w:tcBorders>
              <w:left w:val="single" w:color="auto" w:sz="4" w:space="0"/>
              <w:bottom w:val="single" w:color="auto" w:sz="4" w:space="0"/>
              <w:right w:val="single" w:color="auto" w:sz="4" w:space="0"/>
            </w:tcBorders>
            <w:noWrap/>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p>
        </w:tc>
      </w:tr>
      <w:tr>
        <w:tblPrEx>
          <w:tblCellMar>
            <w:top w:w="0" w:type="dxa"/>
            <w:left w:w="108" w:type="dxa"/>
            <w:bottom w:w="0" w:type="dxa"/>
            <w:right w:w="108" w:type="dxa"/>
          </w:tblCellMar>
        </w:tblPrEx>
        <w:trPr>
          <w:trHeight w:val="6784"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2.4</w:t>
            </w:r>
          </w:p>
        </w:tc>
        <w:tc>
          <w:tcPr>
            <w:tcW w:w="690"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项目团队人员分（满分1</w:t>
            </w:r>
            <w:r>
              <w:rPr>
                <w:rFonts w:hint="default" w:ascii="Times New Roman" w:hAnsi="Times New Roman" w:eastAsia="宋体" w:cs="Times New Roman"/>
                <w:b/>
                <w:color w:val="auto"/>
                <w:kern w:val="2"/>
                <w:sz w:val="21"/>
                <w:szCs w:val="21"/>
                <w:highlight w:val="none"/>
                <w:lang w:val="en-US" w:eastAsia="zh-CN"/>
              </w:rPr>
              <w:t>0</w:t>
            </w:r>
            <w:r>
              <w:rPr>
                <w:rFonts w:hint="default" w:ascii="Times New Roman" w:hAnsi="Times New Roman" w:eastAsia="宋体" w:cs="Times New Roman"/>
                <w:b/>
                <w:color w:val="auto"/>
                <w:kern w:val="2"/>
                <w:sz w:val="21"/>
                <w:szCs w:val="21"/>
                <w:highlight w:val="none"/>
              </w:rPr>
              <w:t>分）</w:t>
            </w:r>
          </w:p>
        </w:tc>
        <w:tc>
          <w:tcPr>
            <w:tcW w:w="7275" w:type="dxa"/>
            <w:tcBorders>
              <w:top w:val="single" w:color="auto" w:sz="4" w:space="0"/>
              <w:left w:val="single" w:color="auto" w:sz="4" w:space="0"/>
              <w:bottom w:val="single" w:color="000000" w:sz="4" w:space="0"/>
              <w:right w:val="single" w:color="000000" w:sz="4" w:space="0"/>
            </w:tcBorders>
            <w:noWrap w:val="0"/>
            <w:vAlign w:val="center"/>
          </w:tcPr>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针对本项目拟投入的项目团队人员进行评分：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1.人员数量要求：</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拟投入项目团队人员少于 10人，不得分；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 xml:space="preserve">拟投入项目团队人员 10 人得 </w:t>
            </w:r>
            <w:r>
              <w:rPr>
                <w:rFonts w:hint="default" w:ascii="Times New Roman" w:hAnsi="Times New Roman" w:eastAsia="宋体" w:cs="Times New Roman"/>
                <w:color w:val="auto"/>
                <w:sz w:val="21"/>
                <w:szCs w:val="21"/>
                <w:highlight w:val="none"/>
                <w:lang w:val="en-US" w:eastAsia="zh-CN" w:bidi="ar"/>
              </w:rPr>
              <w:t>1</w:t>
            </w:r>
            <w:r>
              <w:rPr>
                <w:rFonts w:hint="default" w:ascii="Times New Roman" w:hAnsi="Times New Roman" w:eastAsia="宋体" w:cs="Times New Roman"/>
                <w:color w:val="auto"/>
                <w:sz w:val="21"/>
                <w:szCs w:val="21"/>
                <w:highlight w:val="none"/>
                <w:lang w:bidi="ar"/>
              </w:rPr>
              <w:t>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拟投入项目团队人员 11-15 人</w:t>
            </w:r>
            <w:r>
              <w:rPr>
                <w:rFonts w:hint="default" w:ascii="Times New Roman" w:hAnsi="Times New Roman" w:cs="Times New Roman"/>
                <w:color w:val="auto"/>
                <w:sz w:val="21"/>
                <w:szCs w:val="21"/>
                <w:highlight w:val="none"/>
                <w:lang w:eastAsia="zh-CN" w:bidi="ar"/>
              </w:rPr>
              <w:t>（含）</w:t>
            </w:r>
            <w:r>
              <w:rPr>
                <w:rFonts w:hint="default" w:ascii="Times New Roman" w:hAnsi="Times New Roman" w:eastAsia="宋体" w:cs="Times New Roman"/>
                <w:color w:val="auto"/>
                <w:sz w:val="21"/>
                <w:szCs w:val="21"/>
                <w:highlight w:val="none"/>
                <w:lang w:bidi="ar"/>
              </w:rPr>
              <w:t>得</w:t>
            </w:r>
            <w:r>
              <w:rPr>
                <w:rFonts w:hint="default" w:ascii="Times New Roman" w:hAnsi="Times New Roman" w:eastAsia="宋体" w:cs="Times New Roman"/>
                <w:color w:val="auto"/>
                <w:sz w:val="21"/>
                <w:szCs w:val="21"/>
                <w:highlight w:val="none"/>
                <w:lang w:val="en-US" w:eastAsia="zh-CN" w:bidi="ar"/>
              </w:rPr>
              <w:t>2</w:t>
            </w:r>
            <w:r>
              <w:rPr>
                <w:rFonts w:hint="default" w:ascii="Times New Roman" w:hAnsi="Times New Roman" w:eastAsia="宋体" w:cs="Times New Roman"/>
                <w:color w:val="auto"/>
                <w:sz w:val="21"/>
                <w:szCs w:val="21"/>
                <w:highlight w:val="none"/>
                <w:lang w:bidi="ar"/>
              </w:rPr>
              <w:t>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 xml:space="preserve">拟投入项目团队人员 15人以上得 </w:t>
            </w:r>
            <w:r>
              <w:rPr>
                <w:rFonts w:hint="default"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2.人员</w:t>
            </w:r>
            <w:r>
              <w:rPr>
                <w:rFonts w:hint="default" w:ascii="Times New Roman" w:hAnsi="Times New Roman" w:cs="Times New Roman"/>
                <w:color w:val="auto"/>
                <w:sz w:val="21"/>
                <w:szCs w:val="21"/>
                <w:highlight w:val="none"/>
                <w:lang w:eastAsia="zh-CN" w:bidi="ar"/>
              </w:rPr>
              <w:t>证书</w:t>
            </w:r>
            <w:r>
              <w:rPr>
                <w:rFonts w:hint="default" w:ascii="Times New Roman" w:hAnsi="Times New Roman" w:eastAsia="宋体" w:cs="Times New Roman"/>
                <w:color w:val="auto"/>
                <w:sz w:val="21"/>
                <w:szCs w:val="21"/>
                <w:highlight w:val="none"/>
                <w:lang w:bidi="ar"/>
              </w:rPr>
              <w:t>要求：</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项目团队成员中：</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项目</w:t>
            </w:r>
            <w:r>
              <w:rPr>
                <w:rFonts w:hint="default" w:ascii="Times New Roman" w:hAnsi="Times New Roman" w:cs="Times New Roman"/>
                <w:color w:val="auto"/>
                <w:sz w:val="21"/>
                <w:szCs w:val="21"/>
                <w:highlight w:val="none"/>
                <w:lang w:eastAsia="zh-CN" w:bidi="ar"/>
              </w:rPr>
              <w:t>总负责人</w:t>
            </w:r>
            <w:r>
              <w:rPr>
                <w:rFonts w:hint="default" w:ascii="Times New Roman" w:hAnsi="Times New Roman" w:eastAsia="宋体" w:cs="Times New Roman"/>
                <w:color w:val="auto"/>
                <w:sz w:val="21"/>
                <w:szCs w:val="21"/>
                <w:highlight w:val="none"/>
                <w:lang w:bidi="ar"/>
              </w:rPr>
              <w:t>1人，要求具备高级职称（职称方向须为计算机方向），得1分，具备系统集成项目管理工程师证书，加1分，满分2分；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项目运营经理1人，具备软件质量检验师、信息安全保障人员（CISAW）、信息安全管理工程师、网站安全防护与应急处理高级证书，每具备1项证书，</w:t>
            </w:r>
            <w:r>
              <w:rPr>
                <w:rFonts w:hint="default" w:ascii="Times New Roman" w:hAnsi="Times New Roman" w:cs="Times New Roman"/>
                <w:color w:val="auto"/>
                <w:sz w:val="21"/>
                <w:szCs w:val="21"/>
                <w:highlight w:val="none"/>
                <w:lang w:eastAsia="zh-CN" w:bidi="ar"/>
              </w:rPr>
              <w:t>得</w:t>
            </w:r>
            <w:r>
              <w:rPr>
                <w:rFonts w:hint="default" w:ascii="Times New Roman" w:hAnsi="Times New Roman" w:eastAsia="宋体" w:cs="Times New Roman"/>
                <w:color w:val="auto"/>
                <w:sz w:val="21"/>
                <w:szCs w:val="21"/>
                <w:highlight w:val="none"/>
                <w:lang w:bidi="ar"/>
              </w:rPr>
              <w:t>1分，满分</w:t>
            </w:r>
            <w:r>
              <w:rPr>
                <w:rFonts w:hint="default" w:ascii="Times New Roman" w:hAnsi="Times New Roman" w:eastAsia="宋体" w:cs="Times New Roman"/>
                <w:color w:val="auto"/>
                <w:sz w:val="21"/>
                <w:szCs w:val="21"/>
                <w:highlight w:val="none"/>
                <w:lang w:val="en-US" w:eastAsia="zh-CN" w:bidi="ar"/>
              </w:rPr>
              <w:t>3</w:t>
            </w:r>
            <w:r>
              <w:rPr>
                <w:rFonts w:hint="default" w:ascii="Times New Roman" w:hAnsi="Times New Roman" w:eastAsia="宋体" w:cs="Times New Roman"/>
                <w:color w:val="auto"/>
                <w:sz w:val="21"/>
                <w:szCs w:val="21"/>
                <w:highlight w:val="none"/>
                <w:lang w:bidi="ar"/>
              </w:rPr>
              <w:t>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团队成员中具有IT服务项目经理（ITSS）1人，得1分；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售后团队成员拥有ITIL认证证书不少于3人，得1分；</w:t>
            </w:r>
          </w:p>
          <w:p>
            <w:pPr>
              <w:adjustRightInd/>
              <w:snapToGrid/>
              <w:spacing w:line="400" w:lineRule="exact"/>
              <w:ind w:firstLine="0" w:firstLineChars="0"/>
              <w:jc w:val="left"/>
              <w:textAlignment w:val="center"/>
              <w:rPr>
                <w:rFonts w:hint="default" w:ascii="Times New Roman" w:hAnsi="Times New Roman" w:eastAsia="宋体" w:cs="Times New Roman"/>
                <w:color w:val="auto"/>
                <w:sz w:val="21"/>
                <w:szCs w:val="21"/>
                <w:highlight w:val="none"/>
                <w:lang w:bidi="ar"/>
              </w:rPr>
            </w:pPr>
            <w:r>
              <w:rPr>
                <w:rFonts w:hint="default" w:ascii="Times New Roman" w:hAnsi="Times New Roman" w:eastAsia="宋体" w:cs="Times New Roman"/>
                <w:color w:val="auto"/>
                <w:sz w:val="21"/>
                <w:szCs w:val="21"/>
                <w:highlight w:val="none"/>
                <w:lang w:bidi="ar"/>
              </w:rPr>
              <w:t>注：以上人员不复用，投标时在响应文件中提供有效机构证明材料、技术队伍人员相关证书复印件以及投标截止时间前半年内任意连续3个月供应商为其依法缴纳的有效社保证明扫描件并加盖投标人公章。无缴费记录的，应提供由社保部门出具的《依法缴纳或依法免缴社保费证明》复印件。</w:t>
            </w:r>
          </w:p>
        </w:tc>
        <w:tc>
          <w:tcPr>
            <w:tcW w:w="605" w:type="dxa"/>
            <w:tcBorders>
              <w:top w:val="single" w:color="auto" w:sz="4" w:space="0"/>
              <w:left w:val="single" w:color="000000" w:sz="4" w:space="0"/>
              <w:bottom w:val="single" w:color="000000" w:sz="4" w:space="0"/>
              <w:right w:val="single" w:color="000000" w:sz="4" w:space="0"/>
            </w:tcBorders>
            <w:noWrap/>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1</w:t>
            </w:r>
            <w:r>
              <w:rPr>
                <w:rFonts w:hint="default" w:ascii="Times New Roman" w:hAnsi="Times New Roman" w:eastAsia="宋体" w:cs="Times New Roman"/>
                <w:b/>
                <w:bCs/>
                <w:color w:val="auto"/>
                <w:sz w:val="21"/>
                <w:szCs w:val="21"/>
                <w:highlight w:val="none"/>
                <w:lang w:val="en-US" w:eastAsia="zh-CN" w:bidi="ar"/>
              </w:rPr>
              <w:t>0</w:t>
            </w:r>
            <w:r>
              <w:rPr>
                <w:rFonts w:hint="default" w:ascii="Times New Roman" w:hAnsi="Times New Roman" w:eastAsia="宋体" w:cs="Times New Roman"/>
                <w:b/>
                <w:bCs/>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97" w:type="dxa"/>
            <w:tcBorders>
              <w:top w:val="single" w:color="auto" w:sz="4" w:space="0"/>
            </w:tcBorders>
            <w:noWrap w:val="0"/>
            <w:vAlign w:val="center"/>
          </w:tcPr>
          <w:p>
            <w:pPr>
              <w:widowControl w:val="0"/>
              <w:snapToGrid/>
              <w:spacing w:line="400" w:lineRule="exact"/>
              <w:ind w:firstLine="0" w:firstLineChars="0"/>
              <w:jc w:val="center"/>
              <w:textAlignment w:val="baseline"/>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3</w:t>
            </w:r>
          </w:p>
        </w:tc>
        <w:tc>
          <w:tcPr>
            <w:tcW w:w="690" w:type="dxa"/>
            <w:tcBorders>
              <w:top w:val="single" w:color="auto" w:sz="4" w:space="0"/>
            </w:tcBorders>
            <w:noWrap w:val="0"/>
            <w:vAlign w:val="center"/>
          </w:tcPr>
          <w:p>
            <w:pPr>
              <w:widowControl w:val="0"/>
              <w:snapToGrid/>
              <w:spacing w:line="400" w:lineRule="exact"/>
              <w:ind w:firstLine="0" w:firstLineChars="0"/>
              <w:jc w:val="center"/>
              <w:textAlignment w:val="baseline"/>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商务部分</w:t>
            </w:r>
          </w:p>
        </w:tc>
        <w:tc>
          <w:tcPr>
            <w:tcW w:w="7880" w:type="dxa"/>
            <w:gridSpan w:val="2"/>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trPr>
        <w:tc>
          <w:tcPr>
            <w:tcW w:w="597" w:type="dxa"/>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3.1</w:t>
            </w:r>
          </w:p>
        </w:tc>
        <w:tc>
          <w:tcPr>
            <w:tcW w:w="690" w:type="dxa"/>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color w:val="auto"/>
                <w:kern w:val="2"/>
                <w:sz w:val="21"/>
                <w:szCs w:val="21"/>
                <w:highlight w:val="none"/>
              </w:rPr>
              <w:t>业绩分（满分</w:t>
            </w:r>
            <w:r>
              <w:rPr>
                <w:rFonts w:hint="default" w:ascii="Times New Roman" w:hAnsi="Times New Roman" w:eastAsia="宋体" w:cs="Times New Roman"/>
                <w:b/>
                <w:color w:val="auto"/>
                <w:kern w:val="2"/>
                <w:sz w:val="21"/>
                <w:szCs w:val="21"/>
                <w:highlight w:val="none"/>
                <w:lang w:val="en-US" w:eastAsia="zh-CN"/>
              </w:rPr>
              <w:t>9</w:t>
            </w:r>
            <w:r>
              <w:rPr>
                <w:rFonts w:hint="default" w:ascii="Times New Roman" w:hAnsi="Times New Roman" w:eastAsia="宋体" w:cs="Times New Roman"/>
                <w:b/>
                <w:color w:val="auto"/>
                <w:kern w:val="2"/>
                <w:sz w:val="21"/>
                <w:szCs w:val="21"/>
                <w:highlight w:val="none"/>
              </w:rPr>
              <w:t>分）</w:t>
            </w:r>
          </w:p>
        </w:tc>
        <w:tc>
          <w:tcPr>
            <w:tcW w:w="7275" w:type="dxa"/>
            <w:noWrap w:val="0"/>
            <w:vAlign w:val="top"/>
          </w:tcPr>
          <w:p>
            <w:pPr>
              <w:widowControl w:val="0"/>
              <w:adjustRightInd/>
              <w:snapToGrid/>
              <w:spacing w:line="400" w:lineRule="exact"/>
              <w:ind w:firstLine="0" w:firstLineChars="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1.自202</w:t>
            </w:r>
            <w:r>
              <w:rPr>
                <w:rFonts w:hint="default" w:ascii="Times New Roman" w:hAnsi="Times New Roman"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rPr>
              <w:t>年1月1日以来，投标人具备会务服务、展示服务相关经验的,每提供一个案例得2分，满分</w:t>
            </w:r>
            <w:r>
              <w:rPr>
                <w:rFonts w:hint="default" w:ascii="Times New Roman" w:hAnsi="Times New Roman" w:eastAsia="宋体" w:cs="Times New Roman"/>
                <w:color w:val="auto"/>
                <w:kern w:val="2"/>
                <w:sz w:val="21"/>
                <w:szCs w:val="21"/>
                <w:highlight w:val="none"/>
                <w:lang w:val="en-US" w:eastAsia="zh-CN"/>
              </w:rPr>
              <w:t>6</w:t>
            </w:r>
            <w:r>
              <w:rPr>
                <w:rFonts w:hint="default" w:ascii="Times New Roman" w:hAnsi="Times New Roman" w:eastAsia="宋体" w:cs="Times New Roman"/>
                <w:color w:val="auto"/>
                <w:kern w:val="2"/>
                <w:sz w:val="21"/>
                <w:szCs w:val="21"/>
                <w:highlight w:val="none"/>
              </w:rPr>
              <w:t>分（提供合同或委托书、相关图片照片证明材料，否则不得分)。</w:t>
            </w:r>
          </w:p>
          <w:p>
            <w:pPr>
              <w:widowControl w:val="0"/>
              <w:adjustRightInd/>
              <w:snapToGrid/>
              <w:spacing w:line="400" w:lineRule="exact"/>
              <w:ind w:firstLine="0" w:firstLineChars="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2.自202</w:t>
            </w:r>
            <w:r>
              <w:rPr>
                <w:rFonts w:hint="default" w:ascii="Times New Roman" w:hAnsi="Times New Roman" w:cs="Times New Roman"/>
                <w:color w:val="auto"/>
                <w:kern w:val="2"/>
                <w:sz w:val="21"/>
                <w:szCs w:val="21"/>
                <w:highlight w:val="none"/>
                <w:lang w:val="en-US" w:eastAsia="zh-CN"/>
              </w:rPr>
              <w:t>2</w:t>
            </w:r>
            <w:r>
              <w:rPr>
                <w:rFonts w:hint="default" w:ascii="Times New Roman" w:hAnsi="Times New Roman" w:eastAsia="宋体" w:cs="Times New Roman"/>
                <w:color w:val="auto"/>
                <w:kern w:val="2"/>
                <w:sz w:val="21"/>
                <w:szCs w:val="21"/>
                <w:highlight w:val="none"/>
              </w:rPr>
              <w:t>年1月1日以来，投标人具备展厅运营案例，且展厅运营良好，提供一个案例得3分，满分3分。(需提供展厅相片相关证明，否则不得分)</w:t>
            </w:r>
          </w:p>
          <w:p>
            <w:pPr>
              <w:widowControl w:val="0"/>
              <w:adjustRightInd/>
              <w:snapToGrid/>
              <w:spacing w:line="400" w:lineRule="exact"/>
              <w:ind w:firstLine="0" w:firstLineChars="0"/>
              <w:rPr>
                <w:rFonts w:hint="default" w:ascii="Times New Roman" w:hAnsi="Times New Roman" w:eastAsia="宋体" w:cs="Times New Roman"/>
                <w:color w:val="auto"/>
                <w:kern w:val="2"/>
                <w:sz w:val="21"/>
                <w:szCs w:val="21"/>
                <w:highlight w:val="none"/>
              </w:rPr>
            </w:pPr>
          </w:p>
        </w:tc>
        <w:tc>
          <w:tcPr>
            <w:tcW w:w="605" w:type="dxa"/>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val="en-US" w:eastAsia="zh-CN" w:bidi="ar"/>
              </w:rPr>
              <w:t>9</w:t>
            </w:r>
            <w:r>
              <w:rPr>
                <w:rFonts w:hint="default" w:ascii="Times New Roman" w:hAnsi="Times New Roman" w:eastAsia="宋体" w:cs="Times New Roman"/>
                <w:b/>
                <w:bCs/>
                <w:color w:val="auto"/>
                <w:sz w:val="21"/>
                <w:szCs w:val="21"/>
                <w:highlight w:val="none"/>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4" w:hRule="atLeast"/>
        </w:trPr>
        <w:tc>
          <w:tcPr>
            <w:tcW w:w="597" w:type="dxa"/>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3.2</w:t>
            </w:r>
          </w:p>
        </w:tc>
        <w:tc>
          <w:tcPr>
            <w:tcW w:w="690" w:type="dxa"/>
            <w:noWrap w:val="0"/>
            <w:vAlign w:val="center"/>
          </w:tcPr>
          <w:p>
            <w:pPr>
              <w:widowControl w:val="0"/>
              <w:adjustRightInd/>
              <w:snapToGrid/>
              <w:spacing w:line="400" w:lineRule="exact"/>
              <w:ind w:firstLine="0" w:firstLineChars="0"/>
              <w:jc w:val="center"/>
              <w:rPr>
                <w:rFonts w:hint="default" w:ascii="Times New Roman" w:hAnsi="Times New Roman" w:eastAsia="宋体" w:cs="Times New Roman"/>
                <w:b/>
                <w:color w:val="auto"/>
                <w:kern w:val="2"/>
                <w:sz w:val="21"/>
                <w:szCs w:val="21"/>
                <w:highlight w:val="none"/>
              </w:rPr>
            </w:pPr>
            <w:r>
              <w:rPr>
                <w:rFonts w:hint="default" w:ascii="Times New Roman" w:hAnsi="Times New Roman" w:eastAsia="宋体" w:cs="Times New Roman"/>
                <w:b/>
                <w:color w:val="auto"/>
                <w:kern w:val="2"/>
                <w:sz w:val="21"/>
                <w:szCs w:val="21"/>
                <w:highlight w:val="none"/>
              </w:rPr>
              <w:t>信誉分（满分</w:t>
            </w:r>
            <w:r>
              <w:rPr>
                <w:rFonts w:hint="default" w:ascii="Times New Roman" w:hAnsi="Times New Roman" w:eastAsia="宋体" w:cs="Times New Roman"/>
                <w:b/>
                <w:color w:val="auto"/>
                <w:kern w:val="2"/>
                <w:sz w:val="21"/>
                <w:szCs w:val="21"/>
                <w:highlight w:val="none"/>
                <w:lang w:val="en-US" w:eastAsia="zh-CN"/>
              </w:rPr>
              <w:t>9</w:t>
            </w:r>
            <w:r>
              <w:rPr>
                <w:rFonts w:hint="default" w:ascii="Times New Roman" w:hAnsi="Times New Roman" w:eastAsia="宋体" w:cs="Times New Roman"/>
                <w:b/>
                <w:color w:val="auto"/>
                <w:kern w:val="2"/>
                <w:sz w:val="21"/>
                <w:szCs w:val="21"/>
                <w:highlight w:val="none"/>
              </w:rPr>
              <w:t>分）</w:t>
            </w:r>
          </w:p>
        </w:tc>
        <w:tc>
          <w:tcPr>
            <w:tcW w:w="7275" w:type="dxa"/>
            <w:noWrap w:val="0"/>
            <w:vAlign w:val="top"/>
          </w:tcPr>
          <w:p>
            <w:pPr>
              <w:widowControl w:val="0"/>
              <w:adjustRightInd/>
              <w:snapToGrid/>
              <w:spacing w:line="400" w:lineRule="exact"/>
              <w:ind w:firstLine="0" w:firstLineChars="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1.投标人具备以下证书的，ISO9001：2015质量管理体系认证证书的（覆盖范围有计算机系统集成、软件研发、信息系统维护，以及资质范围内电子与智能化工程专业承包及相关活动），ISO14001：2015环境管理体系认证证书（覆盖范围有计算机系统集成、软件研发、信息系统维护及相关活动，以及资质范围内电子与智能化工程专业承包及相关活动），ISO45001：2018职业健康安全管理体系认证证书（覆盖范围有计算机系统集成、软件研发、信息系统维护及相关活动，以及资质范围内电子与智能化工程专业承包及相关活动），且投标时在响应文件中提供有效认证证书原件扫描件并加盖投标人公章的，每有一个证书1分；（满分3分）</w:t>
            </w:r>
          </w:p>
          <w:p>
            <w:pPr>
              <w:widowControl w:val="0"/>
              <w:adjustRightInd/>
              <w:snapToGrid/>
              <w:spacing w:line="400" w:lineRule="exact"/>
              <w:ind w:firstLine="0" w:firstLineChars="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2.投标人具备ISO 22301:2019业务连续性管理体系认证证书，且投标时在响应文件中提供有效证书原件扫描件并加盖投标人公章的得2分；（满分2分）</w:t>
            </w:r>
          </w:p>
          <w:p>
            <w:pPr>
              <w:widowControl w:val="0"/>
              <w:adjustRightInd/>
              <w:snapToGrid/>
              <w:spacing w:line="400" w:lineRule="exact"/>
              <w:ind w:firstLine="0" w:firstLineChars="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3.投标人具备GBT36733服务质量评价认证证书，且投标时在响应文件中提供有效证书原件扫描件并加盖投标人公章的得2分；（满分2分）</w:t>
            </w:r>
          </w:p>
          <w:p>
            <w:pPr>
              <w:widowControl w:val="0"/>
              <w:adjustRightInd/>
              <w:snapToGrid/>
              <w:spacing w:line="400" w:lineRule="exact"/>
              <w:ind w:firstLine="0" w:firstLineChars="0"/>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rPr>
              <w:t>4.投标人具备SA8000社会责任管理体系认证证书，且投标时在响应文件中提供有效证书原件扫描件并加盖投标人公章的得2分；（满分2分）</w:t>
            </w:r>
          </w:p>
        </w:tc>
        <w:tc>
          <w:tcPr>
            <w:tcW w:w="605" w:type="dxa"/>
            <w:noWrap w:val="0"/>
            <w:vAlign w:val="center"/>
          </w:tcPr>
          <w:p>
            <w:pPr>
              <w:adjustRightInd/>
              <w:snapToGrid/>
              <w:spacing w:line="400" w:lineRule="exact"/>
              <w:ind w:firstLine="0" w:firstLineChars="0"/>
              <w:jc w:val="center"/>
              <w:textAlignment w:val="center"/>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highlight w:val="none"/>
                <w:lang w:val="en-US" w:eastAsia="zh-CN" w:bidi="ar"/>
              </w:rPr>
              <w:t>9</w:t>
            </w:r>
            <w:r>
              <w:rPr>
                <w:rFonts w:hint="default" w:ascii="Times New Roman" w:hAnsi="Times New Roman" w:eastAsia="宋体" w:cs="Times New Roman"/>
                <w:b/>
                <w:bCs/>
                <w:color w:val="auto"/>
                <w:sz w:val="21"/>
                <w:szCs w:val="21"/>
                <w:highlight w:val="none"/>
                <w:lang w:bidi="ar"/>
              </w:rPr>
              <w:t>分</w:t>
            </w:r>
          </w:p>
        </w:tc>
      </w:tr>
    </w:tbl>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2"/>
          <w:sz w:val="32"/>
          <w:szCs w:val="32"/>
          <w:highlight w:val="none"/>
        </w:rPr>
        <w:t>说明：若所提供以上材料不实，将取消中标资格并追究相应责任。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100" w:firstLine="640" w:firstLineChars="200"/>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lang w:val="en-US" w:eastAsia="zh-CN"/>
        </w:rPr>
        <w:t>四、</w:t>
      </w:r>
      <w:r>
        <w:rPr>
          <w:rFonts w:hint="default" w:ascii="Times New Roman" w:hAnsi="Times New Roman" w:eastAsia="黑体" w:cs="Times New Roman"/>
          <w:color w:val="auto"/>
          <w:kern w:val="2"/>
          <w:sz w:val="32"/>
          <w:szCs w:val="32"/>
          <w:highlight w:val="none"/>
        </w:rPr>
        <w:t>成交候选人推荐原则</w:t>
      </w:r>
    </w:p>
    <w:p>
      <w:pPr>
        <w:keepNext w:val="0"/>
        <w:keepLines w:val="0"/>
        <w:pageBreakBefore w:val="0"/>
        <w:widowControl w:val="0"/>
        <w:kinsoku/>
        <w:wordWrap/>
        <w:overflowPunct/>
        <w:topLinePunct w:val="0"/>
        <w:autoSpaceDE/>
        <w:autoSpaceDN/>
        <w:bidi w:val="0"/>
        <w:adjustRightInd/>
        <w:snapToGrid/>
        <w:spacing w:line="580" w:lineRule="exact"/>
        <w:ind w:left="-210" w:leftChars="-100" w:firstLine="640"/>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sz w:val="32"/>
          <w:szCs w:val="32"/>
          <w:highlight w:val="none"/>
        </w:rPr>
        <w:t>评审小组将根据得分由高到低排列次序（总得分相同时，依次按最终报价低优先、技术分高优先、商务分高优先的顺序排列）推荐综合排名第一名的供应商为成交候选供应商。排名第一的成交候选人放弃成交、因不可抗力提出不能履行合同，采购单位可以确定排名第二的成交候选人为成交人，以此类推。采购人也可以重新组织采购。</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sectPr>
      <w:footerReference r:id="rId3" w:type="default"/>
      <w:pgSz w:w="11906" w:h="16838"/>
      <w:pgMar w:top="1984" w:right="1531" w:bottom="1417"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CBC9FB"/>
    <w:multiLevelType w:val="singleLevel"/>
    <w:tmpl w:val="2ACBC9F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TE4MWM4M2E0N2RmYWI3YTI0MjFhZjBkYmRlOTkifQ=="/>
  </w:docVars>
  <w:rsids>
    <w:rsidRoot w:val="00000000"/>
    <w:rsid w:val="004360C7"/>
    <w:rsid w:val="39215D79"/>
    <w:rsid w:val="643E1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pacing w:line="240" w:lineRule="auto"/>
      <w:ind w:firstLine="0" w:firstLineChars="0"/>
      <w:jc w:val="left"/>
    </w:pPr>
    <w:rPr>
      <w:sz w:val="21"/>
    </w:rPr>
  </w:style>
  <w:style w:type="paragraph" w:styleId="3">
    <w:name w:val="annotation text"/>
    <w:basedOn w:val="1"/>
    <w:autoRedefine/>
    <w:qFormat/>
    <w:uiPriority w:val="0"/>
    <w:pPr>
      <w:widowControl w:val="0"/>
      <w:adjustRightInd/>
      <w:snapToGrid/>
      <w:spacing w:line="240" w:lineRule="auto"/>
      <w:ind w:firstLine="0" w:firstLineChars="0"/>
      <w:jc w:val="left"/>
    </w:pPr>
    <w:rPr>
      <w:rFonts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2025-04-11T08:53:00Z</dcterms:created>
  <dc:creator>lenovo</dc:creator>
  <cp:lastModifiedBy>丶小青春</cp:lastModifiedBy>
  <dcterms:modified xsi:type="dcterms:W3CDTF">2025-04-15T03:44:44Z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F1794FE8F14D4398984944194F9A3543_12</vt:lpwstr>
  </property>
</Properties>
</file>