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4F226">
      <w:pPr>
        <w:keepNext w:val="0"/>
        <w:keepLines w:val="0"/>
        <w:pageBreakBefore w:val="0"/>
        <w:widowControl w:val="0"/>
        <w:kinsoku/>
        <w:wordWrap/>
        <w:overflowPunct/>
        <w:topLinePunct w:val="0"/>
        <w:autoSpaceDE/>
        <w:autoSpaceDN/>
        <w:bidi w:val="0"/>
        <w:spacing w:line="540" w:lineRule="exact"/>
        <w:jc w:val="center"/>
        <w:textAlignment w:val="auto"/>
        <w:rPr>
          <w:rFonts w:ascii="方正小标宋_GBK" w:hAnsi="方正小标宋_GBK" w:eastAsia="方正小标宋_GBK" w:cs="方正小标宋_GBK"/>
          <w:color w:val="auto"/>
          <w:sz w:val="44"/>
          <w:szCs w:val="44"/>
          <w:highlight w:val="none"/>
        </w:rPr>
      </w:pPr>
      <w:bookmarkStart w:id="1" w:name="_GoBack"/>
      <w:r>
        <w:rPr>
          <w:rFonts w:hint="eastAsia" w:ascii="方正小标宋_GBK" w:hAnsi="方正小标宋_GBK" w:eastAsia="方正小标宋_GBK" w:cs="方正小标宋_GBK"/>
          <w:color w:val="auto"/>
          <w:sz w:val="44"/>
          <w:szCs w:val="44"/>
          <w:highlight w:val="none"/>
        </w:rPr>
        <w:t>自治区大数据发展局党政机关综合办公平台应用移动办公服务采购项目采购需求和评分办法</w:t>
      </w:r>
    </w:p>
    <w:p w14:paraId="3F157722">
      <w:pPr>
        <w:keepNext w:val="0"/>
        <w:keepLines w:val="0"/>
        <w:pageBreakBefore w:val="0"/>
        <w:widowControl w:val="0"/>
        <w:kinsoku/>
        <w:wordWrap/>
        <w:overflowPunct/>
        <w:topLinePunct w:val="0"/>
        <w:autoSpaceDE/>
        <w:autoSpaceDN/>
        <w:bidi w:val="0"/>
        <w:spacing w:line="540" w:lineRule="exact"/>
        <w:ind w:firstLine="880"/>
        <w:textAlignment w:val="auto"/>
        <w:rPr>
          <w:rFonts w:ascii="方正小标宋_GBK" w:hAnsi="黑体" w:eastAsia="方正小标宋_GBK" w:cs="方正小标宋_GBK"/>
          <w:color w:val="auto"/>
          <w:sz w:val="44"/>
          <w:szCs w:val="44"/>
          <w:highlight w:val="none"/>
        </w:rPr>
      </w:pPr>
    </w:p>
    <w:p w14:paraId="75E9FB53">
      <w:pPr>
        <w:keepNext w:val="0"/>
        <w:keepLines w:val="0"/>
        <w:pageBreakBefore w:val="0"/>
        <w:widowControl w:val="0"/>
        <w:kinsoku/>
        <w:wordWrap/>
        <w:overflowPunct/>
        <w:topLinePunct w:val="0"/>
        <w:autoSpaceDE/>
        <w:autoSpaceDN/>
        <w:bidi w:val="0"/>
        <w:spacing w:line="540" w:lineRule="exact"/>
        <w:ind w:firstLine="880"/>
        <w:textAlignment w:val="auto"/>
        <w:rPr>
          <w:rFonts w:ascii="方正小标宋_GBK" w:hAnsi="黑体" w:eastAsia="方正小标宋_GBK" w:cs="方正小标宋_GBK"/>
          <w:color w:val="auto"/>
          <w:sz w:val="44"/>
          <w:szCs w:val="44"/>
          <w:highlight w:val="none"/>
        </w:rPr>
      </w:pPr>
    </w:p>
    <w:p w14:paraId="34555FBE">
      <w:pPr>
        <w:keepNext w:val="0"/>
        <w:keepLines w:val="0"/>
        <w:pageBreakBefore w:val="0"/>
        <w:widowControl w:val="0"/>
        <w:kinsoku/>
        <w:wordWrap/>
        <w:overflowPunct/>
        <w:topLinePunct w:val="0"/>
        <w:autoSpaceDE/>
        <w:autoSpaceDN/>
        <w:bidi w:val="0"/>
        <w:spacing w:line="540" w:lineRule="exact"/>
        <w:ind w:firstLine="600" w:firstLineChars="200"/>
        <w:textAlignment w:val="auto"/>
        <w:outlineLvl w:val="0"/>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一、采购需求</w:t>
      </w:r>
    </w:p>
    <w:p w14:paraId="7147EFAB">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kern w:val="0"/>
          <w:sz w:val="30"/>
          <w:szCs w:val="30"/>
          <w:highlight w:val="none"/>
        </w:rPr>
      </w:pPr>
      <w:r>
        <w:rPr>
          <w:rFonts w:hint="eastAsia" w:ascii="仿宋" w:hAnsi="仿宋" w:eastAsia="仿宋" w:cs="仿宋"/>
          <w:color w:val="auto"/>
          <w:sz w:val="30"/>
          <w:szCs w:val="30"/>
          <w:highlight w:val="none"/>
        </w:rPr>
        <w:t>根据自治区“一云承载、一网通达、一池共享、一事通办、一体安全”的“五个一”政务数据治理新模式要求，自治区级移动办公网络通道已由自治区政府办统一建设，各单位在此基础上建设使用移动办公系统，</w:t>
      </w:r>
      <w:r>
        <w:rPr>
          <w:rFonts w:hint="eastAsia" w:ascii="仿宋" w:hAnsi="仿宋" w:eastAsia="仿宋" w:cs="仿宋"/>
          <w:color w:val="auto"/>
          <w:kern w:val="0"/>
          <w:sz w:val="30"/>
          <w:szCs w:val="30"/>
          <w:highlight w:val="none"/>
        </w:rPr>
        <w:t>本项目采购内容为移动办公应用支撑系统服务，包含终端切换系统、终端适配系统和安全支撑系统，服务期1年。</w:t>
      </w:r>
    </w:p>
    <w:p w14:paraId="024BCC95">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left="-13" w:leftChars="0" w:firstLine="643" w:firstLineChars="0"/>
        <w:textAlignment w:val="auto"/>
        <w:outlineLvl w:val="1"/>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移动办公套餐要求</w:t>
      </w:r>
    </w:p>
    <w:p w14:paraId="3627EDFD">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由供应商提供70个</w:t>
      </w:r>
      <w:bookmarkStart w:id="0" w:name="OLE_LINK2"/>
      <w:r>
        <w:rPr>
          <w:rFonts w:hint="eastAsia" w:ascii="仿宋" w:hAnsi="仿宋" w:eastAsia="仿宋" w:cs="仿宋"/>
          <w:color w:val="auto"/>
          <w:sz w:val="30"/>
          <w:szCs w:val="30"/>
          <w:highlight w:val="none"/>
        </w:rPr>
        <w:t>移动办公</w:t>
      </w:r>
      <w:bookmarkEnd w:id="0"/>
      <w:r>
        <w:rPr>
          <w:rFonts w:hint="eastAsia" w:ascii="仿宋" w:hAnsi="仿宋" w:eastAsia="仿宋" w:cs="仿宋"/>
          <w:color w:val="auto"/>
          <w:sz w:val="30"/>
          <w:szCs w:val="30"/>
          <w:highlight w:val="none"/>
        </w:rPr>
        <w:t>套餐，每个套餐每月均提供流量不小于20GB、国内语音时长不小于300分钟。</w:t>
      </w:r>
    </w:p>
    <w:p w14:paraId="00821E7E">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采购方向供应商租赁1</w:t>
      </w:r>
      <w:r>
        <w:rPr>
          <w:rFonts w:ascii="仿宋" w:hAnsi="仿宋" w:eastAsia="仿宋" w:cs="仿宋"/>
          <w:color w:val="auto"/>
          <w:sz w:val="30"/>
          <w:szCs w:val="30"/>
          <w:highlight w:val="none"/>
        </w:rPr>
        <w:t>4</w:t>
      </w:r>
      <w:r>
        <w:rPr>
          <w:rFonts w:hint="eastAsia" w:ascii="仿宋" w:hAnsi="仿宋" w:eastAsia="仿宋" w:cs="仿宋"/>
          <w:color w:val="auto"/>
          <w:sz w:val="30"/>
          <w:szCs w:val="30"/>
          <w:highlight w:val="none"/>
        </w:rPr>
        <w:t>台办公终端，2套包含内存不少于12GB、存储不少于256GB、处理器不少于八核的国产终端并配备原装同品牌触控手写笔和同品牌原装智能磁吸键盘，12套内存不少于6GB、存储不少于128GB、处理器不少于8核的终端并配备原装电容触控手写笔，详细参数如下表所示：</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5245"/>
        <w:gridCol w:w="850"/>
        <w:gridCol w:w="901"/>
      </w:tblGrid>
      <w:tr w14:paraId="60E7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19F6AF8">
            <w:pPr>
              <w:keepNext w:val="0"/>
              <w:keepLines w:val="0"/>
              <w:pageBreakBefore w:val="0"/>
              <w:widowControl w:val="0"/>
              <w:kinsoku/>
              <w:wordWrap/>
              <w:overflowPunct/>
              <w:topLinePunct w:val="0"/>
              <w:autoSpaceDE/>
              <w:autoSpaceDN/>
              <w:bidi w:val="0"/>
              <w:spacing w:line="540" w:lineRule="exact"/>
              <w:jc w:val="center"/>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序号</w:t>
            </w:r>
          </w:p>
        </w:tc>
        <w:tc>
          <w:tcPr>
            <w:tcW w:w="1701" w:type="dxa"/>
            <w:vAlign w:val="center"/>
          </w:tcPr>
          <w:p w14:paraId="054AFE54">
            <w:pPr>
              <w:keepNext w:val="0"/>
              <w:keepLines w:val="0"/>
              <w:pageBreakBefore w:val="0"/>
              <w:widowControl w:val="0"/>
              <w:kinsoku/>
              <w:wordWrap/>
              <w:overflowPunct/>
              <w:topLinePunct w:val="0"/>
              <w:autoSpaceDE/>
              <w:autoSpaceDN/>
              <w:bidi w:val="0"/>
              <w:spacing w:line="540" w:lineRule="exact"/>
              <w:jc w:val="center"/>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项目内容</w:t>
            </w:r>
          </w:p>
        </w:tc>
        <w:tc>
          <w:tcPr>
            <w:tcW w:w="5245" w:type="dxa"/>
            <w:vAlign w:val="center"/>
          </w:tcPr>
          <w:p w14:paraId="085866FE">
            <w:pPr>
              <w:keepNext w:val="0"/>
              <w:keepLines w:val="0"/>
              <w:pageBreakBefore w:val="0"/>
              <w:widowControl w:val="0"/>
              <w:kinsoku/>
              <w:wordWrap/>
              <w:overflowPunct/>
              <w:topLinePunct w:val="0"/>
              <w:autoSpaceDE/>
              <w:autoSpaceDN/>
              <w:bidi w:val="0"/>
              <w:spacing w:line="540" w:lineRule="exact"/>
              <w:jc w:val="center"/>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招标要求</w:t>
            </w:r>
          </w:p>
        </w:tc>
        <w:tc>
          <w:tcPr>
            <w:tcW w:w="850" w:type="dxa"/>
            <w:vAlign w:val="center"/>
          </w:tcPr>
          <w:p w14:paraId="7662FD88">
            <w:pPr>
              <w:keepNext w:val="0"/>
              <w:keepLines w:val="0"/>
              <w:pageBreakBefore w:val="0"/>
              <w:widowControl w:val="0"/>
              <w:kinsoku/>
              <w:wordWrap/>
              <w:overflowPunct/>
              <w:topLinePunct w:val="0"/>
              <w:autoSpaceDE/>
              <w:autoSpaceDN/>
              <w:bidi w:val="0"/>
              <w:spacing w:line="540" w:lineRule="exact"/>
              <w:jc w:val="center"/>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数量</w:t>
            </w:r>
          </w:p>
        </w:tc>
        <w:tc>
          <w:tcPr>
            <w:tcW w:w="901" w:type="dxa"/>
            <w:vAlign w:val="center"/>
          </w:tcPr>
          <w:p w14:paraId="075EB840">
            <w:pPr>
              <w:keepNext w:val="0"/>
              <w:keepLines w:val="0"/>
              <w:pageBreakBefore w:val="0"/>
              <w:widowControl w:val="0"/>
              <w:kinsoku/>
              <w:wordWrap/>
              <w:overflowPunct/>
              <w:topLinePunct w:val="0"/>
              <w:autoSpaceDE/>
              <w:autoSpaceDN/>
              <w:bidi w:val="0"/>
              <w:spacing w:line="540" w:lineRule="exact"/>
              <w:jc w:val="center"/>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单位</w:t>
            </w:r>
          </w:p>
        </w:tc>
      </w:tr>
      <w:tr w14:paraId="0FB7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49714CA">
            <w:pPr>
              <w:keepNext w:val="0"/>
              <w:keepLines w:val="0"/>
              <w:pageBreakBefore w:val="0"/>
              <w:widowControl w:val="0"/>
              <w:kinsoku/>
              <w:wordWrap/>
              <w:overflowPunct/>
              <w:topLinePunct w:val="0"/>
              <w:autoSpaceDE/>
              <w:autoSpaceDN/>
              <w:bidi w:val="0"/>
              <w:spacing w:line="540" w:lineRule="exact"/>
              <w:jc w:val="center"/>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p>
        </w:tc>
        <w:tc>
          <w:tcPr>
            <w:tcW w:w="1701" w:type="dxa"/>
            <w:vAlign w:val="center"/>
          </w:tcPr>
          <w:p w14:paraId="46DC9D17">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服务项目1</w:t>
            </w:r>
          </w:p>
        </w:tc>
        <w:tc>
          <w:tcPr>
            <w:tcW w:w="5245" w:type="dxa"/>
            <w:vAlign w:val="center"/>
          </w:tcPr>
          <w:p w14:paraId="195A529E">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一、服务参数：</w:t>
            </w:r>
          </w:p>
          <w:p w14:paraId="2AB00CDF">
            <w:pPr>
              <w:pStyle w:val="16"/>
              <w:keepNext w:val="0"/>
              <w:keepLines w:val="0"/>
              <w:pageBreakBefore w:val="0"/>
              <w:widowControl w:val="0"/>
              <w:kinsoku/>
              <w:wordWrap/>
              <w:overflowPunct/>
              <w:topLinePunct w:val="0"/>
              <w:autoSpaceDE/>
              <w:autoSpaceDN/>
              <w:bidi w:val="0"/>
              <w:spacing w:line="540" w:lineRule="exact"/>
              <w:ind w:firstLine="0" w:firstLineChars="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1.★网络制式：支持全网通</w:t>
            </w:r>
          </w:p>
          <w:p w14:paraId="29D8190D">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2.★存储空间：运行内存（RAM）+机身内存（ROM）：≥12GB（RAM）+≥256GB（ROM）</w:t>
            </w:r>
          </w:p>
          <w:p w14:paraId="7DB17258">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3.★CPU型号：国产芯片</w:t>
            </w:r>
          </w:p>
          <w:p w14:paraId="604B13DA">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4.★操作系统：HarmonyOS 4.3或以上</w:t>
            </w:r>
          </w:p>
          <w:p w14:paraId="3FDB5EF7">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5</w:t>
            </w:r>
            <w:r>
              <w:rPr>
                <w:rFonts w:ascii="仿宋" w:hAnsi="仿宋" w:eastAsia="仿宋" w:cs="仿宋"/>
                <w:color w:val="auto"/>
                <w:sz w:val="30"/>
                <w:szCs w:val="30"/>
                <w:highlight w:val="none"/>
              </w:rPr>
              <w:t>.</w:t>
            </w:r>
            <w:r>
              <w:rPr>
                <w:rFonts w:hint="eastAsia" w:ascii="仿宋" w:hAnsi="仿宋" w:eastAsia="仿宋" w:cs="仿宋"/>
                <w:color w:val="auto"/>
                <w:sz w:val="30"/>
                <w:szCs w:val="30"/>
                <w:highlight w:val="none"/>
              </w:rPr>
              <w:t>感应器：力传感器、陀螺仪、环境光传感器、霍尔传感器、指南针、状态指示灯</w:t>
            </w:r>
          </w:p>
          <w:p w14:paraId="4FEC5F7A">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6.蓝牙：Bluetooth 5.2，支持BLE、AAC、LDAC</w:t>
            </w:r>
          </w:p>
          <w:p w14:paraId="53004433">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7.定位：支持WLAN网络定位、GPS、GLONASS、北斗、伽利略</w:t>
            </w:r>
          </w:p>
          <w:p w14:paraId="7A5500FA">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8.扩展接口：</w:t>
            </w:r>
          </w:p>
          <w:p w14:paraId="08130354">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（1）耳机接口：</w:t>
            </w:r>
            <w:r>
              <w:rPr>
                <w:rFonts w:ascii="仿宋" w:hAnsi="仿宋" w:eastAsia="仿宋" w:cs="仿宋"/>
                <w:color w:val="auto"/>
                <w:sz w:val="30"/>
                <w:szCs w:val="30"/>
                <w:highlight w:val="none"/>
              </w:rPr>
              <w:t xml:space="preserve">USB Type-C </w:t>
            </w:r>
            <w:r>
              <w:rPr>
                <w:rFonts w:hint="eastAsia" w:ascii="仿宋" w:hAnsi="仿宋" w:eastAsia="仿宋" w:cs="仿宋"/>
                <w:color w:val="auto"/>
                <w:sz w:val="30"/>
                <w:szCs w:val="30"/>
                <w:highlight w:val="none"/>
              </w:rPr>
              <w:t>接口</w:t>
            </w:r>
          </w:p>
          <w:p w14:paraId="61EC483F">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（2）数据接口：</w:t>
            </w:r>
            <w:r>
              <w:rPr>
                <w:rFonts w:ascii="仿宋" w:hAnsi="仿宋" w:eastAsia="仿宋" w:cs="仿宋"/>
                <w:color w:val="auto"/>
                <w:sz w:val="30"/>
                <w:szCs w:val="30"/>
                <w:highlight w:val="none"/>
              </w:rPr>
              <w:t>Type-C</w:t>
            </w:r>
            <w:r>
              <w:rPr>
                <w:rFonts w:hint="eastAsia" w:ascii="仿宋" w:hAnsi="仿宋" w:eastAsia="仿宋" w:cs="仿宋"/>
                <w:color w:val="auto"/>
                <w:sz w:val="30"/>
                <w:szCs w:val="30"/>
                <w:highlight w:val="none"/>
              </w:rPr>
              <w:t>，支持</w:t>
            </w:r>
            <w:r>
              <w:rPr>
                <w:rFonts w:ascii="仿宋" w:hAnsi="仿宋" w:eastAsia="仿宋" w:cs="仿宋"/>
                <w:color w:val="auto"/>
                <w:sz w:val="30"/>
                <w:szCs w:val="30"/>
                <w:highlight w:val="none"/>
              </w:rPr>
              <w:t xml:space="preserve"> USB 3.1 GEN1</w:t>
            </w:r>
          </w:p>
          <w:p w14:paraId="6DAF98B3">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9.★摄像头：</w:t>
            </w:r>
          </w:p>
          <w:p w14:paraId="753446A2">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（1）后置主摄像头：≥5000万像素主摄像头（F1.8光圈，自动对焦）+ ≥800万像素广角摄像头（F2.2光圈，固定焦距）</w:t>
            </w:r>
          </w:p>
          <w:p w14:paraId="1E562A24">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（2）前置摄像头：≥</w:t>
            </w:r>
            <w:r>
              <w:rPr>
                <w:rFonts w:ascii="仿宋" w:hAnsi="仿宋" w:eastAsia="仿宋" w:cs="仿宋"/>
                <w:color w:val="auto"/>
                <w:sz w:val="30"/>
                <w:szCs w:val="30"/>
                <w:highlight w:val="none"/>
              </w:rPr>
              <w:t>1600</w:t>
            </w:r>
            <w:r>
              <w:rPr>
                <w:rFonts w:hint="eastAsia" w:ascii="仿宋" w:hAnsi="仿宋" w:eastAsia="仿宋" w:cs="仿宋"/>
                <w:color w:val="auto"/>
                <w:sz w:val="30"/>
                <w:szCs w:val="30"/>
                <w:highlight w:val="none"/>
              </w:rPr>
              <w:t>万像素（</w:t>
            </w:r>
            <w:r>
              <w:rPr>
                <w:rFonts w:ascii="仿宋" w:hAnsi="仿宋" w:eastAsia="仿宋" w:cs="仿宋"/>
                <w:color w:val="auto"/>
                <w:sz w:val="30"/>
                <w:szCs w:val="30"/>
                <w:highlight w:val="none"/>
              </w:rPr>
              <w:t xml:space="preserve">f/2.2 </w:t>
            </w:r>
            <w:r>
              <w:rPr>
                <w:rFonts w:hint="eastAsia" w:ascii="仿宋" w:hAnsi="仿宋" w:eastAsia="仿宋" w:cs="仿宋"/>
                <w:color w:val="auto"/>
                <w:sz w:val="30"/>
                <w:szCs w:val="30"/>
                <w:highlight w:val="none"/>
              </w:rPr>
              <w:t>光圈）</w:t>
            </w:r>
          </w:p>
          <w:p w14:paraId="48D40C79">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10.★电池：</w:t>
            </w:r>
          </w:p>
          <w:p w14:paraId="4F7D966F">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（1）容量：≥</w:t>
            </w:r>
            <w:r>
              <w:rPr>
                <w:rFonts w:ascii="仿宋" w:hAnsi="仿宋" w:eastAsia="仿宋" w:cs="仿宋"/>
                <w:color w:val="auto"/>
                <w:sz w:val="30"/>
                <w:szCs w:val="30"/>
                <w:highlight w:val="none"/>
              </w:rPr>
              <w:t>10100mAh</w:t>
            </w:r>
          </w:p>
          <w:p w14:paraId="30C10DCB">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（2）充电：</w:t>
            </w:r>
            <w:r>
              <w:rPr>
                <w:rFonts w:ascii="仿宋" w:hAnsi="仿宋" w:eastAsia="仿宋" w:cs="仿宋"/>
                <w:color w:val="auto"/>
                <w:sz w:val="30"/>
                <w:szCs w:val="30"/>
                <w:highlight w:val="none"/>
              </w:rPr>
              <w:t>USB-A</w:t>
            </w:r>
            <w:r>
              <w:rPr>
                <w:rFonts w:hint="eastAsia" w:ascii="仿宋" w:hAnsi="仿宋" w:eastAsia="仿宋" w:cs="仿宋"/>
                <w:color w:val="auto"/>
                <w:sz w:val="30"/>
                <w:szCs w:val="30"/>
                <w:highlight w:val="none"/>
              </w:rPr>
              <w:t>口：支持</w:t>
            </w:r>
            <w:r>
              <w:rPr>
                <w:rFonts w:ascii="仿宋" w:hAnsi="仿宋" w:eastAsia="仿宋" w:cs="仿宋"/>
                <w:color w:val="auto"/>
                <w:sz w:val="30"/>
                <w:szCs w:val="30"/>
                <w:highlight w:val="none"/>
              </w:rPr>
              <w:t xml:space="preserve">20V5A </w:t>
            </w:r>
            <w:r>
              <w:rPr>
                <w:rFonts w:hint="eastAsia" w:ascii="仿宋" w:hAnsi="仿宋" w:eastAsia="仿宋" w:cs="仿宋"/>
                <w:color w:val="auto"/>
                <w:sz w:val="30"/>
                <w:szCs w:val="30"/>
                <w:highlight w:val="none"/>
              </w:rPr>
              <w:t>或</w:t>
            </w:r>
            <w:r>
              <w:rPr>
                <w:rFonts w:ascii="仿宋" w:hAnsi="仿宋" w:eastAsia="仿宋" w:cs="仿宋"/>
                <w:color w:val="auto"/>
                <w:sz w:val="30"/>
                <w:szCs w:val="30"/>
                <w:highlight w:val="none"/>
              </w:rPr>
              <w:t xml:space="preserve"> 11V6A </w:t>
            </w:r>
            <w:r>
              <w:rPr>
                <w:rFonts w:hint="eastAsia" w:ascii="仿宋" w:hAnsi="仿宋" w:eastAsia="仿宋" w:cs="仿宋"/>
                <w:color w:val="auto"/>
                <w:sz w:val="30"/>
                <w:szCs w:val="30"/>
                <w:highlight w:val="none"/>
              </w:rPr>
              <w:t>或</w:t>
            </w:r>
            <w:r>
              <w:rPr>
                <w:rFonts w:ascii="仿宋" w:hAnsi="仿宋" w:eastAsia="仿宋" w:cs="仿宋"/>
                <w:color w:val="auto"/>
                <w:sz w:val="30"/>
                <w:szCs w:val="30"/>
                <w:highlight w:val="none"/>
              </w:rPr>
              <w:t xml:space="preserve">10V4A </w:t>
            </w:r>
            <w:r>
              <w:rPr>
                <w:rFonts w:hint="eastAsia" w:ascii="仿宋" w:hAnsi="仿宋" w:eastAsia="仿宋" w:cs="仿宋"/>
                <w:color w:val="auto"/>
                <w:sz w:val="30"/>
                <w:szCs w:val="30"/>
                <w:highlight w:val="none"/>
              </w:rPr>
              <w:t>或</w:t>
            </w:r>
            <w:r>
              <w:rPr>
                <w:rFonts w:ascii="仿宋" w:hAnsi="仿宋" w:eastAsia="仿宋" w:cs="仿宋"/>
                <w:color w:val="auto"/>
                <w:sz w:val="30"/>
                <w:szCs w:val="30"/>
                <w:highlight w:val="none"/>
              </w:rPr>
              <w:t xml:space="preserve"> 5V2A </w:t>
            </w:r>
            <w:r>
              <w:rPr>
                <w:rFonts w:hint="eastAsia" w:ascii="仿宋" w:hAnsi="仿宋" w:eastAsia="仿宋" w:cs="仿宋"/>
                <w:color w:val="auto"/>
                <w:sz w:val="30"/>
                <w:szCs w:val="30"/>
                <w:highlight w:val="none"/>
              </w:rPr>
              <w:t>输出；</w:t>
            </w:r>
            <w:r>
              <w:rPr>
                <w:rFonts w:ascii="仿宋" w:hAnsi="仿宋" w:eastAsia="仿宋" w:cs="仿宋"/>
                <w:color w:val="auto"/>
                <w:sz w:val="30"/>
                <w:szCs w:val="30"/>
                <w:highlight w:val="none"/>
              </w:rPr>
              <w:t>USB-C</w:t>
            </w:r>
            <w:r>
              <w:rPr>
                <w:rFonts w:hint="eastAsia" w:ascii="仿宋" w:hAnsi="仿宋" w:eastAsia="仿宋" w:cs="仿宋"/>
                <w:color w:val="auto"/>
                <w:sz w:val="30"/>
                <w:szCs w:val="30"/>
                <w:highlight w:val="none"/>
              </w:rPr>
              <w:t>口：支持</w:t>
            </w:r>
            <w:r>
              <w:rPr>
                <w:rFonts w:ascii="仿宋" w:hAnsi="仿宋" w:eastAsia="仿宋" w:cs="仿宋"/>
                <w:color w:val="auto"/>
                <w:sz w:val="30"/>
                <w:szCs w:val="30"/>
                <w:highlight w:val="none"/>
              </w:rPr>
              <w:t xml:space="preserve">20V5A </w:t>
            </w:r>
            <w:r>
              <w:rPr>
                <w:rFonts w:hint="eastAsia" w:ascii="仿宋" w:hAnsi="仿宋" w:eastAsia="仿宋" w:cs="仿宋"/>
                <w:color w:val="auto"/>
                <w:sz w:val="30"/>
                <w:szCs w:val="30"/>
                <w:highlight w:val="none"/>
              </w:rPr>
              <w:t>或</w:t>
            </w:r>
            <w:r>
              <w:rPr>
                <w:rFonts w:ascii="仿宋" w:hAnsi="仿宋" w:eastAsia="仿宋" w:cs="仿宋"/>
                <w:color w:val="auto"/>
                <w:sz w:val="30"/>
                <w:szCs w:val="30"/>
                <w:highlight w:val="none"/>
              </w:rPr>
              <w:t xml:space="preserve">15V3A </w:t>
            </w:r>
            <w:r>
              <w:rPr>
                <w:rFonts w:hint="eastAsia" w:ascii="仿宋" w:hAnsi="仿宋" w:eastAsia="仿宋" w:cs="仿宋"/>
                <w:color w:val="auto"/>
                <w:sz w:val="30"/>
                <w:szCs w:val="30"/>
                <w:highlight w:val="none"/>
              </w:rPr>
              <w:t>或</w:t>
            </w:r>
            <w:r>
              <w:rPr>
                <w:rFonts w:ascii="仿宋" w:hAnsi="仿宋" w:eastAsia="仿宋" w:cs="仿宋"/>
                <w:color w:val="auto"/>
                <w:sz w:val="30"/>
                <w:szCs w:val="30"/>
                <w:highlight w:val="none"/>
              </w:rPr>
              <w:t xml:space="preserve">12V3A </w:t>
            </w:r>
            <w:r>
              <w:rPr>
                <w:rFonts w:hint="eastAsia" w:ascii="仿宋" w:hAnsi="仿宋" w:eastAsia="仿宋" w:cs="仿宋"/>
                <w:color w:val="auto"/>
                <w:sz w:val="30"/>
                <w:szCs w:val="30"/>
                <w:highlight w:val="none"/>
              </w:rPr>
              <w:t>或</w:t>
            </w:r>
            <w:r>
              <w:rPr>
                <w:rFonts w:ascii="仿宋" w:hAnsi="仿宋" w:eastAsia="仿宋" w:cs="仿宋"/>
                <w:color w:val="auto"/>
                <w:sz w:val="30"/>
                <w:szCs w:val="30"/>
                <w:highlight w:val="none"/>
              </w:rPr>
              <w:t xml:space="preserve"> 11V6A </w:t>
            </w:r>
            <w:r>
              <w:rPr>
                <w:rFonts w:hint="eastAsia" w:ascii="仿宋" w:hAnsi="仿宋" w:eastAsia="仿宋" w:cs="仿宋"/>
                <w:color w:val="auto"/>
                <w:sz w:val="30"/>
                <w:szCs w:val="30"/>
                <w:highlight w:val="none"/>
              </w:rPr>
              <w:t>或</w:t>
            </w:r>
            <w:r>
              <w:rPr>
                <w:rFonts w:ascii="仿宋" w:hAnsi="仿宋" w:eastAsia="仿宋" w:cs="仿宋"/>
                <w:color w:val="auto"/>
                <w:sz w:val="30"/>
                <w:szCs w:val="30"/>
                <w:highlight w:val="none"/>
              </w:rPr>
              <w:t xml:space="preserve">10V4A </w:t>
            </w:r>
            <w:r>
              <w:rPr>
                <w:rFonts w:hint="eastAsia" w:ascii="仿宋" w:hAnsi="仿宋" w:eastAsia="仿宋" w:cs="仿宋"/>
                <w:color w:val="auto"/>
                <w:sz w:val="30"/>
                <w:szCs w:val="30"/>
                <w:highlight w:val="none"/>
              </w:rPr>
              <w:t>或</w:t>
            </w:r>
            <w:r>
              <w:rPr>
                <w:rFonts w:ascii="仿宋" w:hAnsi="仿宋" w:eastAsia="仿宋" w:cs="仿宋"/>
                <w:color w:val="auto"/>
                <w:sz w:val="30"/>
                <w:szCs w:val="30"/>
                <w:highlight w:val="none"/>
              </w:rPr>
              <w:t xml:space="preserve">9V3A </w:t>
            </w:r>
            <w:r>
              <w:rPr>
                <w:rFonts w:hint="eastAsia" w:ascii="仿宋" w:hAnsi="仿宋" w:eastAsia="仿宋" w:cs="仿宋"/>
                <w:color w:val="auto"/>
                <w:sz w:val="30"/>
                <w:szCs w:val="30"/>
                <w:highlight w:val="none"/>
              </w:rPr>
              <w:t>或</w:t>
            </w:r>
            <w:r>
              <w:rPr>
                <w:rFonts w:ascii="仿宋" w:hAnsi="仿宋" w:eastAsia="仿宋" w:cs="仿宋"/>
                <w:color w:val="auto"/>
                <w:sz w:val="30"/>
                <w:szCs w:val="30"/>
                <w:highlight w:val="none"/>
              </w:rPr>
              <w:t>5V3A</w:t>
            </w:r>
          </w:p>
          <w:p w14:paraId="1A5774FD">
            <w:pPr>
              <w:pStyle w:val="16"/>
              <w:keepNext w:val="0"/>
              <w:keepLines w:val="0"/>
              <w:pageBreakBefore w:val="0"/>
              <w:widowControl w:val="0"/>
              <w:numPr>
                <w:ilvl w:val="0"/>
                <w:numId w:val="2"/>
              </w:numPr>
              <w:kinsoku/>
              <w:wordWrap/>
              <w:overflowPunct/>
              <w:topLinePunct w:val="0"/>
              <w:autoSpaceDE/>
              <w:autoSpaceDN/>
              <w:bidi w:val="0"/>
              <w:spacing w:line="540" w:lineRule="exact"/>
              <w:ind w:firstLineChars="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配置同品牌原装电容触控手写笔：</w:t>
            </w:r>
          </w:p>
          <w:p w14:paraId="3CBDCFC9">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（1）触控笔尺寸：长度≤</w:t>
            </w:r>
            <w:r>
              <w:rPr>
                <w:rFonts w:ascii="仿宋" w:hAnsi="仿宋" w:eastAsia="仿宋" w:cs="仿宋"/>
                <w:color w:val="auto"/>
                <w:sz w:val="30"/>
                <w:szCs w:val="30"/>
                <w:highlight w:val="none"/>
              </w:rPr>
              <w:t>160mm</w:t>
            </w:r>
          </w:p>
          <w:p w14:paraId="541FE5A7">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r>
              <w:rPr>
                <w:rFonts w:ascii="仿宋" w:hAnsi="仿宋" w:eastAsia="仿宋" w:cs="仿宋"/>
                <w:color w:val="auto"/>
                <w:sz w:val="30"/>
                <w:szCs w:val="30"/>
                <w:highlight w:val="none"/>
              </w:rPr>
              <w:t>2</w:t>
            </w:r>
            <w:r>
              <w:rPr>
                <w:rFonts w:hint="eastAsia" w:ascii="仿宋" w:hAnsi="仿宋" w:eastAsia="仿宋" w:cs="仿宋"/>
                <w:color w:val="auto"/>
                <w:sz w:val="30"/>
                <w:szCs w:val="30"/>
                <w:highlight w:val="none"/>
              </w:rPr>
              <w:t>）重量：≤</w:t>
            </w:r>
            <w:r>
              <w:rPr>
                <w:rFonts w:ascii="仿宋" w:hAnsi="仿宋" w:eastAsia="仿宋" w:cs="仿宋"/>
                <w:color w:val="auto"/>
                <w:sz w:val="30"/>
                <w:szCs w:val="30"/>
                <w:highlight w:val="none"/>
              </w:rPr>
              <w:t>16g</w:t>
            </w:r>
          </w:p>
          <w:p w14:paraId="1B78D029">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（3）压感：支持</w:t>
            </w:r>
            <w:r>
              <w:rPr>
                <w:rFonts w:ascii="仿宋" w:hAnsi="仿宋" w:eastAsia="仿宋" w:cs="仿宋"/>
                <w:color w:val="auto"/>
                <w:sz w:val="30"/>
                <w:szCs w:val="30"/>
                <w:highlight w:val="none"/>
              </w:rPr>
              <w:t>16384</w:t>
            </w:r>
            <w:r>
              <w:rPr>
                <w:rFonts w:hint="eastAsia" w:ascii="仿宋" w:hAnsi="仿宋" w:eastAsia="仿宋" w:cs="仿宋"/>
                <w:color w:val="auto"/>
                <w:sz w:val="30"/>
                <w:szCs w:val="30"/>
                <w:highlight w:val="none"/>
              </w:rPr>
              <w:t>级压感手写</w:t>
            </w:r>
          </w:p>
          <w:p w14:paraId="1158D49E">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（4）充电：支持无线充电</w:t>
            </w:r>
          </w:p>
          <w:p w14:paraId="27E99776">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三、配置同品牌原装智能磁吸键盘：</w:t>
            </w:r>
          </w:p>
          <w:p w14:paraId="5373BE11">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（1）智能键盘尺寸：约</w:t>
            </w:r>
            <w:r>
              <w:rPr>
                <w:rFonts w:ascii="仿宋" w:hAnsi="仿宋" w:eastAsia="仿宋" w:cs="仿宋"/>
                <w:color w:val="auto"/>
                <w:sz w:val="30"/>
                <w:szCs w:val="30"/>
                <w:highlight w:val="none"/>
              </w:rPr>
              <w:t>289.1mm × 196.1mm</w:t>
            </w:r>
          </w:p>
          <w:p w14:paraId="545B357D">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r>
              <w:rPr>
                <w:rFonts w:ascii="仿宋" w:hAnsi="仿宋" w:eastAsia="仿宋" w:cs="仿宋"/>
                <w:color w:val="auto"/>
                <w:sz w:val="30"/>
                <w:szCs w:val="30"/>
                <w:highlight w:val="none"/>
              </w:rPr>
              <w:t>2</w:t>
            </w:r>
            <w:r>
              <w:rPr>
                <w:rFonts w:hint="eastAsia" w:ascii="仿宋" w:hAnsi="仿宋" w:eastAsia="仿宋" w:cs="仿宋"/>
                <w:color w:val="auto"/>
                <w:sz w:val="30"/>
                <w:szCs w:val="30"/>
                <w:highlight w:val="none"/>
              </w:rPr>
              <w:t>）重量：≤</w:t>
            </w:r>
            <w:r>
              <w:rPr>
                <w:rFonts w:ascii="仿宋" w:hAnsi="仿宋" w:eastAsia="仿宋" w:cs="仿宋"/>
                <w:color w:val="auto"/>
                <w:sz w:val="30"/>
                <w:szCs w:val="30"/>
                <w:highlight w:val="none"/>
              </w:rPr>
              <w:t>492g</w:t>
            </w:r>
          </w:p>
          <w:p w14:paraId="5F8BA9C4">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（3）键盘：约</w:t>
            </w:r>
            <w:r>
              <w:rPr>
                <w:rFonts w:ascii="仿宋" w:hAnsi="仿宋" w:eastAsia="仿宋" w:cs="仿宋"/>
                <w:color w:val="auto"/>
                <w:sz w:val="30"/>
                <w:szCs w:val="30"/>
                <w:highlight w:val="none"/>
              </w:rPr>
              <w:t>1.5</w:t>
            </w:r>
            <w:r>
              <w:rPr>
                <w:rFonts w:hint="eastAsia" w:ascii="仿宋" w:hAnsi="仿宋" w:eastAsia="仿宋" w:cs="仿宋"/>
                <w:color w:val="auto"/>
                <w:sz w:val="30"/>
                <w:szCs w:val="30"/>
                <w:highlight w:val="none"/>
              </w:rPr>
              <w:t>㎜高键程</w:t>
            </w:r>
          </w:p>
        </w:tc>
        <w:tc>
          <w:tcPr>
            <w:tcW w:w="850" w:type="dxa"/>
            <w:vAlign w:val="center"/>
          </w:tcPr>
          <w:p w14:paraId="566CD8B2">
            <w:pPr>
              <w:keepNext w:val="0"/>
              <w:keepLines w:val="0"/>
              <w:pageBreakBefore w:val="0"/>
              <w:widowControl w:val="0"/>
              <w:kinsoku/>
              <w:wordWrap/>
              <w:overflowPunct/>
              <w:topLinePunct w:val="0"/>
              <w:autoSpaceDE/>
              <w:autoSpaceDN/>
              <w:bidi w:val="0"/>
              <w:spacing w:line="540" w:lineRule="exact"/>
              <w:jc w:val="center"/>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p>
        </w:tc>
        <w:tc>
          <w:tcPr>
            <w:tcW w:w="901" w:type="dxa"/>
            <w:vAlign w:val="center"/>
          </w:tcPr>
          <w:p w14:paraId="349BAD65">
            <w:pPr>
              <w:keepNext w:val="0"/>
              <w:keepLines w:val="0"/>
              <w:pageBreakBefore w:val="0"/>
              <w:widowControl w:val="0"/>
              <w:kinsoku/>
              <w:wordWrap/>
              <w:overflowPunct/>
              <w:topLinePunct w:val="0"/>
              <w:autoSpaceDE/>
              <w:autoSpaceDN/>
              <w:bidi w:val="0"/>
              <w:spacing w:line="540" w:lineRule="exact"/>
              <w:jc w:val="center"/>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套</w:t>
            </w:r>
          </w:p>
        </w:tc>
      </w:tr>
      <w:tr w14:paraId="389AF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DEB0696">
            <w:pPr>
              <w:keepNext w:val="0"/>
              <w:keepLines w:val="0"/>
              <w:pageBreakBefore w:val="0"/>
              <w:widowControl w:val="0"/>
              <w:kinsoku/>
              <w:wordWrap/>
              <w:overflowPunct/>
              <w:topLinePunct w:val="0"/>
              <w:autoSpaceDE/>
              <w:autoSpaceDN/>
              <w:bidi w:val="0"/>
              <w:spacing w:line="540" w:lineRule="exact"/>
              <w:jc w:val="center"/>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p>
        </w:tc>
        <w:tc>
          <w:tcPr>
            <w:tcW w:w="1701" w:type="dxa"/>
            <w:vAlign w:val="center"/>
          </w:tcPr>
          <w:p w14:paraId="6ED9A17E">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服务项目2</w:t>
            </w:r>
          </w:p>
        </w:tc>
        <w:tc>
          <w:tcPr>
            <w:tcW w:w="5245" w:type="dxa"/>
            <w:vAlign w:val="center"/>
          </w:tcPr>
          <w:p w14:paraId="657E12ED">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一、服务参数：</w:t>
            </w:r>
          </w:p>
          <w:p w14:paraId="4394F5A8">
            <w:pPr>
              <w:pStyle w:val="16"/>
              <w:keepNext w:val="0"/>
              <w:keepLines w:val="0"/>
              <w:pageBreakBefore w:val="0"/>
              <w:widowControl w:val="0"/>
              <w:kinsoku/>
              <w:wordWrap/>
              <w:overflowPunct/>
              <w:topLinePunct w:val="0"/>
              <w:autoSpaceDE/>
              <w:autoSpaceDN/>
              <w:bidi w:val="0"/>
              <w:spacing w:line="540" w:lineRule="exact"/>
              <w:ind w:firstLine="0" w:firstLineChars="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1.★网络制式：支持全网通</w:t>
            </w:r>
          </w:p>
          <w:p w14:paraId="548F6CED">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2.★存储空间：运行内存（RAM）+机身内存（ROM）：≥6GB（RAM）+ ≥128GB（ROM）</w:t>
            </w:r>
          </w:p>
          <w:p w14:paraId="7CD3781D">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3.★CPU型号：高通骁龙7 Gen 1或优于</w:t>
            </w:r>
          </w:p>
          <w:p w14:paraId="79C4476E">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4.★操作系统：HarmonyOS 3.1或以上</w:t>
            </w:r>
          </w:p>
          <w:p w14:paraId="36CDE0D2">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5</w:t>
            </w:r>
            <w:r>
              <w:rPr>
                <w:rFonts w:ascii="仿宋" w:hAnsi="仿宋" w:eastAsia="仿宋" w:cs="仿宋"/>
                <w:color w:val="auto"/>
                <w:sz w:val="30"/>
                <w:szCs w:val="30"/>
                <w:highlight w:val="none"/>
              </w:rPr>
              <w:t>.</w:t>
            </w:r>
            <w:r>
              <w:rPr>
                <w:rFonts w:hint="eastAsia" w:ascii="仿宋" w:hAnsi="仿宋" w:eastAsia="仿宋" w:cs="仿宋"/>
                <w:color w:val="auto"/>
                <w:sz w:val="30"/>
                <w:szCs w:val="30"/>
                <w:highlight w:val="none"/>
              </w:rPr>
              <w:t>感应器：重力传感器、环境光传感器、霍尔传感器、指南针</w:t>
            </w:r>
          </w:p>
          <w:p w14:paraId="3B251A94">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6.蓝牙：Bluetooth 5.2</w:t>
            </w:r>
          </w:p>
          <w:p w14:paraId="7B515047">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7.定位：支持 GPS/AGPS/Glonass/北斗/伽利略/QZSS</w:t>
            </w:r>
          </w:p>
          <w:p w14:paraId="199BB179">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8.扩展接口：</w:t>
            </w:r>
          </w:p>
          <w:p w14:paraId="48B1FFAE">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（1）耳机接口：</w:t>
            </w:r>
            <w:r>
              <w:rPr>
                <w:rFonts w:ascii="仿宋" w:hAnsi="仿宋" w:eastAsia="仿宋" w:cs="仿宋"/>
                <w:color w:val="auto"/>
                <w:sz w:val="30"/>
                <w:szCs w:val="30"/>
                <w:highlight w:val="none"/>
              </w:rPr>
              <w:t xml:space="preserve">USB Type-C </w:t>
            </w:r>
            <w:r>
              <w:rPr>
                <w:rFonts w:hint="eastAsia" w:ascii="仿宋" w:hAnsi="仿宋" w:eastAsia="仿宋" w:cs="仿宋"/>
                <w:color w:val="auto"/>
                <w:sz w:val="30"/>
                <w:szCs w:val="30"/>
                <w:highlight w:val="none"/>
              </w:rPr>
              <w:t>接口</w:t>
            </w:r>
          </w:p>
          <w:p w14:paraId="5D006295">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（2）数据接口：</w:t>
            </w:r>
            <w:r>
              <w:rPr>
                <w:rFonts w:ascii="仿宋" w:hAnsi="仿宋" w:eastAsia="仿宋" w:cs="仿宋"/>
                <w:color w:val="auto"/>
                <w:sz w:val="30"/>
                <w:szCs w:val="30"/>
                <w:highlight w:val="none"/>
              </w:rPr>
              <w:t>USB Type-C</w:t>
            </w:r>
            <w:r>
              <w:rPr>
                <w:rFonts w:hint="eastAsia" w:ascii="仿宋" w:hAnsi="仿宋" w:eastAsia="仿宋" w:cs="仿宋"/>
                <w:color w:val="auto"/>
                <w:sz w:val="30"/>
                <w:szCs w:val="30"/>
                <w:highlight w:val="none"/>
              </w:rPr>
              <w:t>（</w:t>
            </w:r>
            <w:r>
              <w:rPr>
                <w:rFonts w:ascii="仿宋" w:hAnsi="仿宋" w:eastAsia="仿宋" w:cs="仿宋"/>
                <w:color w:val="auto"/>
                <w:sz w:val="30"/>
                <w:szCs w:val="30"/>
                <w:highlight w:val="none"/>
              </w:rPr>
              <w:t>USB 2.0</w:t>
            </w:r>
            <w:r>
              <w:rPr>
                <w:rFonts w:hint="eastAsia" w:ascii="仿宋" w:hAnsi="仿宋" w:eastAsia="仿宋" w:cs="仿宋"/>
                <w:color w:val="auto"/>
                <w:sz w:val="30"/>
                <w:szCs w:val="30"/>
                <w:highlight w:val="none"/>
              </w:rPr>
              <w:t>）</w:t>
            </w:r>
          </w:p>
          <w:p w14:paraId="0F38A018">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9.★摄像头：</w:t>
            </w:r>
          </w:p>
          <w:p w14:paraId="7E83FC32">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（1）后置主摄像头：≥</w:t>
            </w:r>
            <w:r>
              <w:rPr>
                <w:rFonts w:ascii="仿宋" w:hAnsi="仿宋" w:eastAsia="仿宋" w:cs="仿宋"/>
                <w:color w:val="auto"/>
                <w:sz w:val="30"/>
                <w:szCs w:val="30"/>
                <w:highlight w:val="none"/>
              </w:rPr>
              <w:t>1300</w:t>
            </w:r>
            <w:r>
              <w:rPr>
                <w:rFonts w:hint="eastAsia" w:ascii="仿宋" w:hAnsi="仿宋" w:eastAsia="仿宋" w:cs="仿宋"/>
                <w:color w:val="auto"/>
                <w:sz w:val="30"/>
                <w:szCs w:val="30"/>
                <w:highlight w:val="none"/>
              </w:rPr>
              <w:t>万像素，</w:t>
            </w:r>
            <w:r>
              <w:rPr>
                <w:rFonts w:ascii="仿宋" w:hAnsi="仿宋" w:eastAsia="仿宋" w:cs="仿宋"/>
                <w:color w:val="auto"/>
                <w:sz w:val="30"/>
                <w:szCs w:val="30"/>
                <w:highlight w:val="none"/>
              </w:rPr>
              <w:t>F1.8</w:t>
            </w:r>
            <w:r>
              <w:rPr>
                <w:rFonts w:hint="eastAsia" w:ascii="仿宋" w:hAnsi="仿宋" w:eastAsia="仿宋" w:cs="仿宋"/>
                <w:color w:val="auto"/>
                <w:sz w:val="30"/>
                <w:szCs w:val="30"/>
                <w:highlight w:val="none"/>
              </w:rPr>
              <w:t>，自动对焦</w:t>
            </w:r>
          </w:p>
          <w:p w14:paraId="04E4CA2C">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（2）前置摄像头：≥</w:t>
            </w:r>
            <w:r>
              <w:rPr>
                <w:rFonts w:ascii="仿宋" w:hAnsi="仿宋" w:eastAsia="仿宋" w:cs="仿宋"/>
                <w:color w:val="auto"/>
                <w:sz w:val="30"/>
                <w:szCs w:val="30"/>
                <w:highlight w:val="none"/>
              </w:rPr>
              <w:t xml:space="preserve">800 </w:t>
            </w:r>
            <w:r>
              <w:rPr>
                <w:rFonts w:hint="eastAsia" w:ascii="仿宋" w:hAnsi="仿宋" w:eastAsia="仿宋" w:cs="仿宋"/>
                <w:color w:val="auto"/>
                <w:sz w:val="30"/>
                <w:szCs w:val="30"/>
                <w:highlight w:val="none"/>
              </w:rPr>
              <w:t>万像素，</w:t>
            </w:r>
            <w:r>
              <w:rPr>
                <w:rFonts w:ascii="仿宋" w:hAnsi="仿宋" w:eastAsia="仿宋" w:cs="仿宋"/>
                <w:color w:val="auto"/>
                <w:sz w:val="30"/>
                <w:szCs w:val="30"/>
                <w:highlight w:val="none"/>
              </w:rPr>
              <w:t>F2.2</w:t>
            </w:r>
            <w:r>
              <w:rPr>
                <w:rFonts w:hint="eastAsia" w:ascii="仿宋" w:hAnsi="仿宋" w:eastAsia="仿宋" w:cs="仿宋"/>
                <w:color w:val="auto"/>
                <w:sz w:val="30"/>
                <w:szCs w:val="30"/>
                <w:highlight w:val="none"/>
              </w:rPr>
              <w:t>，固定焦距</w:t>
            </w:r>
          </w:p>
          <w:p w14:paraId="37CA74B4">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10.★电池：</w:t>
            </w:r>
          </w:p>
          <w:p w14:paraId="0B2AE4FA">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容量：≥</w:t>
            </w:r>
            <w:r>
              <w:rPr>
                <w:rFonts w:ascii="仿宋" w:hAnsi="仿宋" w:eastAsia="仿宋" w:cs="仿宋"/>
                <w:color w:val="auto"/>
                <w:sz w:val="30"/>
                <w:szCs w:val="30"/>
                <w:highlight w:val="none"/>
              </w:rPr>
              <w:t>7700mAh</w:t>
            </w:r>
          </w:p>
          <w:p w14:paraId="78AA549E">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二、配置原装电容触控手写笔：</w:t>
            </w:r>
          </w:p>
          <w:p w14:paraId="6635098D">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（1）触控笔尺寸：长度≤</w:t>
            </w:r>
            <w:r>
              <w:rPr>
                <w:rFonts w:ascii="仿宋" w:hAnsi="仿宋" w:eastAsia="仿宋" w:cs="仿宋"/>
                <w:color w:val="auto"/>
                <w:sz w:val="30"/>
                <w:szCs w:val="30"/>
                <w:highlight w:val="none"/>
              </w:rPr>
              <w:t>160mm</w:t>
            </w:r>
          </w:p>
          <w:p w14:paraId="5ACDF824">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（2）重量：≤</w:t>
            </w:r>
            <w:r>
              <w:rPr>
                <w:rFonts w:ascii="仿宋" w:hAnsi="仿宋" w:eastAsia="仿宋" w:cs="仿宋"/>
                <w:color w:val="auto"/>
                <w:sz w:val="30"/>
                <w:szCs w:val="30"/>
                <w:highlight w:val="none"/>
              </w:rPr>
              <w:t>16g</w:t>
            </w:r>
          </w:p>
          <w:p w14:paraId="66899605">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（3）压感：支持</w:t>
            </w:r>
            <w:r>
              <w:rPr>
                <w:rFonts w:ascii="仿宋" w:hAnsi="仿宋" w:eastAsia="仿宋" w:cs="仿宋"/>
                <w:color w:val="auto"/>
                <w:sz w:val="30"/>
                <w:szCs w:val="30"/>
                <w:highlight w:val="none"/>
              </w:rPr>
              <w:t>16384</w:t>
            </w:r>
            <w:r>
              <w:rPr>
                <w:rFonts w:hint="eastAsia" w:ascii="仿宋" w:hAnsi="仿宋" w:eastAsia="仿宋" w:cs="仿宋"/>
                <w:color w:val="auto"/>
                <w:sz w:val="30"/>
                <w:szCs w:val="30"/>
                <w:highlight w:val="none"/>
              </w:rPr>
              <w:t>级压感手写</w:t>
            </w:r>
          </w:p>
          <w:p w14:paraId="597E0AF2">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（4）充电：支持无线充电</w:t>
            </w:r>
          </w:p>
        </w:tc>
        <w:tc>
          <w:tcPr>
            <w:tcW w:w="850" w:type="dxa"/>
            <w:vAlign w:val="center"/>
          </w:tcPr>
          <w:p w14:paraId="39660A6D">
            <w:pPr>
              <w:keepNext w:val="0"/>
              <w:keepLines w:val="0"/>
              <w:pageBreakBefore w:val="0"/>
              <w:widowControl w:val="0"/>
              <w:kinsoku/>
              <w:wordWrap/>
              <w:overflowPunct/>
              <w:topLinePunct w:val="0"/>
              <w:autoSpaceDE/>
              <w:autoSpaceDN/>
              <w:bidi w:val="0"/>
              <w:spacing w:line="540" w:lineRule="exact"/>
              <w:jc w:val="center"/>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ascii="仿宋" w:hAnsi="仿宋" w:eastAsia="仿宋" w:cs="仿宋"/>
                <w:color w:val="auto"/>
                <w:sz w:val="30"/>
                <w:szCs w:val="30"/>
                <w:highlight w:val="none"/>
              </w:rPr>
              <w:t>2</w:t>
            </w:r>
          </w:p>
        </w:tc>
        <w:tc>
          <w:tcPr>
            <w:tcW w:w="901" w:type="dxa"/>
            <w:vAlign w:val="center"/>
          </w:tcPr>
          <w:p w14:paraId="6A5244B0">
            <w:pPr>
              <w:keepNext w:val="0"/>
              <w:keepLines w:val="0"/>
              <w:pageBreakBefore w:val="0"/>
              <w:widowControl w:val="0"/>
              <w:kinsoku/>
              <w:wordWrap/>
              <w:overflowPunct/>
              <w:topLinePunct w:val="0"/>
              <w:autoSpaceDE/>
              <w:autoSpaceDN/>
              <w:bidi w:val="0"/>
              <w:spacing w:line="540" w:lineRule="exact"/>
              <w:jc w:val="center"/>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套</w:t>
            </w:r>
          </w:p>
        </w:tc>
      </w:tr>
      <w:tr w14:paraId="5CAA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4B068E6">
            <w:pPr>
              <w:keepNext w:val="0"/>
              <w:keepLines w:val="0"/>
              <w:pageBreakBefore w:val="0"/>
              <w:widowControl w:val="0"/>
              <w:kinsoku/>
              <w:wordWrap/>
              <w:overflowPunct/>
              <w:topLinePunct w:val="0"/>
              <w:autoSpaceDE/>
              <w:autoSpaceDN/>
              <w:bidi w:val="0"/>
              <w:spacing w:line="540" w:lineRule="exact"/>
              <w:jc w:val="center"/>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p>
        </w:tc>
        <w:tc>
          <w:tcPr>
            <w:tcW w:w="1701" w:type="dxa"/>
            <w:vAlign w:val="center"/>
          </w:tcPr>
          <w:p w14:paraId="602ACBB9">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服务项目3</w:t>
            </w:r>
          </w:p>
        </w:tc>
        <w:tc>
          <w:tcPr>
            <w:tcW w:w="5245" w:type="dxa"/>
            <w:vAlign w:val="center"/>
          </w:tcPr>
          <w:p w14:paraId="56D19A81">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服务参数：每月均提供流量不小于20GB、国内语音时长不小于300分钟。</w:t>
            </w:r>
          </w:p>
        </w:tc>
        <w:tc>
          <w:tcPr>
            <w:tcW w:w="850" w:type="dxa"/>
            <w:vAlign w:val="center"/>
          </w:tcPr>
          <w:p w14:paraId="606BF392">
            <w:pPr>
              <w:keepNext w:val="0"/>
              <w:keepLines w:val="0"/>
              <w:pageBreakBefore w:val="0"/>
              <w:widowControl w:val="0"/>
              <w:kinsoku/>
              <w:wordWrap/>
              <w:overflowPunct/>
              <w:topLinePunct w:val="0"/>
              <w:autoSpaceDE/>
              <w:autoSpaceDN/>
              <w:bidi w:val="0"/>
              <w:spacing w:line="540" w:lineRule="exact"/>
              <w:jc w:val="center"/>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7</w:t>
            </w:r>
            <w:r>
              <w:rPr>
                <w:rFonts w:ascii="仿宋" w:hAnsi="仿宋" w:eastAsia="仿宋" w:cs="仿宋"/>
                <w:color w:val="auto"/>
                <w:sz w:val="30"/>
                <w:szCs w:val="30"/>
                <w:highlight w:val="none"/>
              </w:rPr>
              <w:t>0</w:t>
            </w:r>
          </w:p>
        </w:tc>
        <w:tc>
          <w:tcPr>
            <w:tcW w:w="901" w:type="dxa"/>
            <w:vAlign w:val="center"/>
          </w:tcPr>
          <w:p w14:paraId="244810B0">
            <w:pPr>
              <w:keepNext w:val="0"/>
              <w:keepLines w:val="0"/>
              <w:pageBreakBefore w:val="0"/>
              <w:widowControl w:val="0"/>
              <w:kinsoku/>
              <w:wordWrap/>
              <w:overflowPunct/>
              <w:topLinePunct w:val="0"/>
              <w:autoSpaceDE/>
              <w:autoSpaceDN/>
              <w:bidi w:val="0"/>
              <w:spacing w:line="540" w:lineRule="exact"/>
              <w:jc w:val="center"/>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个</w:t>
            </w:r>
          </w:p>
        </w:tc>
      </w:tr>
    </w:tbl>
    <w:p w14:paraId="5DFFE10E">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标注“★”的条款为必须满足项,不满足者将会作废标处理。</w:t>
      </w:r>
    </w:p>
    <w:p w14:paraId="628577DA">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left="-13" w:leftChars="0" w:firstLine="643" w:firstLineChars="0"/>
        <w:textAlignment w:val="auto"/>
        <w:outlineLvl w:val="1"/>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服务终端适配系统要求</w:t>
      </w:r>
    </w:p>
    <w:p w14:paraId="1AB747D2">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服务终端适配系统主要解决终端到现有应用的访问适配问题，确保用户业务应用在不同平台迁移过程中的连续性。</w:t>
      </w:r>
    </w:p>
    <w:p w14:paraId="1DE41BC0">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补充功能运行环境模块：提供移动终端暂不支持的功能运行环境，比如移动终端因为不支持插件和控件功能而无法访问某些现有应用，该模块中支持的功能可以代替移动终端实现到相关应用的访问，并将结果返回到移动终端显示。</w:t>
      </w:r>
    </w:p>
    <w:p w14:paraId="1D25D225">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2、数据同步模块：终端适配系统作为一个终端适配平台，它本身不保存用户应用数据，而是通过数据同步模块，将相关数据同步到移动终端，完全兼容移动终端应用模式。</w:t>
      </w:r>
    </w:p>
    <w:p w14:paraId="19720AC0">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作业调度和环境监控模块：终端适配系统不仅要补充实现移动终端暂时没有的功能，而且还要让移动终端充分发挥其已经具有的功能作用。作业调度模块就是根据作业调度清单，不仅将移动终端暂不支持的功能分配给功能适配和功能补充模块实现，还要将移动终端能够支持的功能强制调度到移动终端运行，以达到让移动终端真正用起来的目标；不仅如此，作业调度和环境监控模块还持续对补充功能运行环境进行监控，确保本该由移动终端完成的功能不会被用户私自交给平台完成，确保移动终端能够充分发挥功能作用。</w:t>
      </w:r>
    </w:p>
    <w:p w14:paraId="667F62BF">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4、数据安全保护模块：对移动终端与终端适配系统之间的数据交换行为进控制，保护终端适配系统所处理和存储的数据不被非法泄露和窃取，保证用户业务数据安全。</w:t>
      </w:r>
    </w:p>
    <w:p w14:paraId="51764D7F">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5、程序白名单模块：基于密码技术实现，对终端适配系统中的可执行代码调用为进控制，保证平台自身运安全也护中功能适配和补充模块所在运行环境的安全，不会因为操作系统停服等原因而导致系统存在安全风险。</w:t>
      </w:r>
    </w:p>
    <w:p w14:paraId="5C1FCC78">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6、通信安全模块：用于保护终端适配系统与移动终端之间的通安全和数据传输。</w:t>
      </w:r>
    </w:p>
    <w:p w14:paraId="1381435E">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left="-13" w:leftChars="0" w:firstLine="641" w:firstLineChars="0"/>
        <w:textAlignment w:val="auto"/>
        <w:outlineLvl w:val="1"/>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服务终端安全支撑系统要求</w:t>
      </w:r>
    </w:p>
    <w:p w14:paraId="25029E90">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rPr>
        <w:t>1.支持创建独立安全区域（工作区），通过系统安全加固及系统隔离手段保障工作区域内所有移动应用的信息安全；</w:t>
      </w:r>
    </w:p>
    <w:p w14:paraId="47525842">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rPr>
        <w:t>2.支持双模式操作形态，快速切换，一机多用，提供专业的安全加固并提高终端使用效率；</w:t>
      </w:r>
    </w:p>
    <w:p w14:paraId="3B6A9035">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3.系统隔离要求：</w:t>
      </w:r>
    </w:p>
    <w:p w14:paraId="7BD8D3CC">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1）数据隔离：支持工作区内数据不能被外访问，只能被工作区的应用调用。</w:t>
      </w:r>
    </w:p>
    <w:p w14:paraId="7ADC5C49">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2）应用隔离：支持工作区内的应用与普通系统的应用访问相互隔离，不能交互，支持应用双开。</w:t>
      </w:r>
    </w:p>
    <w:p w14:paraId="50D53632">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3）网络隔离：支持工作区与普通系统连接不同的APN，支持APN绑定。</w:t>
      </w:r>
    </w:p>
    <w:p w14:paraId="7F4AE34D">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b/>
          <w:bCs/>
          <w:color w:val="auto"/>
          <w:sz w:val="32"/>
          <w:szCs w:val="32"/>
          <w:highlight w:val="none"/>
        </w:rPr>
      </w:pPr>
      <w:r>
        <w:rPr>
          <w:rFonts w:hint="eastAsia" w:ascii="仿宋" w:hAnsi="仿宋" w:eastAsia="仿宋" w:cs="仿宋"/>
          <w:color w:val="auto"/>
          <w:sz w:val="30"/>
          <w:szCs w:val="30"/>
          <w:highlight w:val="none"/>
        </w:rPr>
        <w:t>4.系统加固要求：</w:t>
      </w:r>
    </w:p>
    <w:p w14:paraId="66555CCC">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1）身份验证：支持进入工作区需通过指纹/手势/密码的方式进行身份验证；</w:t>
      </w:r>
    </w:p>
    <w:p w14:paraId="5FFE1D25">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2）数据加密：支持工作区内数据基于国密算法进行自动/手动加密；</w:t>
      </w:r>
    </w:p>
    <w:p w14:paraId="3ABA0DAB">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应用保护：支持进入工作区，自动强制杀死非系统进程，防止恶意木马等渗透，为工作区提供安全运行环境；支持退出工作区，自动清空工作区进程及缓存数据；支持应用安装白名单，实现应用安装来源统一可控；支持应用防卸载；</w:t>
      </w:r>
    </w:p>
    <w:p w14:paraId="486E0357">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4）安全水印：支持安全水印，工作区所有数据均显示安全水印，可与终端设备相关联，实现事后可追溯，预防信息泄露；</w:t>
      </w:r>
    </w:p>
    <w:p w14:paraId="2E496644">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5）网络防护：支持APN绑定，不可更改；支持网络自动切换；支持网络访问白名单；</w:t>
      </w:r>
    </w:p>
    <w:p w14:paraId="45E6DEAF">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6）ROOT防护：支持安全环境检查，一旦手机被ROOT会自动销毁工作区，清除数据。</w:t>
      </w:r>
    </w:p>
    <w:p w14:paraId="4D0A8617">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5.安全管理要求</w:t>
      </w:r>
    </w:p>
    <w:p w14:paraId="45010EB2">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1）端口管理：支持禁用USB数据传输、GPS、截屏、相机、录音、恢复出厂设置等功能</w:t>
      </w:r>
    </w:p>
    <w:p w14:paraId="3F8A353A">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2）网络管理：支持禁用WIFI、蓝牙、共享热点、NFC等功能；支持APN/VPN绑定、网络访问白名单等功能</w:t>
      </w:r>
    </w:p>
    <w:p w14:paraId="71D6F77D">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3）应用管理：支持应用安装白名单、应用保活、应用防卸载等功能。</w:t>
      </w:r>
    </w:p>
    <w:p w14:paraId="6352771D">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left="-13" w:leftChars="0" w:firstLine="641" w:firstLineChars="0"/>
        <w:textAlignment w:val="auto"/>
        <w:outlineLvl w:val="1"/>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交付要求</w:t>
      </w:r>
    </w:p>
    <w:p w14:paraId="45336C37">
      <w:pPr>
        <w:pStyle w:val="16"/>
        <w:keepNext w:val="0"/>
        <w:keepLines w:val="0"/>
        <w:pageBreakBefore w:val="0"/>
        <w:widowControl w:val="0"/>
        <w:numPr>
          <w:ilvl w:val="0"/>
          <w:numId w:val="3"/>
        </w:numPr>
        <w:kinsoku/>
        <w:wordWrap/>
        <w:overflowPunct/>
        <w:topLinePunct w:val="0"/>
        <w:autoSpaceDE/>
        <w:autoSpaceDN/>
        <w:bidi w:val="0"/>
        <w:adjustRightInd w:val="0"/>
        <w:snapToGrid w:val="0"/>
        <w:spacing w:line="540" w:lineRule="exact"/>
        <w:ind w:left="0" w:firstLine="600"/>
        <w:textAlignment w:val="auto"/>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交付期：合同签订后60个日历日内交付。</w:t>
      </w:r>
    </w:p>
    <w:p w14:paraId="642D19FA">
      <w:pPr>
        <w:pStyle w:val="16"/>
        <w:keepNext w:val="0"/>
        <w:keepLines w:val="0"/>
        <w:pageBreakBefore w:val="0"/>
        <w:widowControl w:val="0"/>
        <w:numPr>
          <w:ilvl w:val="0"/>
          <w:numId w:val="3"/>
        </w:numPr>
        <w:kinsoku/>
        <w:wordWrap/>
        <w:overflowPunct/>
        <w:topLinePunct w:val="0"/>
        <w:autoSpaceDE/>
        <w:autoSpaceDN/>
        <w:bidi w:val="0"/>
        <w:adjustRightInd w:val="0"/>
        <w:snapToGrid w:val="0"/>
        <w:spacing w:line="540" w:lineRule="exact"/>
        <w:ind w:left="0" w:firstLine="600"/>
        <w:textAlignment w:val="auto"/>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交付地点：采购人指定地点。</w:t>
      </w:r>
    </w:p>
    <w:p w14:paraId="024A1A68">
      <w:pPr>
        <w:pStyle w:val="16"/>
        <w:keepNext w:val="0"/>
        <w:keepLines w:val="0"/>
        <w:pageBreakBefore w:val="0"/>
        <w:widowControl w:val="0"/>
        <w:numPr>
          <w:ilvl w:val="0"/>
          <w:numId w:val="3"/>
        </w:numPr>
        <w:kinsoku/>
        <w:wordWrap/>
        <w:overflowPunct/>
        <w:topLinePunct w:val="0"/>
        <w:autoSpaceDE/>
        <w:autoSpaceDN/>
        <w:bidi w:val="0"/>
        <w:adjustRightInd w:val="0"/>
        <w:snapToGrid w:val="0"/>
        <w:spacing w:line="540" w:lineRule="exact"/>
        <w:ind w:left="0" w:firstLine="600"/>
        <w:textAlignment w:val="auto"/>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交付质量要求：提供服务中所有租赁的软件或设备必须是具备厂家合法渠道的全新正品，序列号通过厂家产品正版验证，不接受翻新、旧品货物。</w:t>
      </w:r>
    </w:p>
    <w:p w14:paraId="4EB0F55D">
      <w:pPr>
        <w:pStyle w:val="16"/>
        <w:keepNext w:val="0"/>
        <w:keepLines w:val="0"/>
        <w:pageBreakBefore w:val="0"/>
        <w:widowControl w:val="0"/>
        <w:numPr>
          <w:ilvl w:val="0"/>
          <w:numId w:val="3"/>
        </w:numPr>
        <w:kinsoku/>
        <w:wordWrap/>
        <w:overflowPunct/>
        <w:topLinePunct w:val="0"/>
        <w:autoSpaceDE/>
        <w:autoSpaceDN/>
        <w:bidi w:val="0"/>
        <w:adjustRightInd w:val="0"/>
        <w:snapToGrid w:val="0"/>
        <w:spacing w:line="540" w:lineRule="exact"/>
        <w:ind w:left="0" w:firstLine="567" w:firstLineChars="0"/>
        <w:textAlignment w:val="auto"/>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付款方式：第一次付款，可以在合同签订后30个工作日内支付45%的合同款项；第二次付款，确认服务满6个月，支付合同金额的25%；第三次付款，服务期满12个月，合同验收通过后支付合同金额的30%。</w:t>
      </w:r>
    </w:p>
    <w:p w14:paraId="23D601EA">
      <w:pPr>
        <w:pStyle w:val="16"/>
        <w:keepNext w:val="0"/>
        <w:keepLines w:val="0"/>
        <w:pageBreakBefore w:val="0"/>
        <w:widowControl w:val="0"/>
        <w:numPr>
          <w:ilvl w:val="0"/>
          <w:numId w:val="3"/>
        </w:numPr>
        <w:kinsoku/>
        <w:wordWrap/>
        <w:overflowPunct/>
        <w:topLinePunct w:val="0"/>
        <w:autoSpaceDE/>
        <w:autoSpaceDN/>
        <w:bidi w:val="0"/>
        <w:adjustRightInd w:val="0"/>
        <w:snapToGrid w:val="0"/>
        <w:spacing w:line="540" w:lineRule="exact"/>
        <w:ind w:firstLineChars="0"/>
        <w:textAlignment w:val="auto"/>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报价必须包括但不限于：</w:t>
      </w:r>
    </w:p>
    <w:p w14:paraId="4D4083AE">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bCs/>
          <w:color w:val="auto"/>
          <w:kern w:val="0"/>
          <w:sz w:val="30"/>
          <w:szCs w:val="30"/>
          <w:highlight w:val="none"/>
        </w:rPr>
      </w:pPr>
      <w:r>
        <w:rPr>
          <w:rFonts w:hint="eastAsia" w:ascii="仿宋" w:hAnsi="仿宋" w:eastAsia="仿宋" w:cs="仿宋"/>
          <w:bCs/>
          <w:color w:val="auto"/>
          <w:kern w:val="0"/>
          <w:sz w:val="30"/>
          <w:szCs w:val="30"/>
          <w:highlight w:val="none"/>
        </w:rPr>
        <w:t>（1）服务的价格；</w:t>
      </w:r>
    </w:p>
    <w:p w14:paraId="0EF52749">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bCs/>
          <w:color w:val="auto"/>
          <w:kern w:val="0"/>
          <w:sz w:val="30"/>
          <w:szCs w:val="30"/>
          <w:highlight w:val="none"/>
        </w:rPr>
      </w:pPr>
      <w:r>
        <w:rPr>
          <w:rFonts w:hint="eastAsia" w:ascii="仿宋" w:hAnsi="仿宋" w:eastAsia="仿宋" w:cs="仿宋"/>
          <w:bCs/>
          <w:color w:val="auto"/>
          <w:kern w:val="0"/>
          <w:sz w:val="30"/>
          <w:szCs w:val="30"/>
          <w:highlight w:val="none"/>
        </w:rPr>
        <w:t>（2）必要的保险费用和各项税金；</w:t>
      </w:r>
    </w:p>
    <w:p w14:paraId="58CA310B">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bCs/>
          <w:color w:val="auto"/>
          <w:kern w:val="0"/>
          <w:sz w:val="30"/>
          <w:szCs w:val="30"/>
          <w:highlight w:val="none"/>
        </w:rPr>
      </w:pPr>
      <w:r>
        <w:rPr>
          <w:rFonts w:hint="eastAsia" w:ascii="仿宋" w:hAnsi="仿宋" w:eastAsia="仿宋" w:cs="仿宋"/>
          <w:bCs/>
          <w:color w:val="auto"/>
          <w:kern w:val="0"/>
          <w:sz w:val="30"/>
          <w:szCs w:val="30"/>
          <w:highlight w:val="none"/>
        </w:rPr>
        <w:t>（3）服务涉及的运输、安装、装卸、调试、培训、技术支持、售后服务和更新升级等费用；</w:t>
      </w:r>
    </w:p>
    <w:p w14:paraId="49B8F0E8">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bCs/>
          <w:color w:val="auto"/>
          <w:kern w:val="0"/>
          <w:sz w:val="30"/>
          <w:szCs w:val="30"/>
          <w:highlight w:val="none"/>
        </w:rPr>
      </w:pPr>
      <w:r>
        <w:rPr>
          <w:rFonts w:hint="eastAsia" w:ascii="仿宋" w:hAnsi="仿宋" w:eastAsia="仿宋" w:cs="仿宋"/>
          <w:bCs/>
          <w:color w:val="auto"/>
          <w:kern w:val="0"/>
          <w:sz w:val="30"/>
          <w:szCs w:val="30"/>
          <w:highlight w:val="none"/>
        </w:rPr>
        <w:t>（4）服务涉及的标准附件、备品备件、专用工具的价格。</w:t>
      </w:r>
    </w:p>
    <w:p w14:paraId="139E87FE">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left="-13" w:leftChars="0" w:firstLine="641" w:firstLineChars="0"/>
        <w:textAlignment w:val="auto"/>
        <w:outlineLvl w:val="1"/>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售后服务要求</w:t>
      </w:r>
    </w:p>
    <w:p w14:paraId="23E2F921">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★1.服务期要求：自交付之日起1年。</w:t>
      </w:r>
    </w:p>
    <w:p w14:paraId="7CCF9D46">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在服务期内产品非因人为及不可抗拒因素的原因而引起损坏或质量问题，成交人应免费予以技术服务、维修或更换，并承担相应费用和零部件的费用，因人为因素出现的故障不在免费保修范围内，成交人也要积极帮助采购人修理，并提供优惠价格的配件和服务。</w:t>
      </w:r>
    </w:p>
    <w:p w14:paraId="5B9BF527">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3.成交人能提供远程技术支持服务、上门服务、电话、E-mail等方式为采购人提供完善的售前和售后技术咨询服务；</w:t>
      </w:r>
    </w:p>
    <w:p w14:paraId="61C9772A">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4.处理问题响应时间：接到采购人处理问题或技术支撑需求通知后 12小时内到达采购人指定现场，24小时内解决故障或提供解决方案，提供技术支持。</w:t>
      </w:r>
    </w:p>
    <w:p w14:paraId="4503D08D">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5.免费上门服务、安装、调试，免费培训使用人员；</w:t>
      </w:r>
    </w:p>
    <w:p w14:paraId="7C9B99B9">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6.成交人应熟悉终端使用场景及需要的网络支撑情况，必要时为采购人提供网络故障排查及升级优化咨询服务或解决方案。</w:t>
      </w:r>
    </w:p>
    <w:p w14:paraId="45B0E2BE">
      <w:pPr>
        <w:keepNext w:val="0"/>
        <w:keepLines w:val="0"/>
        <w:pageBreakBefore w:val="0"/>
        <w:widowControl w:val="0"/>
        <w:kinsoku/>
        <w:wordWrap/>
        <w:overflowPunct/>
        <w:topLinePunct w:val="0"/>
        <w:autoSpaceDE/>
        <w:autoSpaceDN/>
        <w:bidi w:val="0"/>
        <w:spacing w:line="540" w:lineRule="exact"/>
        <w:ind w:firstLine="600" w:firstLineChars="200"/>
        <w:textAlignment w:val="auto"/>
        <w:outlineLvl w:val="0"/>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二、评分标准</w:t>
      </w:r>
    </w:p>
    <w:p w14:paraId="3D9ED80F">
      <w:pPr>
        <w:keepNext w:val="0"/>
        <w:keepLines w:val="0"/>
        <w:pageBreakBefore w:val="0"/>
        <w:widowControl w:val="0"/>
        <w:kinsoku/>
        <w:wordWrap/>
        <w:overflowPunct/>
        <w:topLinePunct w:val="0"/>
        <w:autoSpaceDE/>
        <w:autoSpaceDN/>
        <w:bidi w:val="0"/>
        <w:spacing w:line="540" w:lineRule="exact"/>
        <w:ind w:firstLine="602" w:firstLineChars="200"/>
        <w:textAlignment w:val="auto"/>
        <w:outlineLvl w:val="1"/>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1.价格分（20分）</w:t>
      </w:r>
    </w:p>
    <w:p w14:paraId="1E024ED3">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（1）以进入综合评分环节的最低的报价为基准价，基准价报价得分为</w:t>
      </w:r>
      <w:r>
        <w:rPr>
          <w:rFonts w:hint="eastAsia" w:ascii="仿宋" w:hAnsi="仿宋" w:eastAsia="仿宋" w:cs="仿宋"/>
          <w:color w:val="auto"/>
          <w:sz w:val="30"/>
          <w:szCs w:val="30"/>
          <w:highlight w:val="none"/>
        </w:rPr>
        <w:t>2</w:t>
      </w:r>
      <w:r>
        <w:rPr>
          <w:rFonts w:ascii="仿宋" w:hAnsi="仿宋" w:eastAsia="仿宋" w:cs="仿宋"/>
          <w:color w:val="auto"/>
          <w:sz w:val="30"/>
          <w:szCs w:val="30"/>
          <w:highlight w:val="none"/>
        </w:rPr>
        <w:t>0</w:t>
      </w:r>
      <w:r>
        <w:rPr>
          <w:rFonts w:hint="eastAsia" w:ascii="仿宋" w:hAnsi="仿宋" w:eastAsia="仿宋" w:cs="仿宋"/>
          <w:color w:val="auto"/>
          <w:sz w:val="30"/>
          <w:szCs w:val="30"/>
          <w:highlight w:val="none"/>
        </w:rPr>
        <w:t>分</w:t>
      </w:r>
      <w:r>
        <w:rPr>
          <w:rFonts w:hint="eastAsia" w:ascii="仿宋" w:hAnsi="仿宋" w:eastAsia="仿宋" w:cs="仿宋"/>
          <w:color w:val="auto"/>
          <w:sz w:val="30"/>
          <w:szCs w:val="30"/>
          <w:highlight w:val="none"/>
        </w:rPr>
        <w:t>。</w:t>
      </w:r>
    </w:p>
    <w:p w14:paraId="5967B85F">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（2）价格分计算公式：</w:t>
      </w:r>
    </w:p>
    <w:p w14:paraId="4FD2E993">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某供应商价格分=基准价/某供应商报价金额×</w:t>
      </w:r>
      <w:r>
        <w:rPr>
          <w:rFonts w:hint="eastAsia" w:ascii="仿宋" w:hAnsi="仿宋" w:eastAsia="仿宋" w:cs="仿宋"/>
          <w:color w:val="auto"/>
          <w:sz w:val="30"/>
          <w:szCs w:val="30"/>
          <w:highlight w:val="none"/>
        </w:rPr>
        <w:t>20分</w:t>
      </w:r>
    </w:p>
    <w:p w14:paraId="2C5F669B">
      <w:pPr>
        <w:keepNext w:val="0"/>
        <w:keepLines w:val="0"/>
        <w:pageBreakBefore w:val="0"/>
        <w:widowControl w:val="0"/>
        <w:kinsoku/>
        <w:wordWrap/>
        <w:overflowPunct/>
        <w:topLinePunct w:val="0"/>
        <w:autoSpaceDE/>
        <w:autoSpaceDN/>
        <w:bidi w:val="0"/>
        <w:spacing w:line="540" w:lineRule="exact"/>
        <w:ind w:firstLine="602" w:firstLineChars="200"/>
        <w:textAlignment w:val="auto"/>
        <w:outlineLvl w:val="1"/>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2.技术分（满分62分）</w:t>
      </w:r>
    </w:p>
    <w:p w14:paraId="42CDA54D">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（1）技术方案分（12分）</w:t>
      </w:r>
    </w:p>
    <w:p w14:paraId="7D940601">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未提供方案或方案达不到一档要求的为0分</w:t>
      </w:r>
    </w:p>
    <w:p w14:paraId="23E7FD49">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一档（4分）：基本理解本项目的建设需求、目标、范围，提出了基本可行的项目技术方案、系统架构，技术方案表述基本清晰，技术方案整体评价一般的；</w:t>
      </w:r>
    </w:p>
    <w:p w14:paraId="0AA5D517">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二档（8分）：在一档基础上，供应商对本项目使用场景理解较全，较熟悉采购人现状，对使用的技术实现掌握较到位，能阐述基本的技术实现方式，满足项目交付要求，方案整体评定为良好；</w:t>
      </w:r>
    </w:p>
    <w:p w14:paraId="7DB88927">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三档（12分）：在二档基础上，供应商对终端使用场景理解全面，熟悉广西政府单位移动办公现状以及相关单位（部门）管理要求，对移动办公使用的技术实现掌握到位，能结合网络拓扑图全面阐述技术实现方式，完全满足项目交付要求，方案整体评定为优秀。</w:t>
      </w:r>
    </w:p>
    <w:p w14:paraId="7D8DE5DD">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（2）实施方案分（25分）</w:t>
      </w:r>
    </w:p>
    <w:p w14:paraId="15E33890">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一档</w:t>
      </w:r>
      <w:r>
        <w:rPr>
          <w:rFonts w:hint="eastAsia" w:ascii="仿宋" w:hAnsi="仿宋" w:eastAsia="仿宋" w:cs="仿宋"/>
          <w:color w:val="auto"/>
          <w:sz w:val="30"/>
          <w:szCs w:val="30"/>
          <w:highlight w:val="none"/>
        </w:rPr>
        <w:t>（5分）</w:t>
      </w:r>
      <w:r>
        <w:rPr>
          <w:rFonts w:hint="eastAsia" w:ascii="仿宋" w:hAnsi="仿宋" w:eastAsia="仿宋" w:cs="仿宋"/>
          <w:color w:val="auto"/>
          <w:sz w:val="30"/>
          <w:szCs w:val="30"/>
          <w:highlight w:val="none"/>
        </w:rPr>
        <w:t>：实施方案描述简单，内容基本充实，能够体现项目管理组织机构、项目实施内容、项目实施进度计划，基本满足项目实施要求。</w:t>
      </w:r>
    </w:p>
    <w:p w14:paraId="5BCD720E">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二档</w:t>
      </w:r>
      <w:r>
        <w:rPr>
          <w:rFonts w:hint="eastAsia" w:ascii="仿宋" w:hAnsi="仿宋" w:eastAsia="仿宋" w:cs="仿宋"/>
          <w:color w:val="auto"/>
          <w:sz w:val="30"/>
          <w:szCs w:val="30"/>
          <w:highlight w:val="none"/>
        </w:rPr>
        <w:t>（15分）</w:t>
      </w:r>
      <w:r>
        <w:rPr>
          <w:rFonts w:hint="eastAsia" w:ascii="仿宋" w:hAnsi="仿宋" w:eastAsia="仿宋" w:cs="仿宋"/>
          <w:color w:val="auto"/>
          <w:sz w:val="30"/>
          <w:szCs w:val="30"/>
          <w:highlight w:val="none"/>
        </w:rPr>
        <w:t>：项目实施方案内容较完整、详细，设置的项目管理组织机构职满足项目要求，项目执行保障措施可行；有基本的进度控制、质量保证措施、风险控制措施；人员安排合理、满足项目实施要求，拟投入的实施人员不少于10人，</w:t>
      </w:r>
      <w:r>
        <w:rPr>
          <w:rFonts w:hint="eastAsia" w:ascii="仿宋" w:hAnsi="仿宋" w:eastAsia="仿宋" w:cs="仿宋"/>
          <w:color w:val="auto"/>
          <w:sz w:val="30"/>
          <w:szCs w:val="30"/>
          <w:highlight w:val="none"/>
        </w:rPr>
        <w:t>拟投入项目经理1人且具备信息系统项目管理师证书、数据库系统工程师证书</w:t>
      </w:r>
      <w:r>
        <w:rPr>
          <w:rFonts w:hint="eastAsia" w:ascii="仿宋" w:hAnsi="仿宋" w:eastAsia="仿宋" w:cs="仿宋"/>
          <w:color w:val="auto"/>
          <w:sz w:val="30"/>
          <w:szCs w:val="30"/>
          <w:highlight w:val="none"/>
        </w:rPr>
        <w:t>。</w:t>
      </w:r>
    </w:p>
    <w:p w14:paraId="4EF38012">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三档</w:t>
      </w:r>
      <w:r>
        <w:rPr>
          <w:rFonts w:hint="eastAsia" w:ascii="仿宋" w:hAnsi="仿宋" w:eastAsia="仿宋" w:cs="仿宋"/>
          <w:color w:val="auto"/>
          <w:sz w:val="30"/>
          <w:szCs w:val="30"/>
          <w:highlight w:val="none"/>
        </w:rPr>
        <w:t>（25分）</w:t>
      </w:r>
      <w:r>
        <w:rPr>
          <w:rFonts w:hint="eastAsia" w:ascii="仿宋" w:hAnsi="仿宋" w:eastAsia="仿宋" w:cs="仿宋"/>
          <w:color w:val="auto"/>
          <w:sz w:val="30"/>
          <w:szCs w:val="30"/>
          <w:highlight w:val="none"/>
        </w:rPr>
        <w:t>：项目实施方案内容完整、具体、详细，设置的项目管理组织机构职完全满足项目要求，项目执行保障措施详细可行；技术架构清晰，系统功能配置非常齐全，交付管理方案详细明了，有详细的进度控制、物料及备品备件管理措施、质量保证措施、风险控制措施；人员安排科学合理，拟投入实施人员不少于20人，完全满足项目实施要求，拟投入项目经理1人且具备信息系统项目管理师</w:t>
      </w:r>
      <w:r>
        <w:rPr>
          <w:rFonts w:hint="eastAsia" w:ascii="仿宋" w:hAnsi="仿宋" w:eastAsia="仿宋" w:cs="仿宋"/>
          <w:color w:val="auto"/>
          <w:sz w:val="30"/>
          <w:szCs w:val="30"/>
          <w:highlight w:val="none"/>
        </w:rPr>
        <w:t>证书</w:t>
      </w:r>
      <w:r>
        <w:rPr>
          <w:rFonts w:hint="eastAsia" w:ascii="仿宋" w:hAnsi="仿宋" w:eastAsia="仿宋" w:cs="仿宋"/>
          <w:color w:val="auto"/>
          <w:sz w:val="30"/>
          <w:szCs w:val="30"/>
          <w:highlight w:val="none"/>
        </w:rPr>
        <w:t>、数据库系统工程师</w:t>
      </w:r>
      <w:r>
        <w:rPr>
          <w:rFonts w:hint="eastAsia" w:ascii="仿宋" w:hAnsi="仿宋" w:eastAsia="仿宋" w:cs="仿宋"/>
          <w:color w:val="auto"/>
          <w:sz w:val="30"/>
          <w:szCs w:val="30"/>
          <w:highlight w:val="none"/>
        </w:rPr>
        <w:t>证书</w:t>
      </w:r>
      <w:r>
        <w:rPr>
          <w:rFonts w:hint="eastAsia" w:ascii="仿宋" w:hAnsi="仿宋" w:eastAsia="仿宋" w:cs="仿宋"/>
          <w:color w:val="auto"/>
          <w:sz w:val="30"/>
          <w:szCs w:val="30"/>
          <w:highlight w:val="none"/>
        </w:rPr>
        <w:t>、软件设计师</w:t>
      </w:r>
      <w:r>
        <w:rPr>
          <w:rFonts w:hint="eastAsia" w:ascii="仿宋" w:hAnsi="仿宋" w:eastAsia="仿宋" w:cs="仿宋"/>
          <w:color w:val="auto"/>
          <w:sz w:val="30"/>
          <w:szCs w:val="30"/>
          <w:highlight w:val="none"/>
        </w:rPr>
        <w:t>证书</w:t>
      </w:r>
      <w:r>
        <w:rPr>
          <w:rFonts w:hint="eastAsia" w:ascii="仿宋" w:hAnsi="仿宋" w:eastAsia="仿宋" w:cs="仿宋"/>
          <w:color w:val="auto"/>
          <w:sz w:val="30"/>
          <w:szCs w:val="30"/>
          <w:highlight w:val="none"/>
        </w:rPr>
        <w:t>，其他实施团队成员包含</w:t>
      </w:r>
      <w:r>
        <w:rPr>
          <w:rFonts w:hint="eastAsia" w:ascii="仿宋" w:hAnsi="仿宋" w:eastAsia="仿宋" w:cs="仿宋"/>
          <w:color w:val="auto"/>
          <w:sz w:val="30"/>
          <w:szCs w:val="30"/>
          <w:highlight w:val="none"/>
        </w:rPr>
        <w:t>注册信息安全专业人员CISP证书</w:t>
      </w:r>
      <w:r>
        <w:rPr>
          <w:rFonts w:hint="eastAsia" w:ascii="仿宋" w:hAnsi="仿宋" w:eastAsia="仿宋" w:cs="仿宋"/>
          <w:color w:val="auto"/>
          <w:sz w:val="30"/>
          <w:szCs w:val="30"/>
          <w:highlight w:val="none"/>
        </w:rPr>
        <w:t>≥1人、中级数据库系统工程师</w:t>
      </w:r>
      <w:r>
        <w:rPr>
          <w:rFonts w:hint="eastAsia" w:ascii="仿宋" w:hAnsi="仿宋" w:eastAsia="仿宋" w:cs="仿宋"/>
          <w:color w:val="auto"/>
          <w:sz w:val="30"/>
          <w:szCs w:val="30"/>
          <w:highlight w:val="none"/>
        </w:rPr>
        <w:t>证书</w:t>
      </w:r>
      <w:r>
        <w:rPr>
          <w:rFonts w:hint="eastAsia" w:ascii="仿宋" w:hAnsi="仿宋" w:eastAsia="仿宋" w:cs="仿宋"/>
          <w:color w:val="auto"/>
          <w:sz w:val="30"/>
          <w:szCs w:val="30"/>
          <w:highlight w:val="none"/>
        </w:rPr>
        <w:t>≥1人、高级软件工程师</w:t>
      </w:r>
      <w:r>
        <w:rPr>
          <w:rFonts w:hint="eastAsia" w:ascii="仿宋" w:hAnsi="仿宋" w:eastAsia="仿宋" w:cs="仿宋"/>
          <w:color w:val="auto"/>
          <w:sz w:val="30"/>
          <w:szCs w:val="30"/>
          <w:highlight w:val="none"/>
        </w:rPr>
        <w:t>证书</w:t>
      </w:r>
      <w:r>
        <w:rPr>
          <w:rFonts w:hint="eastAsia" w:ascii="仿宋" w:hAnsi="仿宋" w:eastAsia="仿宋" w:cs="仿宋"/>
          <w:color w:val="auto"/>
          <w:sz w:val="30"/>
          <w:szCs w:val="30"/>
          <w:highlight w:val="none"/>
        </w:rPr>
        <w:t>≥1人。</w:t>
      </w:r>
    </w:p>
    <w:p w14:paraId="3BDFDABA">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注：上述人员资质需在响应文件提供人员证书复印件以及供应商</w:t>
      </w:r>
      <w:r>
        <w:rPr>
          <w:rFonts w:hint="eastAsia" w:ascii="仿宋" w:hAnsi="仿宋" w:eastAsia="仿宋" w:cs="仿宋"/>
          <w:color w:val="auto"/>
          <w:sz w:val="30"/>
          <w:szCs w:val="30"/>
          <w:highlight w:val="none"/>
        </w:rPr>
        <w:t>或供应商本地分支机构</w:t>
      </w:r>
      <w:r>
        <w:rPr>
          <w:rFonts w:hint="eastAsia" w:ascii="仿宋" w:hAnsi="仿宋" w:eastAsia="仿宋" w:cs="仿宋"/>
          <w:color w:val="auto"/>
          <w:sz w:val="30"/>
          <w:szCs w:val="30"/>
          <w:highlight w:val="none"/>
        </w:rPr>
        <w:t>于响应文件递交截止日期前半年内为人员缴纳连续三个月社保的证明复印件或劳动合同，复印件均需加盖供应商公章，采购人有权要求成交供应商提供原件进行核实。</w:t>
      </w:r>
    </w:p>
    <w:p w14:paraId="58DE87E8">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（3）售后服务方案分（25分）</w:t>
      </w:r>
    </w:p>
    <w:p w14:paraId="3C062C6F">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一档</w:t>
      </w:r>
      <w:r>
        <w:rPr>
          <w:rFonts w:hint="eastAsia" w:ascii="仿宋" w:hAnsi="仿宋" w:eastAsia="仿宋" w:cs="仿宋"/>
          <w:color w:val="auto"/>
          <w:sz w:val="30"/>
          <w:szCs w:val="30"/>
          <w:highlight w:val="none"/>
        </w:rPr>
        <w:t>（5分）</w:t>
      </w:r>
      <w:r>
        <w:rPr>
          <w:rFonts w:hint="eastAsia" w:ascii="仿宋" w:hAnsi="仿宋" w:eastAsia="仿宋" w:cs="仿宋"/>
          <w:color w:val="auto"/>
          <w:sz w:val="30"/>
          <w:szCs w:val="30"/>
          <w:highlight w:val="none"/>
        </w:rPr>
        <w:t>：满足采购文件服务要求的，提供可行的售后运维服务承诺，供应商拟投入自有售后人员满足项目运维要求。</w:t>
      </w:r>
    </w:p>
    <w:p w14:paraId="69BBF210">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二档</w:t>
      </w:r>
      <w:r>
        <w:rPr>
          <w:rFonts w:hint="eastAsia" w:ascii="仿宋" w:hAnsi="仿宋" w:eastAsia="仿宋" w:cs="仿宋"/>
          <w:color w:val="auto"/>
          <w:sz w:val="30"/>
          <w:szCs w:val="30"/>
          <w:highlight w:val="none"/>
        </w:rPr>
        <w:t>（15分）</w:t>
      </w:r>
      <w:r>
        <w:rPr>
          <w:rFonts w:hint="eastAsia" w:ascii="仿宋" w:hAnsi="仿宋" w:eastAsia="仿宋" w:cs="仿宋"/>
          <w:color w:val="auto"/>
          <w:sz w:val="30"/>
          <w:szCs w:val="30"/>
          <w:highlight w:val="none"/>
        </w:rPr>
        <w:t>：能较好满足采购文件服务要求，能提供设备的运维管理技术方案；能够提供针对本项目的巡检服务方案，定期回访；提供故障处理流程、维护保障流程及组织架构，提供免费服务电话和可行的售后服务承诺；故障时提供备品备件、技术支持服务；供应商在南宁市设有本地服务机构（提供证明材料复印件）。供应商拟投入自有售后人员不少于5 人</w:t>
      </w:r>
      <w:r>
        <w:rPr>
          <w:rFonts w:hint="eastAsia" w:ascii="仿宋" w:hAnsi="仿宋" w:eastAsia="仿宋" w:cs="仿宋"/>
          <w:color w:val="auto"/>
          <w:sz w:val="30"/>
          <w:szCs w:val="30"/>
          <w:highlight w:val="none"/>
        </w:rPr>
        <w:t>，拟投入售后经理1人且具备售后服务高级管理师证书、信息系统项目管理师证书、注册信息安全工程师（CISP）证书</w:t>
      </w:r>
      <w:r>
        <w:rPr>
          <w:rFonts w:hint="eastAsia" w:ascii="仿宋" w:hAnsi="仿宋" w:eastAsia="仿宋" w:cs="仿宋"/>
          <w:color w:val="auto"/>
          <w:sz w:val="30"/>
          <w:szCs w:val="30"/>
          <w:highlight w:val="none"/>
        </w:rPr>
        <w:t>。</w:t>
      </w:r>
    </w:p>
    <w:p w14:paraId="4D39D978">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三档</w:t>
      </w:r>
      <w:r>
        <w:rPr>
          <w:rFonts w:hint="eastAsia" w:ascii="仿宋" w:hAnsi="仿宋" w:eastAsia="仿宋" w:cs="仿宋"/>
          <w:color w:val="auto"/>
          <w:sz w:val="30"/>
          <w:szCs w:val="30"/>
          <w:highlight w:val="none"/>
        </w:rPr>
        <w:t>（25分）</w:t>
      </w:r>
      <w:r>
        <w:rPr>
          <w:rFonts w:hint="eastAsia" w:ascii="仿宋" w:hAnsi="仿宋" w:eastAsia="仿宋" w:cs="仿宋"/>
          <w:color w:val="auto"/>
          <w:sz w:val="30"/>
          <w:szCs w:val="30"/>
          <w:highlight w:val="none"/>
        </w:rPr>
        <w:t>：能提供良好的服务方案，论述准确；能够提供针对本项目的定期回访；指明工作重点难点及解决办法，提供完善的服务流程、服务组织架构以及服务质量保障措施；故障时提供备品备件、技术支持服务，承诺到达故障现场时间1小时以内；能够提供合理可行的技术培训方案；供应商在南宁市内设有本地服务机构（提供证明材料复印件）；供应商拟投入自有售后人员不少于10 人，</w:t>
      </w:r>
      <w:r>
        <w:rPr>
          <w:rFonts w:hint="eastAsia" w:ascii="仿宋" w:hAnsi="仿宋" w:eastAsia="仿宋" w:cs="仿宋"/>
          <w:color w:val="auto"/>
          <w:sz w:val="30"/>
          <w:szCs w:val="30"/>
          <w:highlight w:val="none"/>
        </w:rPr>
        <w:t>拟投入售后经理1人且具备售后服务高级管理师证书、信息系统项目管理师证书、注册信息安全工程师（CISP）证书、数据库系统工程师证书。</w:t>
      </w:r>
    </w:p>
    <w:p w14:paraId="105AB843">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注：上述人员资质须响应文件提供人员证书复印件以及供应商</w:t>
      </w:r>
      <w:r>
        <w:rPr>
          <w:rFonts w:hint="eastAsia" w:ascii="仿宋" w:hAnsi="仿宋" w:eastAsia="仿宋" w:cs="仿宋"/>
          <w:color w:val="auto"/>
          <w:sz w:val="30"/>
          <w:szCs w:val="30"/>
          <w:highlight w:val="none"/>
        </w:rPr>
        <w:t>或供应商本地分支机构</w:t>
      </w:r>
      <w:r>
        <w:rPr>
          <w:rFonts w:hint="eastAsia" w:ascii="仿宋" w:hAnsi="仿宋" w:eastAsia="仿宋" w:cs="仿宋"/>
          <w:color w:val="auto"/>
          <w:sz w:val="30"/>
          <w:szCs w:val="30"/>
          <w:highlight w:val="none"/>
        </w:rPr>
        <w:t>于响应文件递交截止日期前半年内为人员缴纳连续三个月社保的证明复印件或劳动合同，复印件均需加盖供应商公章。</w:t>
      </w:r>
    </w:p>
    <w:p w14:paraId="6D2EE12C">
      <w:pPr>
        <w:keepNext w:val="0"/>
        <w:keepLines w:val="0"/>
        <w:pageBreakBefore w:val="0"/>
        <w:widowControl w:val="0"/>
        <w:kinsoku/>
        <w:wordWrap/>
        <w:overflowPunct/>
        <w:topLinePunct w:val="0"/>
        <w:autoSpaceDE/>
        <w:autoSpaceDN/>
        <w:bidi w:val="0"/>
        <w:spacing w:line="540" w:lineRule="exact"/>
        <w:ind w:firstLine="602" w:firstLineChars="200"/>
        <w:textAlignment w:val="auto"/>
        <w:outlineLvl w:val="1"/>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3.商务分（满分18分）</w:t>
      </w:r>
    </w:p>
    <w:p w14:paraId="2F01266C">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rPr>
        <w:t xml:space="preserve">供应商具备ISO9001质量管理体系认证证书、ISO/IEC27001信息安全管理体系标准认证证书、ISO/IEC20000信息技术服务管理体系认证证书、GB/T </w:t>
      </w:r>
      <w:r>
        <w:rPr>
          <w:rFonts w:hint="eastAsia" w:ascii="仿宋" w:hAnsi="仿宋" w:eastAsia="仿宋" w:cs="仿宋"/>
          <w:color w:val="auto"/>
          <w:sz w:val="30"/>
          <w:szCs w:val="30"/>
          <w:highlight w:val="none"/>
        </w:rPr>
        <w:t>31950</w:t>
      </w:r>
      <w:r>
        <w:rPr>
          <w:rFonts w:hint="eastAsia" w:ascii="仿宋" w:hAnsi="仿宋" w:eastAsia="仿宋" w:cs="仿宋"/>
          <w:color w:val="auto"/>
          <w:sz w:val="30"/>
          <w:szCs w:val="30"/>
          <w:highlight w:val="none"/>
        </w:rPr>
        <w:t>企业诚信管理体系认证、GB/T</w:t>
      </w:r>
      <w:r>
        <w:rPr>
          <w:rFonts w:hint="eastAsia" w:ascii="仿宋" w:hAnsi="仿宋" w:eastAsia="仿宋" w:cs="仿宋"/>
          <w:color w:val="auto"/>
          <w:sz w:val="30"/>
          <w:szCs w:val="30"/>
          <w:highlight w:val="none"/>
        </w:rPr>
        <w:t>27922</w:t>
      </w:r>
      <w:r>
        <w:rPr>
          <w:rFonts w:hint="eastAsia" w:ascii="仿宋" w:hAnsi="仿宋" w:eastAsia="仿宋" w:cs="仿宋"/>
          <w:color w:val="auto"/>
          <w:sz w:val="30"/>
          <w:szCs w:val="30"/>
          <w:highlight w:val="none"/>
        </w:rPr>
        <w:t>商品售后服务评价体系五星认证，每提供一个得2分，满分10分。响应文件中提供有效的证书复印件加盖供应商公章。</w:t>
      </w:r>
    </w:p>
    <w:p w14:paraId="1649ADE3">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（2）供应商具备顾客满意度测评认证证书（五星）GB/T19039，得3分。响应文件中提供有效的证书复印件加盖供应商公章。</w:t>
      </w:r>
    </w:p>
    <w:p w14:paraId="183DFA52">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rPr>
        <w:t>供应商</w:t>
      </w:r>
      <w:r>
        <w:rPr>
          <w:rFonts w:hint="eastAsia" w:ascii="仿宋" w:hAnsi="仿宋" w:eastAsia="仿宋" w:cs="仿宋"/>
          <w:color w:val="auto"/>
          <w:sz w:val="30"/>
          <w:szCs w:val="30"/>
          <w:highlight w:val="none"/>
        </w:rPr>
        <w:t>2022</w:t>
      </w:r>
      <w:r>
        <w:rPr>
          <w:rFonts w:hint="eastAsia" w:ascii="仿宋" w:hAnsi="仿宋" w:eastAsia="仿宋" w:cs="仿宋"/>
          <w:color w:val="auto"/>
          <w:sz w:val="30"/>
          <w:szCs w:val="30"/>
          <w:highlight w:val="none"/>
        </w:rPr>
        <w:t>年1月1日至响应文件递交截止日期具有同类项目业绩（以中标通知书或合同复印件为准）的，每项得1分，满分5分。</w:t>
      </w:r>
    </w:p>
    <w:p w14:paraId="13407FF8">
      <w:pPr>
        <w:keepNext w:val="0"/>
        <w:keepLines w:val="0"/>
        <w:pageBreakBefore w:val="0"/>
        <w:widowControl w:val="0"/>
        <w:kinsoku/>
        <w:wordWrap/>
        <w:overflowPunct/>
        <w:topLinePunct w:val="0"/>
        <w:autoSpaceDE/>
        <w:autoSpaceDN/>
        <w:bidi w:val="0"/>
        <w:spacing w:line="540" w:lineRule="exact"/>
        <w:ind w:firstLine="600" w:firstLineChars="200"/>
        <w:textAlignment w:val="auto"/>
        <w:outlineLvl w:val="0"/>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三、</w:t>
      </w:r>
      <w:r>
        <w:rPr>
          <w:rFonts w:ascii="黑体" w:hAnsi="黑体" w:eastAsia="黑体" w:cs="黑体"/>
          <w:color w:val="auto"/>
          <w:sz w:val="30"/>
          <w:szCs w:val="30"/>
          <w:highlight w:val="none"/>
        </w:rPr>
        <w:t>成交</w:t>
      </w:r>
      <w:r>
        <w:rPr>
          <w:rFonts w:hint="eastAsia" w:ascii="黑体" w:hAnsi="黑体" w:eastAsia="黑体" w:cs="黑体"/>
          <w:color w:val="auto"/>
          <w:sz w:val="30"/>
          <w:szCs w:val="30"/>
          <w:highlight w:val="none"/>
        </w:rPr>
        <w:t>候选人推荐原则</w:t>
      </w:r>
    </w:p>
    <w:p w14:paraId="62E21FD4">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评标委员会将根据得分由高到低排列次序（得分相同时，以</w:t>
      </w:r>
      <w:r>
        <w:rPr>
          <w:rFonts w:ascii="仿宋" w:hAnsi="仿宋" w:eastAsia="仿宋" w:cs="仿宋"/>
          <w:color w:val="auto"/>
          <w:sz w:val="30"/>
          <w:szCs w:val="30"/>
          <w:highlight w:val="none"/>
        </w:rPr>
        <w:t>响应</w:t>
      </w:r>
      <w:r>
        <w:rPr>
          <w:rFonts w:hint="eastAsia" w:ascii="仿宋" w:hAnsi="仿宋" w:eastAsia="仿宋" w:cs="仿宋"/>
          <w:color w:val="auto"/>
          <w:sz w:val="30"/>
          <w:szCs w:val="30"/>
          <w:highlight w:val="none"/>
        </w:rPr>
        <w:t>报价由低到高顺序排列；得分且投标报价相同的并列，按技术指标优劣顺序排列）并推荐</w:t>
      </w:r>
      <w:r>
        <w:rPr>
          <w:rFonts w:ascii="仿宋" w:hAnsi="仿宋" w:eastAsia="仿宋" w:cs="仿宋"/>
          <w:color w:val="auto"/>
          <w:sz w:val="30"/>
          <w:szCs w:val="30"/>
          <w:highlight w:val="none"/>
        </w:rPr>
        <w:t>成交</w:t>
      </w:r>
      <w:r>
        <w:rPr>
          <w:rFonts w:hint="eastAsia" w:ascii="仿宋" w:hAnsi="仿宋" w:eastAsia="仿宋" w:cs="仿宋"/>
          <w:color w:val="auto"/>
          <w:sz w:val="30"/>
          <w:szCs w:val="30"/>
          <w:highlight w:val="none"/>
        </w:rPr>
        <w:t>候选人。排名第一的</w:t>
      </w:r>
      <w:r>
        <w:rPr>
          <w:rFonts w:ascii="仿宋" w:hAnsi="仿宋" w:eastAsia="仿宋" w:cs="仿宋"/>
          <w:color w:val="auto"/>
          <w:sz w:val="30"/>
          <w:szCs w:val="30"/>
          <w:highlight w:val="none"/>
        </w:rPr>
        <w:t>成交</w:t>
      </w:r>
      <w:r>
        <w:rPr>
          <w:rFonts w:hint="eastAsia" w:ascii="仿宋" w:hAnsi="仿宋" w:eastAsia="仿宋" w:cs="仿宋"/>
          <w:color w:val="auto"/>
          <w:sz w:val="30"/>
          <w:szCs w:val="30"/>
          <w:highlight w:val="none"/>
        </w:rPr>
        <w:t>候选人放弃</w:t>
      </w:r>
      <w:r>
        <w:rPr>
          <w:rFonts w:ascii="仿宋" w:hAnsi="仿宋" w:eastAsia="仿宋" w:cs="仿宋"/>
          <w:color w:val="auto"/>
          <w:sz w:val="30"/>
          <w:szCs w:val="30"/>
          <w:highlight w:val="none"/>
        </w:rPr>
        <w:t>成交</w:t>
      </w:r>
      <w:r>
        <w:rPr>
          <w:rFonts w:hint="eastAsia" w:ascii="仿宋" w:hAnsi="仿宋" w:eastAsia="仿宋" w:cs="仿宋"/>
          <w:color w:val="auto"/>
          <w:sz w:val="30"/>
          <w:szCs w:val="30"/>
          <w:highlight w:val="none"/>
        </w:rPr>
        <w:t>、因不可抗力或者自身原因提出不能履行合同，采购人可以确定排名第二的</w:t>
      </w:r>
      <w:r>
        <w:rPr>
          <w:rFonts w:ascii="仿宋" w:hAnsi="仿宋" w:eastAsia="仿宋" w:cs="仿宋"/>
          <w:color w:val="auto"/>
          <w:sz w:val="30"/>
          <w:szCs w:val="30"/>
          <w:highlight w:val="none"/>
        </w:rPr>
        <w:t>成交</w:t>
      </w:r>
      <w:r>
        <w:rPr>
          <w:rFonts w:hint="eastAsia" w:ascii="仿宋" w:hAnsi="仿宋" w:eastAsia="仿宋" w:cs="仿宋"/>
          <w:color w:val="auto"/>
          <w:sz w:val="30"/>
          <w:szCs w:val="30"/>
          <w:highlight w:val="none"/>
        </w:rPr>
        <w:t>候选人为</w:t>
      </w:r>
      <w:r>
        <w:rPr>
          <w:rFonts w:ascii="仿宋" w:hAnsi="仿宋" w:eastAsia="仿宋" w:cs="仿宋"/>
          <w:color w:val="auto"/>
          <w:sz w:val="30"/>
          <w:szCs w:val="30"/>
          <w:highlight w:val="none"/>
        </w:rPr>
        <w:t>成交</w:t>
      </w:r>
      <w:r>
        <w:rPr>
          <w:rFonts w:hint="eastAsia" w:ascii="仿宋" w:hAnsi="仿宋" w:eastAsia="仿宋" w:cs="仿宋"/>
          <w:color w:val="auto"/>
          <w:sz w:val="30"/>
          <w:szCs w:val="30"/>
          <w:highlight w:val="none"/>
        </w:rPr>
        <w:t>人。排名第二的</w:t>
      </w:r>
      <w:r>
        <w:rPr>
          <w:rFonts w:ascii="仿宋" w:hAnsi="仿宋" w:eastAsia="仿宋" w:cs="仿宋"/>
          <w:color w:val="auto"/>
          <w:sz w:val="30"/>
          <w:szCs w:val="30"/>
          <w:highlight w:val="none"/>
        </w:rPr>
        <w:t>成交</w:t>
      </w:r>
      <w:r>
        <w:rPr>
          <w:rFonts w:hint="eastAsia" w:ascii="仿宋" w:hAnsi="仿宋" w:eastAsia="仿宋" w:cs="仿宋"/>
          <w:color w:val="auto"/>
          <w:sz w:val="30"/>
          <w:szCs w:val="30"/>
          <w:highlight w:val="none"/>
        </w:rPr>
        <w:t>候选人因前款规定的同样原因不能签订合同的，采购人可以确定排名第三的</w:t>
      </w:r>
      <w:r>
        <w:rPr>
          <w:rFonts w:ascii="仿宋" w:hAnsi="仿宋" w:eastAsia="仿宋" w:cs="仿宋"/>
          <w:color w:val="auto"/>
          <w:sz w:val="30"/>
          <w:szCs w:val="30"/>
          <w:highlight w:val="none"/>
        </w:rPr>
        <w:t>成交</w:t>
      </w:r>
      <w:r>
        <w:rPr>
          <w:rFonts w:hint="eastAsia" w:ascii="仿宋" w:hAnsi="仿宋" w:eastAsia="仿宋" w:cs="仿宋"/>
          <w:color w:val="auto"/>
          <w:sz w:val="30"/>
          <w:szCs w:val="30"/>
          <w:highlight w:val="none"/>
        </w:rPr>
        <w:t>候选人为</w:t>
      </w:r>
      <w:r>
        <w:rPr>
          <w:rFonts w:ascii="仿宋" w:hAnsi="仿宋" w:eastAsia="仿宋" w:cs="仿宋"/>
          <w:color w:val="auto"/>
          <w:sz w:val="30"/>
          <w:szCs w:val="30"/>
          <w:highlight w:val="none"/>
        </w:rPr>
        <w:t>成交</w:t>
      </w:r>
      <w:r>
        <w:rPr>
          <w:rFonts w:hint="eastAsia" w:ascii="仿宋" w:hAnsi="仿宋" w:eastAsia="仿宋" w:cs="仿宋"/>
          <w:color w:val="auto"/>
          <w:sz w:val="30"/>
          <w:szCs w:val="30"/>
          <w:highlight w:val="none"/>
        </w:rPr>
        <w:t>人，其余以此类推。采购人也可以决定重新采购。</w:t>
      </w:r>
    </w:p>
    <w:p w14:paraId="39815ED2">
      <w:pPr>
        <w:keepNext w:val="0"/>
        <w:keepLines w:val="0"/>
        <w:pageBreakBefore w:val="0"/>
        <w:widowControl w:val="0"/>
        <w:kinsoku/>
        <w:wordWrap/>
        <w:overflowPunct/>
        <w:topLinePunct w:val="0"/>
        <w:autoSpaceDE/>
        <w:autoSpaceDN/>
        <w:bidi w:val="0"/>
        <w:spacing w:line="540" w:lineRule="exact"/>
        <w:ind w:firstLine="600" w:firstLineChars="200"/>
        <w:textAlignment w:val="auto"/>
        <w:outlineLvl w:val="0"/>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四、项目预算</w:t>
      </w:r>
    </w:p>
    <w:p w14:paraId="69B6DEB4">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12万元。</w:t>
      </w:r>
    </w:p>
    <w:p w14:paraId="57505E37">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rPr>
      </w:pPr>
    </w:p>
    <w:bookmarkEnd w:id="1"/>
    <w:sectPr>
      <w:headerReference r:id="rId3" w:type="first"/>
      <w:footerReference r:id="rId4" w:type="default"/>
      <w:pgSz w:w="11906" w:h="16838"/>
      <w:pgMar w:top="1440" w:right="1304"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F89F7">
    <w:pPr>
      <w:pStyle w:val="8"/>
      <w:jc w:val="center"/>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-38100</wp:posOffset>
              </wp:positionV>
              <wp:extent cx="713740" cy="359410"/>
              <wp:effectExtent l="0" t="0" r="0" b="0"/>
              <wp:wrapNone/>
              <wp:docPr id="4097" name="文本框 1"/>
              <wp:cNvGraphicFramePr/>
              <a:graphic xmlns:a="http://schemas.openxmlformats.org/drawingml/2006/main">
                <a:graphicData uri="http://schemas.microsoft.com/office/word/2010/wordprocessingShape">
                  <wps:wsp>
                    <wps:cNvSpPr/>
                    <wps:spPr>
                      <a:xfrm>
                        <a:off x="0" y="0"/>
                        <a:ext cx="713740" cy="359410"/>
                      </a:xfrm>
                      <a:prstGeom prst="rect">
                        <a:avLst/>
                      </a:prstGeom>
                      <a:ln>
                        <a:noFill/>
                      </a:ln>
                    </wps:spPr>
                    <wps:txbx>
                      <w:txbxContent>
                        <w:p w14:paraId="4AEA1463">
                          <w:pPr>
                            <w:pStyle w:val="8"/>
                            <w:jc w:val="right"/>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w:t>
                          </w:r>
                        </w:p>
                      </w:txbxContent>
                    </wps:txbx>
                    <wps:bodyPr vert="horz" wrap="square" lIns="0" tIns="0" rIns="0" bIns="0" anchor="t">
                      <a:noAutofit/>
                    </wps:bodyPr>
                  </wps:wsp>
                </a:graphicData>
              </a:graphic>
            </wp:anchor>
          </w:drawing>
        </mc:Choice>
        <mc:Fallback>
          <w:pict>
            <v:rect id="文本框 1" o:spid="_x0000_s1026" o:spt="1" style="position:absolute;left:0pt;margin-top:-3pt;height:28.3pt;width:56.2pt;mso-position-horizontal:outside;mso-position-horizontal-relative:margin;z-index:251659264;mso-width-relative:page;mso-height-relative:page;" filled="f" stroked="f" coordsize="21600,21600" o:gfxdata="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0MlfV1wAAAAYBAAAPAAAAAAAAAAEAIAAAACIA&#10;AABkcnMvZG93bnJldi54bWxQSwECFAAUAAAACACHTuJAv21+QNEBAACSAwAADgAAAAAAAAABACAA&#10;AAAmAQAAZHJzL2Uyb0RvYy54bWxQSwUGAAAAAAYABgBZAQAAaQUAAAAA&#10;">
              <v:fill on="f" focussize="0,0"/>
              <v:stroke on="f"/>
              <v:imagedata o:title=""/>
              <o:lock v:ext="edit" aspectratio="f"/>
              <v:textbox inset="0mm,0mm,0mm,0mm">
                <w:txbxContent>
                  <w:p w14:paraId="4AEA1463">
                    <w:pPr>
                      <w:pStyle w:val="8"/>
                      <w:jc w:val="right"/>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08D9F">
    <w:pPr>
      <w:pStyle w:val="9"/>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627" w:hanging="108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053208E"/>
    <w:multiLevelType w:val="multilevel"/>
    <w:tmpl w:val="0053208E"/>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B21013A"/>
    <w:multiLevelType w:val="multilevel"/>
    <w:tmpl w:val="7B21013A"/>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601"/>
    <w:rsid w:val="00040F78"/>
    <w:rsid w:val="000D2639"/>
    <w:rsid w:val="00131961"/>
    <w:rsid w:val="001D3E3D"/>
    <w:rsid w:val="001E5965"/>
    <w:rsid w:val="002A7DD1"/>
    <w:rsid w:val="00351D87"/>
    <w:rsid w:val="003A0601"/>
    <w:rsid w:val="003B1211"/>
    <w:rsid w:val="00480D19"/>
    <w:rsid w:val="00494D95"/>
    <w:rsid w:val="004B2196"/>
    <w:rsid w:val="005C3B6E"/>
    <w:rsid w:val="006414D0"/>
    <w:rsid w:val="006A7DB9"/>
    <w:rsid w:val="00712EA0"/>
    <w:rsid w:val="007832D9"/>
    <w:rsid w:val="00897179"/>
    <w:rsid w:val="00957F3C"/>
    <w:rsid w:val="009645AE"/>
    <w:rsid w:val="00A00014"/>
    <w:rsid w:val="00AE3393"/>
    <w:rsid w:val="00B52A7B"/>
    <w:rsid w:val="00B91E81"/>
    <w:rsid w:val="00BC46F1"/>
    <w:rsid w:val="00BE639C"/>
    <w:rsid w:val="00C04D6B"/>
    <w:rsid w:val="00C20CB9"/>
    <w:rsid w:val="00CB2186"/>
    <w:rsid w:val="00CD0D9B"/>
    <w:rsid w:val="00D03070"/>
    <w:rsid w:val="00D332F5"/>
    <w:rsid w:val="00E22E9F"/>
    <w:rsid w:val="00E34CAA"/>
    <w:rsid w:val="00EA10E4"/>
    <w:rsid w:val="00EF4E0D"/>
    <w:rsid w:val="00F30179"/>
    <w:rsid w:val="00F977C2"/>
    <w:rsid w:val="00FD588C"/>
    <w:rsid w:val="06863000"/>
    <w:rsid w:val="0C9E3B52"/>
    <w:rsid w:val="1FE36696"/>
    <w:rsid w:val="24750338"/>
    <w:rsid w:val="25CE6978"/>
    <w:rsid w:val="299D6956"/>
    <w:rsid w:val="2A9D0C6F"/>
    <w:rsid w:val="2B6945A2"/>
    <w:rsid w:val="2B92092B"/>
    <w:rsid w:val="2C252D21"/>
    <w:rsid w:val="30200FFC"/>
    <w:rsid w:val="31FC5FB3"/>
    <w:rsid w:val="3FEA51BD"/>
    <w:rsid w:val="498F18D7"/>
    <w:rsid w:val="4E3A1139"/>
    <w:rsid w:val="5274782C"/>
    <w:rsid w:val="5B4B732C"/>
    <w:rsid w:val="5E0E2990"/>
    <w:rsid w:val="76EC1E61"/>
    <w:rsid w:val="797B6163"/>
    <w:rsid w:val="7F136D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eastAsia="黑体" w:cs="Calibri"/>
      <w:b/>
      <w:bCs/>
      <w:kern w:val="44"/>
      <w:sz w:val="44"/>
      <w:szCs w:val="44"/>
    </w:rPr>
  </w:style>
  <w:style w:type="paragraph" w:styleId="3">
    <w:name w:val="heading 2"/>
    <w:basedOn w:val="1"/>
    <w:next w:val="1"/>
    <w:qFormat/>
    <w:uiPriority w:val="1"/>
    <w:pPr>
      <w:autoSpaceDE w:val="0"/>
      <w:autoSpaceDN w:val="0"/>
      <w:spacing w:before="8"/>
      <w:jc w:val="center"/>
      <w:outlineLvl w:val="1"/>
    </w:pPr>
    <w:rPr>
      <w:rFonts w:ascii="方正小标宋_GBK" w:hAnsi="方正小标宋_GBK" w:eastAsia="方正小标宋_GBK" w:cs="方正小标宋_GBK"/>
      <w:kern w:val="0"/>
      <w:sz w:val="32"/>
      <w:szCs w:val="32"/>
      <w:lang w:val="zh-CN" w:bidi="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szCs w:val="20"/>
    </w:rPr>
  </w:style>
  <w:style w:type="paragraph" w:styleId="5">
    <w:name w:val="annotation text"/>
    <w:basedOn w:val="1"/>
    <w:qFormat/>
    <w:uiPriority w:val="0"/>
    <w:pPr>
      <w:adjustRightInd w:val="0"/>
      <w:spacing w:line="360" w:lineRule="atLeast"/>
      <w:jc w:val="left"/>
      <w:textAlignment w:val="baseline"/>
    </w:pPr>
    <w:rPr>
      <w:kern w:val="0"/>
      <w:sz w:val="24"/>
      <w:szCs w:val="20"/>
    </w:rPr>
  </w:style>
  <w:style w:type="paragraph" w:styleId="6">
    <w:name w:val="Plain Text"/>
    <w:basedOn w:val="1"/>
    <w:qFormat/>
    <w:uiPriority w:val="0"/>
    <w:rPr>
      <w:rFonts w:ascii="宋体" w:hAnsi="Courier New"/>
      <w:szCs w:val="20"/>
    </w:rPr>
  </w:style>
  <w:style w:type="paragraph" w:styleId="7">
    <w:name w:val="Balloon Text"/>
    <w:basedOn w:val="1"/>
    <w:link w:val="2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qFormat/>
    <w:uiPriority w:val="0"/>
    <w:rPr>
      <w:sz w:val="21"/>
      <w:szCs w:val="21"/>
    </w:rPr>
  </w:style>
  <w:style w:type="paragraph" w:styleId="16">
    <w:name w:val="List Paragraph"/>
    <w:basedOn w:val="1"/>
    <w:qFormat/>
    <w:uiPriority w:val="0"/>
    <w:pPr>
      <w:ind w:firstLine="420" w:firstLineChars="200"/>
    </w:pPr>
  </w:style>
  <w:style w:type="paragraph" w:customStyle="1" w:styleId="17">
    <w:name w:val="plain text Char Char"/>
    <w:basedOn w:val="1"/>
    <w:qFormat/>
    <w:uiPriority w:val="0"/>
    <w:rPr>
      <w:rFonts w:ascii="宋体" w:hAnsi="Courier New"/>
      <w:szCs w:val="24"/>
    </w:rPr>
  </w:style>
  <w:style w:type="character" w:customStyle="1" w:styleId="18">
    <w:name w:val="font11"/>
    <w:basedOn w:val="14"/>
    <w:qFormat/>
    <w:uiPriority w:val="0"/>
    <w:rPr>
      <w:rFonts w:hint="default" w:ascii="Times New Roman" w:hAnsi="Times New Roman" w:cs="Times New Roman"/>
      <w:color w:val="000000"/>
      <w:sz w:val="22"/>
      <w:szCs w:val="22"/>
      <w:u w:val="none"/>
    </w:rPr>
  </w:style>
  <w:style w:type="character" w:customStyle="1" w:styleId="19">
    <w:name w:val="font01"/>
    <w:basedOn w:val="14"/>
    <w:qFormat/>
    <w:uiPriority w:val="0"/>
    <w:rPr>
      <w:rFonts w:ascii="Bookman Old Style" w:hAnsi="Bookman Old Style" w:eastAsia="Bookman Old Style" w:cs="Bookman Old Style"/>
      <w:color w:val="000000"/>
      <w:sz w:val="22"/>
      <w:szCs w:val="22"/>
      <w:u w:val="none"/>
    </w:rPr>
  </w:style>
  <w:style w:type="character" w:customStyle="1" w:styleId="20">
    <w:name w:val="font21"/>
    <w:basedOn w:val="14"/>
    <w:qFormat/>
    <w:uiPriority w:val="0"/>
    <w:rPr>
      <w:rFonts w:hint="eastAsia" w:ascii="宋体" w:hAnsi="宋体" w:eastAsia="宋体" w:cs="宋体"/>
      <w:color w:val="000000"/>
      <w:sz w:val="22"/>
      <w:szCs w:val="22"/>
      <w:u w:val="none"/>
    </w:rPr>
  </w:style>
  <w:style w:type="character" w:customStyle="1" w:styleId="21">
    <w:name w:val="font51"/>
    <w:basedOn w:val="14"/>
    <w:qFormat/>
    <w:uiPriority w:val="0"/>
    <w:rPr>
      <w:rFonts w:hint="default" w:ascii="Times New Roman" w:hAnsi="Times New Roman" w:cs="Times New Roman"/>
      <w:color w:val="000000"/>
      <w:sz w:val="22"/>
      <w:szCs w:val="22"/>
      <w:u w:val="none"/>
    </w:rPr>
  </w:style>
  <w:style w:type="character" w:customStyle="1" w:styleId="22">
    <w:name w:val="font31"/>
    <w:basedOn w:val="14"/>
    <w:qFormat/>
    <w:uiPriority w:val="0"/>
    <w:rPr>
      <w:rFonts w:ascii="Bookman Old Style" w:hAnsi="Bookman Old Style" w:eastAsia="Bookman Old Style" w:cs="Bookman Old Style"/>
      <w:color w:val="000000"/>
      <w:sz w:val="22"/>
      <w:szCs w:val="22"/>
      <w:u w:val="none"/>
    </w:rPr>
  </w:style>
  <w:style w:type="character" w:customStyle="1" w:styleId="23">
    <w:name w:val="font61"/>
    <w:basedOn w:val="14"/>
    <w:qFormat/>
    <w:uiPriority w:val="0"/>
    <w:rPr>
      <w:rFonts w:hint="eastAsia" w:ascii="宋体" w:hAnsi="宋体" w:eastAsia="宋体" w:cs="宋体"/>
      <w:color w:val="000000"/>
      <w:sz w:val="22"/>
      <w:szCs w:val="22"/>
      <w:u w:val="none"/>
    </w:rPr>
  </w:style>
  <w:style w:type="character" w:customStyle="1" w:styleId="24">
    <w:name w:val="font41"/>
    <w:basedOn w:val="14"/>
    <w:qFormat/>
    <w:uiPriority w:val="0"/>
    <w:rPr>
      <w:rFonts w:ascii="Bookman Old Style" w:hAnsi="Bookman Old Style" w:eastAsia="Bookman Old Style" w:cs="Bookman Old Style"/>
      <w:color w:val="000000"/>
      <w:sz w:val="22"/>
      <w:szCs w:val="22"/>
      <w:u w:val="none"/>
    </w:rPr>
  </w:style>
  <w:style w:type="paragraph" w:customStyle="1" w:styleId="25">
    <w:name w:val="Table Paragraph"/>
    <w:basedOn w:val="1"/>
    <w:qFormat/>
    <w:uiPriority w:val="1"/>
    <w:pPr>
      <w:autoSpaceDE w:val="0"/>
      <w:autoSpaceDN w:val="0"/>
      <w:jc w:val="left"/>
    </w:pPr>
    <w:rPr>
      <w:rFonts w:ascii="方正仿宋_GBK" w:hAnsi="方正仿宋_GBK" w:eastAsia="方正仿宋_GBK" w:cs="方正仿宋_GBK"/>
      <w:kern w:val="0"/>
      <w:sz w:val="22"/>
      <w:lang w:val="zh-CN" w:bidi="zh-CN"/>
    </w:rPr>
  </w:style>
  <w:style w:type="character" w:customStyle="1" w:styleId="26">
    <w:name w:val="批注框文本 字符"/>
    <w:basedOn w:val="14"/>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5134</Words>
  <Characters>5600</Characters>
  <Lines>40</Lines>
  <Paragraphs>11</Paragraphs>
  <TotalTime>50</TotalTime>
  <ScaleCrop>false</ScaleCrop>
  <LinksUpToDate>false</LinksUpToDate>
  <CharactersWithSpaces>5639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2025-07-08T02:20:00Z</dcterms:created>
  <dc:creator>赵健</dc:creator>
  <cp:lastModifiedBy>WPS_1676258010</cp:lastModifiedBy>
  <cp:lastPrinted>2021-10-29T11:55:00Z</cp:lastPrinted>
  <dcterms:modified xsi:type="dcterms:W3CDTF">2025-07-28T00:53:02Z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323320687_btnclosed</vt:lpwstr>
  </property>
  <property fmtid="{D5CDD505-2E9C-101B-9397-08002B2CF9AE}" pid="4" name="ICV">
    <vt:lpwstr>D6746692AB6C4641974A5B16E07CDA84_13</vt:lpwstr>
  </property>
  <property fmtid="{D5CDD505-2E9C-101B-9397-08002B2CF9AE}" pid="5" name="KSOTemplateDocerSaveRecord">
    <vt:lpwstr>eyJoZGlkIjoiYTc2ZGZiNzZiNDVlOGViOWVmM2JhOTY0NGJkNjUyYzgiLCJ1c2VySWQiOiIxNDczMzMzNjgyIn0=</vt:lpwstr>
  </property>
</Properties>
</file>