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8F26">
      <w:pPr>
        <w:spacing w:line="560" w:lineRule="exact"/>
        <w:ind w:left="440" w:hanging="440" w:hangingChars="100"/>
        <w:jc w:val="center"/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“人工智能+汽车”创新大赛宣传服务</w:t>
      </w:r>
    </w:p>
    <w:p w14:paraId="6E568844">
      <w:pPr>
        <w:spacing w:line="560" w:lineRule="exact"/>
        <w:ind w:left="440" w:hanging="440" w:hangingChars="100"/>
        <w:jc w:val="center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采购需求</w:t>
      </w:r>
    </w:p>
    <w:p w14:paraId="5576E641">
      <w:pPr>
        <w:spacing w:line="560" w:lineRule="exact"/>
        <w:jc w:val="center"/>
        <w:rPr>
          <w:rFonts w:hint="default" w:ascii="Times New Roman" w:hAnsi="Times New Roman" w:eastAsia="Arial Unicode MS" w:cs="Times New Roman"/>
          <w:sz w:val="44"/>
          <w:szCs w:val="52"/>
        </w:rPr>
      </w:pPr>
    </w:p>
    <w:p w14:paraId="6D600758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一、项目名称</w:t>
      </w:r>
    </w:p>
    <w:p w14:paraId="1C245C37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“人工智能+汽车”创新大赛宣传服务</w:t>
      </w:r>
    </w:p>
    <w:p w14:paraId="1E1DFBCA">
      <w:pPr>
        <w:pageBreakBefore w:val="0"/>
        <w:kinsoku/>
        <w:wordWrap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二、采购单位</w:t>
      </w:r>
    </w:p>
    <w:p w14:paraId="278B826D">
      <w:pPr>
        <w:pageBreakBefore w:val="0"/>
        <w:kinsoku/>
        <w:wordWrap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广西壮族自治区大数据发展局</w:t>
      </w:r>
    </w:p>
    <w:p w14:paraId="51777C7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40"/>
        </w:rPr>
        <w:t>、项目预算</w:t>
      </w:r>
    </w:p>
    <w:p w14:paraId="2F16278D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64.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978</w:t>
      </w:r>
      <w:r>
        <w:rPr>
          <w:rFonts w:hint="default" w:ascii="Times New Roman" w:hAnsi="Times New Roman" w:eastAsia="仿宋" w:cs="Times New Roman"/>
          <w:sz w:val="32"/>
          <w:szCs w:val="40"/>
        </w:rPr>
        <w:t>万元</w:t>
      </w:r>
    </w:p>
    <w:p w14:paraId="0AE08EBD">
      <w:pPr>
        <w:pageBreakBefore w:val="0"/>
        <w:kinsoku/>
        <w:wordWrap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四、服务时间</w:t>
      </w:r>
    </w:p>
    <w:p w14:paraId="1C2416B1">
      <w:pPr>
        <w:pageBreakBefore w:val="0"/>
        <w:kinsoku/>
        <w:wordWrap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2025年10月31日</w:t>
      </w:r>
    </w:p>
    <w:p w14:paraId="1192C7E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40"/>
        </w:rPr>
        <w:t>、项目招标方式</w:t>
      </w:r>
    </w:p>
    <w:p w14:paraId="2CE3B38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局内控竞争性磋商</w:t>
      </w:r>
    </w:p>
    <w:p w14:paraId="31A92A01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40"/>
        </w:rPr>
        <w:t>项目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背景</w:t>
      </w:r>
    </w:p>
    <w:p w14:paraId="5C9D42D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为落实自治区关于大力发展人工智能产业，推动人工智能与千行百业的深度融合，激发创新活力，培养高素质人才。按照自治区关于举办“人工智能+汽车”创新大赛的有关要求，采购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大赛宣传</w:t>
      </w:r>
      <w:r>
        <w:rPr>
          <w:rFonts w:hint="default" w:ascii="Times New Roman" w:hAnsi="Times New Roman" w:eastAsia="仿宋" w:cs="Times New Roman"/>
          <w:sz w:val="32"/>
          <w:szCs w:val="40"/>
        </w:rPr>
        <w:t>服务，通过宣传加强赛事吸引力和影响力。</w:t>
      </w:r>
    </w:p>
    <w:p w14:paraId="5580E051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40"/>
        </w:rPr>
        <w:t>、服务内容</w:t>
      </w:r>
    </w:p>
    <w:p w14:paraId="17A189C5"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</w:rPr>
        <w:t>（一）采购内容</w:t>
      </w:r>
    </w:p>
    <w:p w14:paraId="77A239C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宣传整体策划。赛事预热阶段策划，前期以打造影响力为主、赛事报名推荐；赛事阶段，策划方向以打造专业性以及赛事整体节奏；赛后总结，以深度专题报道为主，策划专题内容，作为整个项目的收尾；以上所有的原创内容，同步公众号、视频号、主流汽车门户网站等平台二次创作后分别推介。宣传需要覆盖包含“车家号”、“易车网”、“汽车观察”“搜狐汽车”“新浪汽车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等平台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在内的国内头部汽车平台渠道，以实际发稿平台为准。</w:t>
      </w:r>
    </w:p>
    <w:p w14:paraId="2AA9BF1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2.赛事预热宣传。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预热稿撰写，原创图文一篇；提供所有原素材，以公众号、抖音、搜狐汽车、新浪汽车和网站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等平台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为主同步不少于8个平台进行二次创作发布；微信、微博等社交平台预热海报设计以及制作；公众号横栏预热广告设计制作，并刊登30天；横栏预热广告设计制作，并在主流汽车门户网站刊登30天；焦点图重点版位预热稿宣传。</w:t>
      </w:r>
    </w:p>
    <w:p w14:paraId="724ACAB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3.入围作品展示。针对入围决赛作品进行材料整理和排版设计及制作，内容以实际参赛作为主，兼具观赏性，供观展人员参观。</w:t>
      </w:r>
    </w:p>
    <w:p w14:paraId="43629D7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决赛现场图文宣传、图片宣传。针对整个赛事报道，原创新闻稿件1篇；提供全部原素材，在公众号、抖音、搜狐汽车、新浪汽车等不少于8家汽车行业主流新媒体平台二次创作发布；决赛阶段图片传播策划，包括空镜时间安排、人物特写，场景合理分配；决赛期间出席领导、评委、重要嘉宾、路演宣讲人员等图片素材全过程拍摄；同步云像册，并进行图片精修；新闻稿件图片拍摄；微博九宫格图片宣传。</w:t>
      </w:r>
    </w:p>
    <w:p w14:paraId="01C3D0C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5.决赛现场全过程视频素材拍摄及视频宣传。决赛阶段全过程视频策划与素材拍摄；路演精彩瞬间快闪切片；评委老师的精彩点评切片；决赛现场路演答辩亮点切片。</w:t>
      </w:r>
    </w:p>
    <w:p w14:paraId="4CFE660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.决赛评审专家邀请。邀请不少于2名大型车企研究院院长/高校汽车院系学科带头人/汽车行业内知名专家参与决赛评审。</w:t>
      </w:r>
    </w:p>
    <w:p w14:paraId="6EEA272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媒体推广。撰写原创稿件一篇；邀请车架号、易车网、搜狐汽车、网易汽车、新浪汽车等主流汽车门户网站参与活动报道，提供原素材，其它各家门户网站发布内容均需二次创作发布推流，以实际发布平台为准；邀请不少于8家汽车主流媒体现场参与报道和网络平台发布。</w:t>
      </w:r>
    </w:p>
    <w:p w14:paraId="7567B1E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8.执行服务。除以上条目所需摄影、摄像、导演等现场人员外，需不少于5人现场执行人员驻点广西提供决赛活动期间全程服务。</w:t>
      </w:r>
    </w:p>
    <w:p w14:paraId="6D75230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赛事后期专题策划。赛事结束后，整合一期专题策划，以打造活动行业远期影响力为主，内容撰写以不低于4P内容篇幅；采访一位广西政府相关领导，对整个赛事做深度解读；所有深度报道内容同步在公众号、抖音、新浪、搜狐、百家号、微博等不少于8家媒体平台。</w:t>
      </w:r>
    </w:p>
    <w:p w14:paraId="23A0D89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10.东盟参赛项目征集与邀请。征集筛选符合“人工智能+汽车”主题方向、具有创新性与落地可行性的项目，邀请东盟国家参赛队伍不少于3个。</w:t>
      </w:r>
    </w:p>
    <w:p w14:paraId="1066B82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11.东盟参赛队伍外语翻译向导。团队行程管理及联络服务，翻译陪同，协助东盟参赛团队办理来华签证材料准备及行前协调联络。</w:t>
      </w:r>
    </w:p>
    <w:p w14:paraId="1A4D1047"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</w:rPr>
        <w:t>（二）服务要求</w:t>
      </w:r>
    </w:p>
    <w:p w14:paraId="5B67E80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交付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成果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要求：服务方应于成品交付时，同步提供全部原始拍摄素材的可编辑文件。文件须保留完整元数据、分层结构及分轨设计，确保委托方可基于后期宣传需求进行无损编辑、调色、字幕替换等操作。</w:t>
      </w:r>
    </w:p>
    <w:p w14:paraId="156D278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投入要求：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服务单位委派不少于5名工作人员在活动现场开展大赛宣传策划和服务工作（不包括现场配套的摄影摄像人员），并服从采购方现场负责人的工作安排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37B3E5E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3.项目文档要求：宣传服务方案（含执行细案）、结案报告等。</w:t>
      </w:r>
    </w:p>
    <w:p w14:paraId="26234CD9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八、付款方式</w:t>
      </w:r>
    </w:p>
    <w:p w14:paraId="35F7B1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1.合同签订且采购人财政资金到位后10日内，由采购人支付成交供应商合同总金额的45%。</w:t>
      </w:r>
    </w:p>
    <w:p w14:paraId="5E520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2.供应商向采购人交付成果后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并经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采购人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验收合格后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10日内，采购人支付成交供应商合同金额的55%。</w:t>
      </w:r>
    </w:p>
    <w:p w14:paraId="18ED2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.每次付款前5日，供应商必须提供相应数额的增值税发票及请款函。</w:t>
      </w:r>
    </w:p>
    <w:p w14:paraId="52E316B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“人工智能+汽车”创新大赛宣传服务采购评分标准</w:t>
      </w:r>
    </w:p>
    <w:p w14:paraId="3C5B1A1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p w14:paraId="79F0C06F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一、评审原则</w:t>
      </w:r>
    </w:p>
    <w:p w14:paraId="3EC49D39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（一）评审小组构成：本项目的评审小组由采购人单位采购小组成员组成，成员人数应当为三人以上（含三人）单数。</w:t>
      </w:r>
    </w:p>
    <w:p w14:paraId="57569F3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（二）评审依据：评审小组将以采购文件和响应文件为评定依据进行评审。</w:t>
      </w:r>
    </w:p>
    <w:p w14:paraId="3E1132D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（三）评审办法：采用百分制综合评分法。</w:t>
      </w:r>
    </w:p>
    <w:p w14:paraId="5B737D39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二、评审方法</w:t>
      </w:r>
    </w:p>
    <w:p w14:paraId="15C305B7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评审小组会对报价人的响应文件资格性和符合性进行检查，对合格的响应文件，采用百分制综合评分法进行评审。</w:t>
      </w:r>
    </w:p>
    <w:p w14:paraId="4CFF310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评审小组将以采购文件、响应文件为评审依据，提出最后总得分最高的报价人作为成交人。</w:t>
      </w:r>
    </w:p>
    <w:p w14:paraId="1BDD5126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评分细则（按四舍五入取至百分位）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46"/>
        <w:gridCol w:w="5273"/>
        <w:gridCol w:w="897"/>
      </w:tblGrid>
      <w:tr w14:paraId="5F8E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71" w:type="pct"/>
            <w:tcBorders>
              <w:tl2br w:val="nil"/>
              <w:tr2bl w:val="nil"/>
            </w:tcBorders>
            <w:vAlign w:val="center"/>
          </w:tcPr>
          <w:p w14:paraId="07E1F4EE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72D7A4E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094" w:type="pct"/>
            <w:tcBorders>
              <w:tl2br w:val="nil"/>
              <w:tr2bl w:val="nil"/>
            </w:tcBorders>
            <w:vAlign w:val="center"/>
          </w:tcPr>
          <w:p w14:paraId="2D281AE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</w:rPr>
              <w:t>评分标准</w:t>
            </w:r>
          </w:p>
        </w:tc>
        <w:tc>
          <w:tcPr>
            <w:tcW w:w="525" w:type="pct"/>
            <w:tcBorders>
              <w:tl2br w:val="nil"/>
              <w:tr2bl w:val="nil"/>
            </w:tcBorders>
            <w:vAlign w:val="center"/>
          </w:tcPr>
          <w:p w14:paraId="67AD6B2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分值</w:t>
            </w:r>
          </w:p>
        </w:tc>
      </w:tr>
      <w:tr w14:paraId="38ED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pct"/>
            <w:tcBorders>
              <w:tl2br w:val="nil"/>
              <w:tr2bl w:val="nil"/>
            </w:tcBorders>
            <w:vAlign w:val="center"/>
          </w:tcPr>
          <w:p w14:paraId="54E1051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5D6AF5A0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价格部分</w:t>
            </w:r>
          </w:p>
          <w:p w14:paraId="62E71FA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满分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分）</w:t>
            </w:r>
          </w:p>
        </w:tc>
        <w:tc>
          <w:tcPr>
            <w:tcW w:w="3094" w:type="pct"/>
            <w:tcBorders>
              <w:tl2br w:val="nil"/>
              <w:tr2bl w:val="nil"/>
            </w:tcBorders>
          </w:tcPr>
          <w:p w14:paraId="6EBA06C8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（1）评标价为投标人的投标报价进行政策性扣除后的价格，评标价只是作为评标时使用。最终中标供应商的中标金额＝投标报价。</w:t>
            </w:r>
          </w:p>
          <w:p w14:paraId="04A99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（2）按照《政府采购促进中小企业发展管理办法》（财库〔2020〕46号）的规定第九条规定，给予小微企业报价扣除政策的幅度为 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％—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％，投标人在其投标文件中提供《中小企业声明函》，对其最后报价给予10%的扣除。</w:t>
            </w:r>
          </w:p>
          <w:p w14:paraId="718B2D3C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3）按照《财政部、司法部关于政府采购支持监狱企业发展有关问题的通知》（财库〔2014〕68号）的规定，监狱企业视同小型、微型企业，享受预留份额、评审中价格扣除等促进中小企业发展的政府采购政策。监狱企业参加政府采购活动时，应当提供由省级以上监狱管理局、戒毒管理局（含新疆生产建设兵团）出具的属于监狱企业的证明文件。</w:t>
            </w:r>
          </w:p>
          <w:p w14:paraId="064F3C10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4）按照《关于促进残疾人就业政府采购政策的通知》（财库〔2017〕141号）的规定，残疾人福利性单位视同小型、微型企业，享受预留份额、评审中价格扣除等促进中小企业发展的政府采购政策。残疾人福利性单位参加政府采购活动时，应当提供该通知规定的《残疾人福利性单位声明函》，并对声明的真实性负责。残疾人福利性单位属于小型、微型企业的，不重复享受政策。</w:t>
            </w:r>
          </w:p>
          <w:p w14:paraId="233284CF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（5）政策性扣除计算方法。</w:t>
            </w:r>
          </w:p>
          <w:p w14:paraId="11D6AA33">
            <w:pPr>
              <w:widowControl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在货物采购项目中，供应商所投标全部货物由小型或者微型企业制造；在工程采购项目中，工程由小微企业承建；在服务采购项目中，服务由小微企业承接。对符合上述要求的投标人的投标报价给予10%的扣除，扣除后的价格为评标报价，即评标报价=投标报价×10%。除上述情况外，评标报价=投标报价。</w:t>
            </w:r>
          </w:p>
          <w:p w14:paraId="45F5989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（6）以进入综合评分环节的最低的评标报价为基准价，基准价报价得分为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分。</w:t>
            </w:r>
          </w:p>
          <w:p w14:paraId="4976878A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（7）价格分计算公式：某投标人价格分=基准价/某投标人评标报价金额×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525" w:type="pct"/>
            <w:tcBorders>
              <w:tl2br w:val="nil"/>
              <w:tr2bl w:val="nil"/>
            </w:tcBorders>
            <w:vAlign w:val="center"/>
          </w:tcPr>
          <w:p w14:paraId="7F57A0A6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分</w:t>
            </w:r>
          </w:p>
        </w:tc>
      </w:tr>
      <w:tr w14:paraId="78E4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71" w:type="pct"/>
            <w:tcBorders>
              <w:tl2br w:val="nil"/>
              <w:tr2bl w:val="nil"/>
            </w:tcBorders>
            <w:vAlign w:val="center"/>
          </w:tcPr>
          <w:p w14:paraId="0AF0B32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69A1B54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技术部分</w:t>
            </w:r>
          </w:p>
        </w:tc>
        <w:tc>
          <w:tcPr>
            <w:tcW w:w="3620" w:type="pct"/>
            <w:gridSpan w:val="2"/>
            <w:tcBorders>
              <w:tl2br w:val="nil"/>
              <w:tr2bl w:val="nil"/>
            </w:tcBorders>
          </w:tcPr>
          <w:p w14:paraId="337638CA"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评分标准</w:t>
            </w:r>
          </w:p>
        </w:tc>
      </w:tr>
      <w:tr w14:paraId="7FD2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471" w:type="pct"/>
            <w:tcBorders>
              <w:tl2br w:val="nil"/>
              <w:tr2bl w:val="nil"/>
            </w:tcBorders>
            <w:vAlign w:val="center"/>
          </w:tcPr>
          <w:p w14:paraId="6FF8269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2.1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37D7076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宣传策划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方案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（满分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3094" w:type="pct"/>
            <w:tcBorders>
              <w:tl2br w:val="nil"/>
              <w:tr2bl w:val="nil"/>
            </w:tcBorders>
            <w:vAlign w:val="center"/>
          </w:tcPr>
          <w:p w14:paraId="1F380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一档（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分）：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宣传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方案初步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/>
              </w:rPr>
              <w:t>达到了项目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需求，但缺乏深度分析和系统规划。提出的策划思路、创意主题与项目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的契合度一般或阐述不充分。</w:t>
            </w:r>
          </w:p>
          <w:p w14:paraId="311CC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二档（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分）：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宣传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方案基本符合项目需求，对项目背景、目标、受众及传播挑战有较全面的分析理解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有基本的策划思路、主题及项目规划等内容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宣传内容规划具体且具一定针对性，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但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创作效果无突出特点，思路及创作内容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虽然能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基本能满足项目要求，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但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主题不够突出，针对具体内容有基本分析。</w:t>
            </w:r>
          </w:p>
          <w:p w14:paraId="7F27A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三档（3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宣传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方案科学、详细且具有可操作性，对项目需求分析理解深刻、具有延展性，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整体宣传节点有理有据，内容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新颖独到、内容完整且切合广西携手东盟共同迈进人工智能时代主题特色，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宣传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方案整体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执行度高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，能很好地满足项目服务要求，实现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整体项目对宣传的预期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525" w:type="pct"/>
            <w:tcBorders>
              <w:tl2br w:val="nil"/>
              <w:tr2bl w:val="nil"/>
            </w:tcBorders>
            <w:vAlign w:val="center"/>
          </w:tcPr>
          <w:p w14:paraId="14EEAFA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分</w:t>
            </w:r>
          </w:p>
          <w:p w14:paraId="325867C0"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0FD8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95E2B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2.2</w:t>
            </w:r>
          </w:p>
        </w:tc>
        <w:tc>
          <w:tcPr>
            <w:tcW w:w="90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AA96E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实施人员分（满分2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309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E7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一档（6分）：供应商针对本项目配备基础实施团队，拟投入服务人员≥5 人，团队包含至少2名具备2年以上宣传工作经验的人员（提供项目经验证明），能满足基础宣传执行需求。</w:t>
            </w:r>
          </w:p>
          <w:p w14:paraId="09CFE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二档（12分）：供应商针对本项目配备完善实施团队，拟投入服务人员≥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人，团队包含策划、文案、设计等至少 3个明确分工岗位，分工流程清晰可追溯，其中2名及以上人员具备3年以上宣传经验（提供项目经验证明）。</w:t>
            </w:r>
          </w:p>
          <w:p w14:paraId="7B0E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三档（20分）：供应商针对本项目配备专业实施团队，拟投入服务人员≥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人，涵盖全流程宣传岗位且分工细化，其中4名及以上人员具备3年以上宣传经验（提供项目经验证明）。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45E1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20分</w:t>
            </w:r>
          </w:p>
        </w:tc>
      </w:tr>
      <w:tr w14:paraId="4F0E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71" w:type="pct"/>
            <w:tcBorders>
              <w:tl2br w:val="nil"/>
              <w:tr2bl w:val="nil"/>
            </w:tcBorders>
            <w:vAlign w:val="center"/>
          </w:tcPr>
          <w:p w14:paraId="21DBACA7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6D306760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商务部分</w:t>
            </w:r>
          </w:p>
        </w:tc>
        <w:tc>
          <w:tcPr>
            <w:tcW w:w="3620" w:type="pct"/>
            <w:gridSpan w:val="2"/>
            <w:tcBorders>
              <w:tl2br w:val="nil"/>
              <w:tr2bl w:val="nil"/>
            </w:tcBorders>
            <w:vAlign w:val="center"/>
          </w:tcPr>
          <w:p w14:paraId="0728526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评分标准</w:t>
            </w:r>
          </w:p>
        </w:tc>
      </w:tr>
      <w:tr w14:paraId="7D48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pct"/>
            <w:tcBorders>
              <w:tl2br w:val="nil"/>
              <w:tr2bl w:val="nil"/>
            </w:tcBorders>
            <w:vAlign w:val="center"/>
          </w:tcPr>
          <w:p w14:paraId="56680CC3"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3.1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2A8192BF"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业绩分</w:t>
            </w:r>
          </w:p>
          <w:p w14:paraId="1FB6B4A9"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（满分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分）</w:t>
            </w:r>
          </w:p>
        </w:tc>
        <w:tc>
          <w:tcPr>
            <w:tcW w:w="3094" w:type="pct"/>
            <w:tcBorders>
              <w:tl2br w:val="nil"/>
              <w:tr2bl w:val="nil"/>
            </w:tcBorders>
          </w:tcPr>
          <w:p w14:paraId="5C54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供应商近 3 年内获得过地市级及以上宣传主管部门或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汽车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行业权威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机构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颁发的网络类优秀内容奖项，每获得一项加5分，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最多计4项（累计满20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）。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需提供获奖证书扫描件及对应获奖作品链接，作品需与赛事、活动宣传相关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，否则不得分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。</w:t>
            </w:r>
          </w:p>
          <w:p w14:paraId="5D99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说明：若所提供以上材料为虚假材料，将取消中标资格并追究相应责任。</w:t>
            </w:r>
          </w:p>
        </w:tc>
        <w:tc>
          <w:tcPr>
            <w:tcW w:w="525" w:type="pct"/>
            <w:tcBorders>
              <w:tl2br w:val="nil"/>
              <w:tr2bl w:val="nil"/>
            </w:tcBorders>
            <w:vAlign w:val="center"/>
          </w:tcPr>
          <w:p w14:paraId="214B400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分</w:t>
            </w:r>
          </w:p>
        </w:tc>
      </w:tr>
    </w:tbl>
    <w:p w14:paraId="03BA25F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四、成交候选人推荐原则</w:t>
      </w:r>
    </w:p>
    <w:p w14:paraId="5C3C20B8"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评审小组将根据得分由高到低排列次序（评审得分相同的，按照最后报价由低到高的顺序推荐。评审得分且最后报价相同的，按照技术指标优劣顺序推荐。）推荐综合排名第一名的供应商为成交候选供应商。排名第一的成交候选人放弃成交、因不可抗力提出不能履行合同，采购单位可以确定排名第二的成交候选人为成交人，以此类推。采购人也可以重新组织采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74F93"/>
    <w:multiLevelType w:val="singleLevel"/>
    <w:tmpl w:val="3A474F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12347CF"/>
    <w:rsid w:val="0119677B"/>
    <w:rsid w:val="052878D5"/>
    <w:rsid w:val="05E72096"/>
    <w:rsid w:val="06267537"/>
    <w:rsid w:val="0D9D0734"/>
    <w:rsid w:val="0EB634CB"/>
    <w:rsid w:val="108F7602"/>
    <w:rsid w:val="13D74C58"/>
    <w:rsid w:val="14A93475"/>
    <w:rsid w:val="17163A31"/>
    <w:rsid w:val="1A5B334B"/>
    <w:rsid w:val="1A60028F"/>
    <w:rsid w:val="1F803A53"/>
    <w:rsid w:val="20CB10D8"/>
    <w:rsid w:val="298E56A9"/>
    <w:rsid w:val="2AB73F44"/>
    <w:rsid w:val="2D6563F5"/>
    <w:rsid w:val="2EDD74AE"/>
    <w:rsid w:val="315A14BD"/>
    <w:rsid w:val="33E63DD7"/>
    <w:rsid w:val="37FF77AC"/>
    <w:rsid w:val="3B9855D2"/>
    <w:rsid w:val="3C18397E"/>
    <w:rsid w:val="3C944BD9"/>
    <w:rsid w:val="3CCF053F"/>
    <w:rsid w:val="3DAB1EF5"/>
    <w:rsid w:val="412347CF"/>
    <w:rsid w:val="45284CA4"/>
    <w:rsid w:val="4AAE0F07"/>
    <w:rsid w:val="4ADA4ABA"/>
    <w:rsid w:val="53AA5514"/>
    <w:rsid w:val="56064695"/>
    <w:rsid w:val="57AEEB05"/>
    <w:rsid w:val="584C59E9"/>
    <w:rsid w:val="5DE025B2"/>
    <w:rsid w:val="5F7F3DBC"/>
    <w:rsid w:val="616A10DA"/>
    <w:rsid w:val="62163773"/>
    <w:rsid w:val="62EA0BF5"/>
    <w:rsid w:val="62FB10F8"/>
    <w:rsid w:val="64CB2960"/>
    <w:rsid w:val="6B4D1FC7"/>
    <w:rsid w:val="6E773F3E"/>
    <w:rsid w:val="70DD0956"/>
    <w:rsid w:val="774A589B"/>
    <w:rsid w:val="783A2DBF"/>
    <w:rsid w:val="78F56BA8"/>
    <w:rsid w:val="7A793F69"/>
    <w:rsid w:val="7AF33ACB"/>
    <w:rsid w:val="7BCE7889"/>
    <w:rsid w:val="7DED1A3A"/>
    <w:rsid w:val="7ECD54A1"/>
    <w:rsid w:val="EA79E3E2"/>
    <w:rsid w:val="FDFB61E8"/>
    <w:rsid w:val="FFF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rPr>
      <w:rFonts w:ascii="Times New Roman" w:hAnsi="Times New Roman" w:eastAsia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表格内容"/>
    <w:qFormat/>
    <w:uiPriority w:val="0"/>
    <w:pPr>
      <w:spacing w:after="0" w:line="240" w:lineRule="auto"/>
      <w:jc w:val="both"/>
    </w:pPr>
    <w:rPr>
      <w:rFonts w:ascii="宋体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8</Pages>
  <Words>2642</Words>
  <Characters>2712</Characters>
  <Lines>0</Lines>
  <Paragraphs>0</Paragraphs>
  <TotalTime>2</TotalTime>
  <ScaleCrop>false</ScaleCrop>
  <LinksUpToDate>false</LinksUpToDate>
  <CharactersWithSpaces>2712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2025-06-10T03:28:00Z</dcterms:created>
  <dc:creator>WangQ</dc:creator>
  <cp:lastModifiedBy>李文举</cp:lastModifiedBy>
  <dcterms:modified xsi:type="dcterms:W3CDTF">2025-07-30T03:40:17Z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998431406455453B984F1502BA2E7011</vt:lpwstr>
  </property>
  <property fmtid="{D5CDD505-2E9C-101B-9397-08002B2CF9AE}" pid="4" name="KSOTemplateDocerSaveRecord">
    <vt:lpwstr>eyJoZGlkIjoiYzA3ODk1ODg1NjliNjNiYzNmYzQyMTVlYmUyYjI4MTciLCJ1c2VySWQiOiIxNDgzNTQ5OTkwIn0=</vt:lpwstr>
  </property>
</Properties>
</file>