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361D">
      <w:pPr>
        <w:spacing w:line="560" w:lineRule="exact"/>
        <w:jc w:val="center"/>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自治区政务服务中心及12345热线与南宁市</w:t>
      </w:r>
    </w:p>
    <w:p w14:paraId="5B7640FD">
      <w:pPr>
        <w:spacing w:line="560" w:lineRule="exact"/>
        <w:jc w:val="center"/>
        <w:rPr>
          <w:rFonts w:hint="eastAsia"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sz w:val="44"/>
          <w:szCs w:val="52"/>
        </w:rPr>
        <w:t>融合服务</w:t>
      </w:r>
      <w:r>
        <w:rPr>
          <w:rFonts w:hint="eastAsia" w:ascii="Times New Roman" w:hAnsi="Times New Roman" w:eastAsia="方正小标宋简体" w:cs="Times New Roman"/>
          <w:sz w:val="44"/>
          <w:szCs w:val="44"/>
          <w:lang w:val="en-US" w:eastAsia="zh-CN"/>
        </w:rPr>
        <w:t>电子监察室和业务用房</w:t>
      </w:r>
    </w:p>
    <w:p w14:paraId="218A6BFA">
      <w:pPr>
        <w:spacing w:line="560" w:lineRule="exact"/>
        <w:jc w:val="center"/>
        <w:rPr>
          <w:rFonts w:hint="eastAsia" w:ascii="方正小标宋简体" w:hAnsi="方正小标宋简体" w:eastAsia="方正小标宋简体" w:cs="方正小标宋简体"/>
          <w:b w:val="0"/>
          <w:bCs w:val="0"/>
          <w:sz w:val="44"/>
          <w:szCs w:val="52"/>
        </w:rPr>
      </w:pPr>
      <w:r>
        <w:rPr>
          <w:rFonts w:hint="eastAsia" w:ascii="Times New Roman" w:hAnsi="Times New Roman" w:eastAsia="方正小标宋简体" w:cs="Times New Roman"/>
          <w:sz w:val="44"/>
          <w:szCs w:val="44"/>
          <w:lang w:val="en-US" w:eastAsia="zh-CN"/>
        </w:rPr>
        <w:t>改造项目</w:t>
      </w:r>
      <w:r>
        <w:rPr>
          <w:rFonts w:hint="eastAsia" w:ascii="方正小标宋简体" w:hAnsi="方正小标宋简体" w:eastAsia="方正小标宋简体" w:cs="方正小标宋简体"/>
          <w:b w:val="0"/>
          <w:bCs w:val="0"/>
          <w:sz w:val="44"/>
          <w:szCs w:val="52"/>
        </w:rPr>
        <w:t>评分标准</w:t>
      </w:r>
    </w:p>
    <w:p w14:paraId="00F67C12">
      <w:pPr>
        <w:jc w:val="center"/>
        <w:rPr>
          <w:rFonts w:hint="eastAsia" w:ascii="方正小标宋简体" w:hAnsi="方正小标宋简体" w:eastAsia="方正小标宋简体" w:cs="方正小标宋简体"/>
          <w:b w:val="0"/>
          <w:bCs w:val="0"/>
        </w:rPr>
      </w:pPr>
    </w:p>
    <w:p w14:paraId="45BEF905">
      <w:pPr>
        <w:pStyle w:val="2"/>
        <w:spacing w:before="0" w:after="0" w:line="560" w:lineRule="exact"/>
        <w:ind w:firstLine="640" w:firstLineChars="200"/>
        <w:rPr>
          <w:rFonts w:hint="default" w:ascii="Times New Roman" w:hAnsi="Times New Roman" w:cs="Times New Roman"/>
          <w:b w:val="0"/>
          <w:bCs/>
          <w:color w:val="auto"/>
          <w:szCs w:val="32"/>
          <w:lang w:val="en-US" w:eastAsia="zh-CN"/>
        </w:rPr>
      </w:pPr>
      <w:r>
        <w:rPr>
          <w:rFonts w:ascii="Times New Roman" w:hAnsi="Times New Roman" w:cs="Times New Roman"/>
          <w:b w:val="0"/>
          <w:bCs/>
          <w:color w:val="auto"/>
          <w:szCs w:val="32"/>
          <w:lang w:eastAsia="zh-CN"/>
        </w:rPr>
        <w:t>一、评</w:t>
      </w:r>
      <w:r>
        <w:rPr>
          <w:rFonts w:hint="eastAsia" w:ascii="Times New Roman" w:hAnsi="Times New Roman" w:cs="Times New Roman"/>
          <w:b w:val="0"/>
          <w:bCs/>
          <w:color w:val="auto"/>
          <w:szCs w:val="32"/>
          <w:lang w:val="en-US" w:eastAsia="zh-CN"/>
        </w:rPr>
        <w:t>审依据</w:t>
      </w:r>
    </w:p>
    <w:p w14:paraId="63970DEA">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磋商小组以磋商响应文件为评审依据，对供应商的报价、技术、商务等方面内容按百分制打分。（计分方法按四舍五入取至百分位）</w:t>
      </w:r>
      <w:r>
        <w:rPr>
          <w:rFonts w:ascii="Times New Roman" w:hAnsi="Times New Roman" w:eastAsia="仿宋_GB2312" w:cs="Times New Roman"/>
          <w:bCs/>
          <w:sz w:val="32"/>
          <w:szCs w:val="32"/>
        </w:rPr>
        <w:t>。</w:t>
      </w:r>
      <w:r>
        <w:rPr>
          <w:rFonts w:ascii="Times New Roman" w:hAnsi="Times New Roman" w:eastAsia="仿宋_GB2312" w:cs="Times New Roman"/>
          <w:b/>
          <w:sz w:val="32"/>
          <w:szCs w:val="32"/>
        </w:rPr>
        <w:t xml:space="preserve"> </w:t>
      </w:r>
    </w:p>
    <w:p w14:paraId="1AD55C8F">
      <w:pPr>
        <w:pStyle w:val="2"/>
        <w:spacing w:before="0" w:after="0" w:line="560" w:lineRule="exact"/>
        <w:ind w:firstLine="640" w:firstLineChars="200"/>
        <w:rPr>
          <w:rFonts w:ascii="Times New Roman" w:hAnsi="Times New Roman" w:cs="Times New Roman"/>
          <w:b w:val="0"/>
          <w:bCs/>
          <w:color w:val="auto"/>
          <w:lang w:eastAsia="zh-CN"/>
        </w:rPr>
      </w:pPr>
      <w:r>
        <w:rPr>
          <w:rFonts w:ascii="Times New Roman" w:hAnsi="Times New Roman" w:cs="Times New Roman"/>
          <w:b w:val="0"/>
          <w:bCs/>
          <w:color w:val="auto"/>
          <w:lang w:eastAsia="zh-CN"/>
        </w:rPr>
        <w:t>二、评标方法</w:t>
      </w:r>
    </w:p>
    <w:p w14:paraId="0F6AE779">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（一）对进入详评的，采用百分制综合评分法。</w:t>
      </w:r>
    </w:p>
    <w:p w14:paraId="3410BAC3">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（二）计分办法（按四舍五入取至百分位）。</w:t>
      </w:r>
    </w:p>
    <w:p w14:paraId="309B5F4A">
      <w:pPr>
        <w:spacing w:line="360"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21"/>
          <w:lang w:bidi="ar"/>
        </w:rPr>
        <w:t>三</w:t>
      </w:r>
      <w:r>
        <w:rPr>
          <w:rFonts w:hint="eastAsia" w:ascii="Times New Roman" w:hAnsi="Times New Roman" w:cs="Times New Roman"/>
          <w:bCs/>
          <w:sz w:val="32"/>
          <w:szCs w:val="21"/>
          <w:lang w:bidi="ar"/>
        </w:rPr>
        <w:t>、</w:t>
      </w:r>
      <w:r>
        <w:rPr>
          <w:rFonts w:ascii="Times New Roman" w:hAnsi="Times New Roman" w:eastAsia="黑体" w:cs="Times New Roman"/>
          <w:bCs/>
          <w:sz w:val="32"/>
          <w:szCs w:val="21"/>
        </w:rPr>
        <w:t>评分细则</w:t>
      </w:r>
    </w:p>
    <w:p w14:paraId="186A2169">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（一）报价分（满分</w:t>
      </w:r>
      <w:r>
        <w:rPr>
          <w:rFonts w:hint="eastAsia"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rPr>
        <w:t>0</w:t>
      </w:r>
      <w:r>
        <w:rPr>
          <w:rFonts w:hint="eastAsia" w:ascii="Times New Roman" w:hAnsi="Times New Roman" w:eastAsia="楷体_GB2312" w:cs="Times New Roman"/>
          <w:b/>
          <w:bCs/>
          <w:sz w:val="32"/>
          <w:szCs w:val="32"/>
          <w:lang w:eastAsia="zh-CN"/>
        </w:rPr>
        <w:t>分</w:t>
      </w:r>
      <w:r>
        <w:rPr>
          <w:rFonts w:ascii="Times New Roman" w:hAnsi="Times New Roman" w:eastAsia="楷体_GB2312" w:cs="Times New Roman"/>
          <w:b/>
          <w:bCs/>
          <w:sz w:val="32"/>
          <w:szCs w:val="32"/>
        </w:rPr>
        <w:t>）</w:t>
      </w:r>
    </w:p>
    <w:p w14:paraId="7DF00C5E">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（1）本项目为专门面向中小企业采购项目，不执行价格扣除优惠政策。</w:t>
      </w:r>
    </w:p>
    <w:p w14:paraId="2F28FBFB">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（2）满足采购文件要求且评标报价最低的评标报价为评标基准价，其价格分为满分。</w:t>
      </w:r>
    </w:p>
    <w:p w14:paraId="19B8EF0B">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（3）价格分计算公式：        </w:t>
      </w:r>
    </w:p>
    <w:p w14:paraId="4AFD46B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价格分=(评标基准价/评标报价)×</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0分</w:t>
      </w:r>
    </w:p>
    <w:p w14:paraId="02C91E01">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二</w:t>
      </w:r>
      <w:r>
        <w:rPr>
          <w:rFonts w:ascii="Times New Roman" w:hAnsi="Times New Roman" w:eastAsia="楷体_GB2312" w:cs="Times New Roman"/>
          <w:b/>
          <w:bCs/>
          <w:sz w:val="32"/>
          <w:szCs w:val="32"/>
        </w:rPr>
        <w:t>）技术</w:t>
      </w:r>
      <w:r>
        <w:rPr>
          <w:rFonts w:hint="eastAsia" w:ascii="Times New Roman" w:hAnsi="Times New Roman" w:eastAsia="楷体_GB2312" w:cs="Times New Roman"/>
          <w:b/>
          <w:bCs/>
          <w:sz w:val="32"/>
          <w:szCs w:val="32"/>
          <w:lang w:eastAsia="zh-CN"/>
        </w:rPr>
        <w:t>分</w:t>
      </w:r>
      <w:r>
        <w:rPr>
          <w:rFonts w:ascii="Times New Roman" w:hAnsi="Times New Roman" w:eastAsia="楷体_GB2312" w:cs="Times New Roman"/>
          <w:b/>
          <w:bCs/>
          <w:sz w:val="32"/>
          <w:szCs w:val="32"/>
        </w:rPr>
        <w:t>（满分</w:t>
      </w:r>
      <w:r>
        <w:rPr>
          <w:rFonts w:hint="eastAsia" w:ascii="Times New Roman" w:hAnsi="Times New Roman" w:eastAsia="楷体_GB2312" w:cs="Times New Roman"/>
          <w:b/>
          <w:bCs/>
          <w:sz w:val="32"/>
          <w:szCs w:val="32"/>
          <w:lang w:val="en-US" w:eastAsia="zh-CN"/>
        </w:rPr>
        <w:t>54</w:t>
      </w:r>
      <w:r>
        <w:rPr>
          <w:rFonts w:hint="eastAsia" w:ascii="Times New Roman" w:hAnsi="Times New Roman" w:eastAsia="楷体_GB2312" w:cs="Times New Roman"/>
          <w:b/>
          <w:bCs/>
          <w:sz w:val="32"/>
          <w:szCs w:val="32"/>
          <w:lang w:eastAsia="zh-CN"/>
        </w:rPr>
        <w:t>分</w:t>
      </w:r>
      <w:r>
        <w:rPr>
          <w:rFonts w:ascii="Times New Roman" w:hAnsi="Times New Roman" w:eastAsia="楷体_GB2312" w:cs="Times New Roman"/>
          <w:b/>
          <w:bCs/>
          <w:sz w:val="32"/>
          <w:szCs w:val="32"/>
        </w:rPr>
        <w:t>）</w:t>
      </w:r>
    </w:p>
    <w:p w14:paraId="536F82A5">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1.主要施工方法</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4BE306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highlight w:val="none"/>
        </w:rPr>
      </w:pPr>
      <w:bookmarkStart w:id="0" w:name="OLE_LINK28"/>
      <w:r>
        <w:rPr>
          <w:rFonts w:hint="eastAsia" w:ascii="Times New Roman" w:hAnsi="Times New Roman" w:eastAsia="仿宋_GB2312" w:cs="Times New Roman"/>
          <w:b w:val="0"/>
          <w:bCs/>
          <w:sz w:val="32"/>
          <w:szCs w:val="32"/>
          <w:highlight w:val="none"/>
          <w:lang w:val="en-US" w:eastAsia="zh-CN"/>
        </w:rPr>
        <w:t>一</w:t>
      </w:r>
      <w:r>
        <w:rPr>
          <w:rFonts w:hint="default" w:ascii="Times New Roman" w:hAnsi="Times New Roman" w:eastAsia="仿宋_GB2312" w:cs="Times New Roman"/>
          <w:b w:val="0"/>
          <w:bCs/>
          <w:sz w:val="32"/>
          <w:szCs w:val="32"/>
          <w:highlight w:val="none"/>
          <w:lang w:val="en-US" w:eastAsia="zh-CN"/>
        </w:rPr>
        <w:t>档</w:t>
      </w:r>
      <w:r>
        <w:rPr>
          <w:rFonts w:hint="default"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分）：</w:t>
      </w:r>
      <w:r>
        <w:rPr>
          <w:rFonts w:hint="default" w:ascii="Times New Roman" w:hAnsi="Times New Roman" w:eastAsia="仿宋_GB2312" w:cs="Times New Roman"/>
          <w:bCs/>
          <w:color w:val="auto"/>
          <w:sz w:val="32"/>
          <w:szCs w:val="32"/>
          <w:highlight w:val="none"/>
        </w:rPr>
        <w:t>各主要分部</w:t>
      </w:r>
      <w:r>
        <w:rPr>
          <w:rFonts w:hint="default" w:ascii="Times New Roman" w:hAnsi="Times New Roman" w:eastAsia="仿宋_GB2312" w:cs="Times New Roman"/>
          <w:b w:val="0"/>
          <w:bCs/>
          <w:color w:val="auto"/>
          <w:kern w:val="0"/>
          <w:sz w:val="32"/>
          <w:szCs w:val="32"/>
          <w:highlight w:val="none"/>
          <w:rtl w:val="0"/>
          <w:lang w:val="en-US" w:eastAsia="zh-CN" w:bidi="ar-SA"/>
        </w:rPr>
        <w:t>施工方法基本符合项目实际，施工技术方案基本完善，基本能指导具体施工，确保安全</w:t>
      </w:r>
      <w:r>
        <w:rPr>
          <w:rFonts w:hint="default" w:ascii="Times New Roman" w:hAnsi="Times New Roman" w:eastAsia="仿宋_GB2312" w:cs="Times New Roman"/>
          <w:b w:val="0"/>
          <w:bCs/>
          <w:sz w:val="32"/>
          <w:szCs w:val="32"/>
          <w:highlight w:val="none"/>
        </w:rPr>
        <w:t>。</w:t>
      </w:r>
    </w:p>
    <w:p w14:paraId="43D3B1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val="en-US" w:eastAsia="zh-CN"/>
        </w:rPr>
        <w:t>档</w:t>
      </w:r>
      <w:r>
        <w:rPr>
          <w:rFonts w:hint="default"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分）：</w:t>
      </w:r>
      <w:r>
        <w:rPr>
          <w:rFonts w:hint="default" w:ascii="Times New Roman" w:hAnsi="Times New Roman" w:eastAsia="仿宋_GB2312" w:cs="Times New Roman"/>
          <w:bCs/>
          <w:color w:val="auto"/>
          <w:sz w:val="32"/>
          <w:szCs w:val="32"/>
          <w:highlight w:val="none"/>
        </w:rPr>
        <w:t>各主要分部</w:t>
      </w:r>
      <w:r>
        <w:rPr>
          <w:rFonts w:hint="default" w:ascii="Times New Roman" w:hAnsi="Times New Roman" w:eastAsia="仿宋_GB2312" w:cs="Times New Roman"/>
          <w:b w:val="0"/>
          <w:bCs/>
          <w:color w:val="auto"/>
          <w:kern w:val="0"/>
          <w:sz w:val="32"/>
          <w:szCs w:val="32"/>
          <w:highlight w:val="none"/>
          <w:rtl w:val="0"/>
          <w:lang w:val="en-US" w:eastAsia="zh-CN" w:bidi="ar-SA"/>
        </w:rPr>
        <w:t>施工方法符合项目实际，有较详尽的施工技术方案，工艺完善、方法可行，能指导具体施工并确保安全</w:t>
      </w:r>
      <w:r>
        <w:rPr>
          <w:rFonts w:hint="default" w:ascii="Times New Roman" w:hAnsi="Times New Roman" w:eastAsia="仿宋_GB2312" w:cs="Times New Roman"/>
          <w:b w:val="0"/>
          <w:bCs/>
          <w:sz w:val="32"/>
          <w:szCs w:val="32"/>
          <w:highlight w:val="none"/>
        </w:rPr>
        <w:t>。</w:t>
      </w:r>
    </w:p>
    <w:p w14:paraId="242E86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三</w:t>
      </w:r>
      <w:r>
        <w:rPr>
          <w:rFonts w:hint="default" w:ascii="Times New Roman" w:hAnsi="Times New Roman" w:eastAsia="仿宋_GB2312" w:cs="Times New Roman"/>
          <w:b w:val="0"/>
          <w:bCs/>
          <w:sz w:val="32"/>
          <w:szCs w:val="32"/>
          <w:highlight w:val="none"/>
          <w:lang w:val="en-US" w:eastAsia="zh-CN"/>
        </w:rPr>
        <w:t>档</w:t>
      </w:r>
      <w:r>
        <w:rPr>
          <w:rFonts w:hint="default"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分）：</w:t>
      </w:r>
      <w:r>
        <w:rPr>
          <w:rFonts w:hint="default" w:ascii="Times New Roman" w:hAnsi="Times New Roman" w:eastAsia="仿宋_GB2312" w:cs="Times New Roman"/>
          <w:bCs/>
          <w:color w:val="auto"/>
          <w:sz w:val="32"/>
          <w:szCs w:val="32"/>
          <w:highlight w:val="none"/>
        </w:rPr>
        <w:t>各主要分部</w:t>
      </w:r>
      <w:r>
        <w:rPr>
          <w:rFonts w:hint="default" w:ascii="Times New Roman" w:hAnsi="Times New Roman" w:eastAsia="仿宋_GB2312" w:cs="Times New Roman"/>
          <w:b w:val="0"/>
          <w:bCs/>
          <w:color w:val="auto"/>
          <w:kern w:val="0"/>
          <w:sz w:val="32"/>
          <w:szCs w:val="32"/>
          <w:highlight w:val="none"/>
          <w:rtl w:val="0"/>
          <w:lang w:val="en-US" w:eastAsia="zh-CN" w:bidi="ar-SA"/>
        </w:rPr>
        <w:t>施工方法符合项目实际，有详尽的施工技术方案，工艺先进、方法科学合理、可行，能指导具体施工并确保安全</w:t>
      </w:r>
      <w:r>
        <w:rPr>
          <w:rFonts w:hint="default" w:ascii="Times New Roman" w:hAnsi="Times New Roman" w:eastAsia="仿宋_GB2312" w:cs="Times New Roman"/>
          <w:b w:val="0"/>
          <w:bCs/>
          <w:sz w:val="32"/>
          <w:szCs w:val="32"/>
          <w:highlight w:val="none"/>
        </w:rPr>
        <w:t>。</w:t>
      </w:r>
      <w:bookmarkEnd w:id="0"/>
    </w:p>
    <w:p w14:paraId="57D23007">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1E1FDA5C">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2.拟投入的主要物资计划</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77A06C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一档（</w:t>
      </w:r>
      <w:r>
        <w:rPr>
          <w:rFonts w:hint="eastAsia"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分）：物资配备不够合理，基本满足施工需要。</w:t>
      </w:r>
    </w:p>
    <w:p w14:paraId="3B1475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val="en-US" w:eastAsia="zh-CN"/>
        </w:rPr>
        <w:t>档（</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val="en-US" w:eastAsia="zh-CN"/>
        </w:rPr>
        <w:t>分）：物资配备基本合理，满足施工需要，调配投入计划可行。</w:t>
      </w:r>
    </w:p>
    <w:p w14:paraId="571BFB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w:t>
      </w:r>
      <w:r>
        <w:rPr>
          <w:rFonts w:hint="default" w:ascii="Times New Roman" w:hAnsi="Times New Roman" w:eastAsia="仿宋_GB2312" w:cs="Times New Roman"/>
          <w:b w:val="0"/>
          <w:bCs/>
          <w:sz w:val="32"/>
          <w:szCs w:val="32"/>
          <w:highlight w:val="none"/>
          <w:lang w:val="en-US" w:eastAsia="zh-CN"/>
        </w:rPr>
        <w:t>档（</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val="en-US" w:eastAsia="zh-CN"/>
        </w:rPr>
        <w:t>分）：物资配备计划与工程进度计划呼应，较好满足施工需要，调配投入计划合理、准确。</w:t>
      </w:r>
    </w:p>
    <w:p w14:paraId="3A2F30FA">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0077E233">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3.拟投入的主要施工机械、设备计划</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73EEE5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一档（2分）：投入的施工机械、设备具有组织计划且计划基本完善，基本满足施工需要。</w:t>
      </w:r>
    </w:p>
    <w:p w14:paraId="3A069E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val="en-US" w:eastAsia="zh-CN"/>
        </w:rPr>
        <w:t>档（</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val="en-US" w:eastAsia="zh-CN"/>
        </w:rPr>
        <w:t>分）：投入的施工机械、设备具有组织计划且计划较详细，满足施工需要。</w:t>
      </w:r>
    </w:p>
    <w:p w14:paraId="672568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w:t>
      </w:r>
      <w:r>
        <w:rPr>
          <w:rFonts w:hint="default" w:ascii="Times New Roman" w:hAnsi="Times New Roman" w:eastAsia="仿宋_GB2312" w:cs="Times New Roman"/>
          <w:b w:val="0"/>
          <w:bCs/>
          <w:sz w:val="32"/>
          <w:szCs w:val="32"/>
          <w:highlight w:val="none"/>
          <w:lang w:val="en-US" w:eastAsia="zh-CN"/>
        </w:rPr>
        <w:t>档（</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val="en-US" w:eastAsia="zh-CN"/>
        </w:rPr>
        <w:t>分）：投入的施工机械、设备具有详细的组织计划且计划周密，设备数量、选型配置、进场时间安排合理。</w:t>
      </w:r>
    </w:p>
    <w:p w14:paraId="0ADF7A2E">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5434A06D">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4.劳动力安排计划</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7BE6D4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default" w:ascii="Times New Roman" w:hAnsi="Times New Roman" w:eastAsia="仿宋_GB2312" w:cs="Times New Roman"/>
          <w:b w:val="0"/>
          <w:bCs/>
          <w:sz w:val="32"/>
          <w:szCs w:val="32"/>
          <w:highlight w:val="none"/>
          <w:lang w:val="en-US" w:eastAsia="zh-CN"/>
        </w:rPr>
        <w:t>一档</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分）：各主要施工工序有劳动力安排计划，有各工种劳动力安排计划</w:t>
      </w:r>
      <w:r>
        <w:rPr>
          <w:rFonts w:hint="default" w:ascii="Times New Roman" w:hAnsi="Times New Roman" w:eastAsia="仿宋_GB2312" w:cs="Times New Roman"/>
          <w:b w:val="0"/>
          <w:bCs/>
          <w:color w:val="auto"/>
          <w:kern w:val="0"/>
          <w:sz w:val="32"/>
          <w:szCs w:val="32"/>
          <w:highlight w:val="none"/>
          <w:rtl w:val="0"/>
          <w:lang w:val="en-US" w:eastAsia="zh-CN" w:bidi="ar-SA"/>
        </w:rPr>
        <w:t>，劳动力投入基本合理，基本满足施工需要。</w:t>
      </w:r>
    </w:p>
    <w:p w14:paraId="71EF47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eastAsia" w:ascii="Times New Roman" w:hAnsi="Times New Roman" w:eastAsia="仿宋_GB2312" w:cs="Times New Roman"/>
          <w:b w:val="0"/>
          <w:bCs/>
          <w:color w:val="auto"/>
          <w:kern w:val="0"/>
          <w:sz w:val="32"/>
          <w:szCs w:val="32"/>
          <w:highlight w:val="none"/>
          <w:rtl w:val="0"/>
          <w:lang w:val="en-US" w:eastAsia="zh-CN" w:bidi="ar-SA"/>
        </w:rPr>
        <w:t>二</w:t>
      </w:r>
      <w:r>
        <w:rPr>
          <w:rFonts w:hint="default" w:ascii="Times New Roman" w:hAnsi="Times New Roman" w:eastAsia="仿宋_GB2312" w:cs="Times New Roman"/>
          <w:b w:val="0"/>
          <w:bCs/>
          <w:color w:val="auto"/>
          <w:kern w:val="0"/>
          <w:sz w:val="32"/>
          <w:szCs w:val="32"/>
          <w:highlight w:val="none"/>
          <w:rtl w:val="0"/>
          <w:lang w:val="en-US" w:eastAsia="zh-CN" w:bidi="ar-SA"/>
        </w:rPr>
        <w:t>档（</w:t>
      </w:r>
      <w:r>
        <w:rPr>
          <w:rFonts w:hint="eastAsia" w:ascii="Times New Roman" w:hAnsi="Times New Roman" w:eastAsia="仿宋_GB2312" w:cs="Times New Roman"/>
          <w:b w:val="0"/>
          <w:bCs/>
          <w:color w:val="auto"/>
          <w:kern w:val="0"/>
          <w:sz w:val="32"/>
          <w:szCs w:val="32"/>
          <w:highlight w:val="none"/>
          <w:rtl w:val="0"/>
          <w:lang w:val="en-US" w:eastAsia="zh-CN" w:bidi="ar-SA"/>
        </w:rPr>
        <w:t>4</w:t>
      </w:r>
      <w:r>
        <w:rPr>
          <w:rFonts w:hint="default" w:ascii="Times New Roman" w:hAnsi="Times New Roman" w:eastAsia="仿宋_GB2312" w:cs="Times New Roman"/>
          <w:b w:val="0"/>
          <w:bCs/>
          <w:color w:val="auto"/>
          <w:kern w:val="0"/>
          <w:sz w:val="32"/>
          <w:szCs w:val="32"/>
          <w:highlight w:val="none"/>
          <w:rtl w:val="0"/>
          <w:lang w:val="en-US" w:eastAsia="zh-CN" w:bidi="ar-SA"/>
        </w:rPr>
        <w:t>分）：各主要施工工序有的劳动力安排计划，有各工种劳动力安排计划，劳动力投入合理，满足施工需要。</w:t>
      </w:r>
    </w:p>
    <w:p w14:paraId="4D7E7C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eastAsia" w:ascii="Times New Roman" w:hAnsi="Times New Roman" w:eastAsia="仿宋_GB2312" w:cs="Times New Roman"/>
          <w:b w:val="0"/>
          <w:bCs/>
          <w:color w:val="auto"/>
          <w:kern w:val="0"/>
          <w:sz w:val="32"/>
          <w:szCs w:val="32"/>
          <w:highlight w:val="none"/>
          <w:rtl w:val="0"/>
          <w:lang w:val="en-US" w:eastAsia="zh-CN" w:bidi="ar-SA"/>
        </w:rPr>
        <w:t>三</w:t>
      </w:r>
      <w:r>
        <w:rPr>
          <w:rFonts w:hint="default" w:ascii="Times New Roman" w:hAnsi="Times New Roman" w:eastAsia="仿宋_GB2312" w:cs="Times New Roman"/>
          <w:b w:val="0"/>
          <w:bCs/>
          <w:color w:val="auto"/>
          <w:kern w:val="0"/>
          <w:sz w:val="32"/>
          <w:szCs w:val="32"/>
          <w:highlight w:val="none"/>
          <w:rtl w:val="0"/>
          <w:lang w:val="en-US" w:eastAsia="zh-CN" w:bidi="ar-SA"/>
        </w:rPr>
        <w:t>档（</w:t>
      </w:r>
      <w:r>
        <w:rPr>
          <w:rFonts w:hint="eastAsia" w:ascii="Times New Roman" w:hAnsi="Times New Roman" w:eastAsia="仿宋_GB2312" w:cs="Times New Roman"/>
          <w:b w:val="0"/>
          <w:bCs/>
          <w:color w:val="auto"/>
          <w:kern w:val="0"/>
          <w:sz w:val="32"/>
          <w:szCs w:val="32"/>
          <w:highlight w:val="none"/>
          <w:rtl w:val="0"/>
          <w:lang w:val="en-US" w:eastAsia="zh-CN" w:bidi="ar-SA"/>
        </w:rPr>
        <w:t>6</w:t>
      </w:r>
      <w:r>
        <w:rPr>
          <w:rFonts w:hint="default" w:ascii="Times New Roman" w:hAnsi="Times New Roman" w:eastAsia="仿宋_GB2312" w:cs="Times New Roman"/>
          <w:b w:val="0"/>
          <w:bCs/>
          <w:color w:val="auto"/>
          <w:kern w:val="0"/>
          <w:sz w:val="32"/>
          <w:szCs w:val="32"/>
          <w:highlight w:val="none"/>
          <w:rtl w:val="0"/>
          <w:lang w:val="en-US" w:eastAsia="zh-CN" w:bidi="ar-SA"/>
        </w:rPr>
        <w:t>分）：各主要施工工序有详细周密的劳动力安排计划，有各工种劳动力安排计划，劳动力投入合理，完全满足施工需要。</w:t>
      </w:r>
    </w:p>
    <w:p w14:paraId="1B500493">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51CBB41E">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5.确保工程质量的技术组织措施</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7DBC954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一档</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分）：质量技术管理班子人员配备基本合理，制度基本健全。</w:t>
      </w:r>
      <w:r>
        <w:rPr>
          <w:rFonts w:hint="default" w:ascii="Times New Roman" w:hAnsi="Times New Roman" w:eastAsia="仿宋_GB2312" w:cs="Times New Roman"/>
          <w:b w:val="0"/>
          <w:bCs/>
          <w:color w:val="auto"/>
          <w:kern w:val="0"/>
          <w:sz w:val="32"/>
          <w:szCs w:val="32"/>
          <w:highlight w:val="none"/>
          <w:rtl w:val="0"/>
          <w:lang w:val="en-US" w:eastAsia="zh-CN" w:bidi="ar-SA"/>
        </w:rPr>
        <w:t>主要工序的质量技术保证措施和手段基本完善，自控体系可行，基本保证技术质量，基本达到承诺的质量标准。</w:t>
      </w:r>
    </w:p>
    <w:p w14:paraId="4B35DA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eastAsia="zh-CN"/>
        </w:rPr>
        <w:t>档（</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rtl w:val="0"/>
          <w:lang w:val="en-US" w:eastAsia="zh-CN" w:bidi="ar-SA"/>
        </w:rPr>
        <w:t>分）：有专门的质量技术管理班子和制度，且人员配备合理，制度健全。主要工序的质量技术保证措施和手段完善，自控体系完整，能保证技术质量，达到承诺的质量标准。</w:t>
      </w:r>
    </w:p>
    <w:p w14:paraId="3DF9833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eastAsia" w:ascii="Times New Roman" w:hAnsi="Times New Roman" w:eastAsia="仿宋_GB2312" w:cs="Times New Roman"/>
          <w:b w:val="0"/>
          <w:bCs/>
          <w:color w:val="auto"/>
          <w:kern w:val="0"/>
          <w:sz w:val="32"/>
          <w:szCs w:val="32"/>
          <w:highlight w:val="none"/>
          <w:rtl w:val="0"/>
          <w:lang w:val="en-US" w:eastAsia="zh-CN" w:bidi="ar-SA"/>
        </w:rPr>
        <w:t>三</w:t>
      </w:r>
      <w:r>
        <w:rPr>
          <w:rFonts w:hint="default" w:ascii="Times New Roman" w:hAnsi="Times New Roman" w:eastAsia="仿宋_GB2312" w:cs="Times New Roman"/>
          <w:b w:val="0"/>
          <w:bCs/>
          <w:color w:val="auto"/>
          <w:kern w:val="0"/>
          <w:sz w:val="32"/>
          <w:szCs w:val="32"/>
          <w:highlight w:val="none"/>
          <w:rtl w:val="0"/>
          <w:lang w:val="en-US" w:eastAsia="zh-CN" w:bidi="ar-SA"/>
        </w:rPr>
        <w:t>档（</w:t>
      </w:r>
      <w:r>
        <w:rPr>
          <w:rFonts w:hint="eastAsia" w:ascii="Times New Roman" w:hAnsi="Times New Roman" w:eastAsia="仿宋_GB2312" w:cs="Times New Roman"/>
          <w:b w:val="0"/>
          <w:bCs/>
          <w:color w:val="auto"/>
          <w:kern w:val="0"/>
          <w:sz w:val="32"/>
          <w:szCs w:val="32"/>
          <w:highlight w:val="none"/>
          <w:rtl w:val="0"/>
          <w:lang w:val="en-US" w:eastAsia="zh-CN" w:bidi="ar-SA"/>
        </w:rPr>
        <w:t>6</w:t>
      </w:r>
      <w:r>
        <w:rPr>
          <w:rFonts w:hint="default" w:ascii="Times New Roman" w:hAnsi="Times New Roman" w:eastAsia="仿宋_GB2312" w:cs="Times New Roman"/>
          <w:b w:val="0"/>
          <w:bCs/>
          <w:color w:val="auto"/>
          <w:kern w:val="0"/>
          <w:sz w:val="32"/>
          <w:szCs w:val="32"/>
          <w:highlight w:val="none"/>
          <w:rtl w:val="0"/>
          <w:lang w:val="en-US" w:eastAsia="zh-CN" w:bidi="ar-SA"/>
        </w:rPr>
        <w:t>分）：有专门的质量技术管理班子和制度，且人员配备合理，制度健全。主要工序的质量技术保证措施和手段科学合理，自控体系完整，完全能有效保证技术质量，达到承诺的质量标准。</w:t>
      </w:r>
    </w:p>
    <w:p w14:paraId="0BE3D6A2">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11C84599">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6.确保安全生产的技术组织措施</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75D4C6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eastAsia="zh-CN"/>
        </w:rPr>
        <w:t>一档（</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eastAsia="zh-CN"/>
        </w:rPr>
        <w:t>分）：</w:t>
      </w:r>
      <w:r>
        <w:rPr>
          <w:rFonts w:hint="default" w:ascii="Times New Roman" w:hAnsi="Times New Roman" w:eastAsia="仿宋_GB2312" w:cs="Times New Roman"/>
          <w:b w:val="0"/>
          <w:bCs/>
          <w:color w:val="auto"/>
          <w:kern w:val="0"/>
          <w:sz w:val="32"/>
          <w:szCs w:val="32"/>
          <w:highlight w:val="none"/>
          <w:rtl w:val="0"/>
          <w:lang w:val="en-US" w:eastAsia="zh-CN" w:bidi="ar-SA"/>
        </w:rPr>
        <w:t>有安全管理人员和制度，人员配备基本合理，制度基本健全，各道工序安全技术措施针对性可行，确保工程质量的技术组织措施符合实际且基本满足有关安全技术标准要求。现场应急救援、社会治安安全措施可行</w:t>
      </w:r>
      <w:r>
        <w:rPr>
          <w:rFonts w:hint="default" w:ascii="Times New Roman" w:hAnsi="Times New Roman" w:eastAsia="仿宋_GB2312" w:cs="Times New Roman"/>
          <w:b w:val="0"/>
          <w:bCs/>
          <w:sz w:val="32"/>
          <w:szCs w:val="32"/>
          <w:highlight w:val="none"/>
        </w:rPr>
        <w:t>。</w:t>
      </w:r>
    </w:p>
    <w:p w14:paraId="78AEE3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eastAsia="zh-CN"/>
        </w:rPr>
        <w:t>档（</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eastAsia="zh-CN"/>
        </w:rPr>
        <w:t>分）：</w:t>
      </w:r>
      <w:r>
        <w:rPr>
          <w:rFonts w:hint="default" w:ascii="Times New Roman" w:hAnsi="Times New Roman" w:eastAsia="仿宋_GB2312" w:cs="Times New Roman"/>
          <w:b w:val="0"/>
          <w:bCs/>
          <w:color w:val="auto"/>
          <w:kern w:val="0"/>
          <w:sz w:val="32"/>
          <w:szCs w:val="32"/>
          <w:highlight w:val="none"/>
          <w:rtl w:val="0"/>
          <w:lang w:val="en-US" w:eastAsia="zh-CN" w:bidi="ar-SA"/>
        </w:rPr>
        <w:t>有专门的安全管理人员和制度，且人员配备合理，制度健全，各道工序安全技术措施有针对性，确保工程质量的技术组织措施符合</w:t>
      </w:r>
      <w:r>
        <w:rPr>
          <w:rFonts w:hint="default" w:ascii="Times New Roman" w:hAnsi="Times New Roman" w:eastAsia="仿宋_GB2312" w:cs="Times New Roman"/>
          <w:b w:val="0"/>
          <w:bCs/>
          <w:sz w:val="32"/>
          <w:szCs w:val="32"/>
          <w:highlight w:val="none"/>
          <w:rtl w:val="0"/>
          <w:lang w:val="en-US" w:eastAsia="zh-CN"/>
        </w:rPr>
        <w:t>实际且满足有关安全技术标准要求。现场应急救援、社会治安安全措施有效。</w:t>
      </w:r>
    </w:p>
    <w:p w14:paraId="4FF699F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rtl w:val="0"/>
          <w:lang w:val="en-US" w:eastAsia="zh-CN" w:bidi="ar-SA"/>
        </w:rPr>
      </w:pPr>
      <w:r>
        <w:rPr>
          <w:rFonts w:hint="eastAsia" w:ascii="Times New Roman" w:hAnsi="Times New Roman" w:eastAsia="仿宋_GB2312" w:cs="Times New Roman"/>
          <w:b w:val="0"/>
          <w:bCs/>
          <w:sz w:val="32"/>
          <w:szCs w:val="32"/>
          <w:highlight w:val="none"/>
          <w:lang w:val="en-US" w:eastAsia="zh-CN"/>
        </w:rPr>
        <w:t>三</w:t>
      </w:r>
      <w:r>
        <w:rPr>
          <w:rFonts w:hint="default" w:ascii="Times New Roman" w:hAnsi="Times New Roman" w:eastAsia="仿宋_GB2312" w:cs="Times New Roman"/>
          <w:b w:val="0"/>
          <w:bCs/>
          <w:sz w:val="32"/>
          <w:szCs w:val="32"/>
          <w:highlight w:val="none"/>
          <w:lang w:eastAsia="zh-CN"/>
        </w:rPr>
        <w:t>档（</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eastAsia="zh-CN"/>
        </w:rPr>
        <w:t>分）：</w:t>
      </w:r>
      <w:r>
        <w:rPr>
          <w:rFonts w:hint="default" w:ascii="Times New Roman" w:hAnsi="Times New Roman" w:eastAsia="仿宋_GB2312" w:cs="Times New Roman"/>
          <w:b w:val="0"/>
          <w:bCs/>
          <w:sz w:val="32"/>
          <w:szCs w:val="32"/>
          <w:highlight w:val="none"/>
          <w:rtl w:val="0"/>
          <w:lang w:val="en-US" w:eastAsia="zh-CN"/>
        </w:rPr>
        <w:t>有专门的安全管理人员和制度，且人员配备合理，制度健全，各道工序安全</w:t>
      </w:r>
      <w:r>
        <w:rPr>
          <w:rFonts w:hint="default" w:ascii="Times New Roman" w:hAnsi="Times New Roman" w:eastAsia="仿宋_GB2312" w:cs="Times New Roman"/>
          <w:b w:val="0"/>
          <w:bCs/>
          <w:color w:val="auto"/>
          <w:kern w:val="0"/>
          <w:sz w:val="32"/>
          <w:szCs w:val="32"/>
          <w:highlight w:val="none"/>
          <w:rtl w:val="0"/>
          <w:lang w:val="en-US" w:eastAsia="zh-CN" w:bidi="ar-SA"/>
        </w:rPr>
        <w:t>技术措施针对性强，确保工程质量的技术组织措施完全符合实际且满足有关安全技术标准要求。现场应急救援、</w:t>
      </w:r>
      <w:r>
        <w:rPr>
          <w:rFonts w:hint="default" w:ascii="Times New Roman" w:hAnsi="Times New Roman" w:eastAsia="仿宋_GB2312" w:cs="Times New Roman"/>
          <w:b w:val="0"/>
          <w:bCs/>
          <w:sz w:val="32"/>
          <w:szCs w:val="32"/>
          <w:highlight w:val="none"/>
          <w:rtl w:val="0"/>
          <w:lang w:val="en-US" w:eastAsia="zh-CN"/>
        </w:rPr>
        <w:t>社</w:t>
      </w:r>
      <w:r>
        <w:rPr>
          <w:rFonts w:hint="default" w:ascii="Times New Roman" w:hAnsi="Times New Roman" w:eastAsia="仿宋_GB2312" w:cs="Times New Roman"/>
          <w:b w:val="0"/>
          <w:bCs/>
          <w:color w:val="auto"/>
          <w:kern w:val="0"/>
          <w:sz w:val="32"/>
          <w:szCs w:val="32"/>
          <w:highlight w:val="none"/>
          <w:rtl w:val="0"/>
          <w:lang w:val="en-US" w:eastAsia="zh-CN" w:bidi="ar-SA"/>
        </w:rPr>
        <w:t>会治安安全措施得力。</w:t>
      </w:r>
    </w:p>
    <w:p w14:paraId="37FEC846">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060790D0">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7.确保工期的技术组织措施</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6722A0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eastAsia="zh-CN"/>
        </w:rPr>
        <w:t>一档（</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sz w:val="32"/>
          <w:szCs w:val="32"/>
          <w:highlight w:val="none"/>
        </w:rPr>
        <w:t>有保证工期的具体措施，措施基本得当。各项计划图表编制基本齐全，安排基本合理，基本符合本项目施工实际要求。</w:t>
      </w:r>
    </w:p>
    <w:p w14:paraId="7EAEA3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二</w:t>
      </w:r>
      <w:r>
        <w:rPr>
          <w:rFonts w:hint="default" w:ascii="Times New Roman" w:hAnsi="Times New Roman" w:eastAsia="仿宋_GB2312" w:cs="Times New Roman"/>
          <w:b w:val="0"/>
          <w:bCs/>
          <w:color w:val="auto"/>
          <w:sz w:val="32"/>
          <w:szCs w:val="32"/>
          <w:highlight w:val="none"/>
          <w:lang w:eastAsia="zh-CN"/>
        </w:rPr>
        <w:t>档（</w:t>
      </w:r>
      <w:r>
        <w:rPr>
          <w:rFonts w:hint="eastAsia"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sz w:val="32"/>
          <w:szCs w:val="32"/>
          <w:highlight w:val="none"/>
        </w:rPr>
        <w:t>有保证工期的具体措施且措施得当。各项计划图表编制完善，安排较合理，符合本项目施工实际要求。</w:t>
      </w:r>
    </w:p>
    <w:p w14:paraId="06698A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lang w:eastAsia="zh-CN"/>
        </w:rPr>
        <w:t>档（</w:t>
      </w: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sz w:val="32"/>
          <w:szCs w:val="32"/>
          <w:highlight w:val="none"/>
        </w:rPr>
        <w:t>有保证工期的具体措施且措施得力。各项计划图表编制周密，安排科学合理，符合本项目施工实际要求。</w:t>
      </w:r>
    </w:p>
    <w:p w14:paraId="5DD3DD9F">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5ED63444">
      <w:pPr>
        <w:spacing w:line="360" w:lineRule="auto"/>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8.确保文明施工的技术组织措施</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bookmarkStart w:id="1" w:name="_GoBack"/>
      <w:bookmarkEnd w:id="1"/>
      <w:r>
        <w:rPr>
          <w:rFonts w:ascii="Times New Roman" w:hAnsi="Times New Roman" w:eastAsia="仿宋_GB2312" w:cs="Times New Roman"/>
          <w:b/>
          <w:bCs/>
          <w:sz w:val="32"/>
          <w:szCs w:val="32"/>
        </w:rPr>
        <w:t>分）</w:t>
      </w:r>
    </w:p>
    <w:p w14:paraId="3150B3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eastAsia="zh-CN"/>
        </w:rPr>
        <w:t>一档（</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kern w:val="0"/>
          <w:sz w:val="32"/>
          <w:szCs w:val="32"/>
          <w:rtl w:val="0"/>
          <w:lang w:val="en-US" w:eastAsia="zh-CN" w:bidi="ar-SA"/>
        </w:rPr>
        <w:t>针对本工程项目特点，有现场文明施工、环境保护措施，且</w:t>
      </w:r>
      <w:r>
        <w:rPr>
          <w:rFonts w:hint="default" w:ascii="Times New Roman" w:hAnsi="Times New Roman" w:eastAsia="仿宋_GB2312" w:cs="Times New Roman"/>
          <w:b w:val="0"/>
          <w:bCs/>
          <w:color w:val="auto"/>
          <w:kern w:val="0"/>
          <w:sz w:val="32"/>
          <w:szCs w:val="32"/>
          <w:highlight w:val="none"/>
          <w:rtl w:val="0"/>
          <w:lang w:val="en-US" w:eastAsia="zh-CN" w:bidi="ar-SA"/>
        </w:rPr>
        <w:t>措施</w:t>
      </w:r>
      <w:r>
        <w:rPr>
          <w:rFonts w:hint="default" w:ascii="Times New Roman" w:hAnsi="Times New Roman" w:eastAsia="仿宋_GB2312" w:cs="Times New Roman"/>
          <w:b w:val="0"/>
          <w:bCs/>
          <w:color w:val="auto"/>
          <w:kern w:val="0"/>
          <w:sz w:val="32"/>
          <w:szCs w:val="32"/>
          <w:rtl w:val="0"/>
          <w:lang w:val="en-US" w:eastAsia="zh-CN" w:bidi="ar-SA"/>
        </w:rPr>
        <w:t>内容基本达到《建筑施工安全生产检查标准》合格标准，基本符合《广西壮族自治区建筑工程文明施工导则》要求。</w:t>
      </w:r>
      <w:r>
        <w:rPr>
          <w:rFonts w:hint="default" w:ascii="Times New Roman" w:hAnsi="Times New Roman" w:eastAsia="仿宋_GB2312" w:cs="Times New Roman"/>
          <w:b w:val="0"/>
          <w:bCs/>
          <w:color w:val="auto"/>
          <w:kern w:val="0"/>
          <w:sz w:val="32"/>
          <w:szCs w:val="32"/>
          <w:highlight w:val="none"/>
          <w:rtl w:val="0"/>
          <w:lang w:val="en-US" w:eastAsia="zh-CN" w:bidi="ar-SA"/>
        </w:rPr>
        <w:t>各</w:t>
      </w:r>
      <w:r>
        <w:rPr>
          <w:rFonts w:hint="default" w:ascii="Times New Roman" w:hAnsi="Times New Roman" w:eastAsia="仿宋_GB2312" w:cs="Times New Roman"/>
          <w:b w:val="0"/>
          <w:bCs/>
          <w:color w:val="auto"/>
          <w:kern w:val="0"/>
          <w:sz w:val="32"/>
          <w:szCs w:val="32"/>
          <w:rtl w:val="0"/>
          <w:lang w:val="en-US" w:eastAsia="zh-CN" w:bidi="ar-SA"/>
        </w:rPr>
        <w:t>项措施基本完整。</w:t>
      </w:r>
      <w:r>
        <w:rPr>
          <w:rFonts w:hint="default" w:ascii="Times New Roman" w:hAnsi="Times New Roman" w:eastAsia="仿宋_GB2312" w:cs="Times New Roman"/>
          <w:b w:val="0"/>
          <w:bCs/>
          <w:color w:val="auto"/>
          <w:sz w:val="32"/>
          <w:szCs w:val="32"/>
          <w:highlight w:val="none"/>
          <w:rtl w:val="0"/>
          <w:lang w:val="en-US" w:eastAsia="zh-CN"/>
        </w:rPr>
        <w:t>有实现现场文明施工目标的承诺</w:t>
      </w:r>
      <w:r>
        <w:rPr>
          <w:rFonts w:hint="default" w:ascii="Times New Roman" w:hAnsi="Times New Roman" w:eastAsia="仿宋_GB2312" w:cs="Times New Roman"/>
          <w:b w:val="0"/>
          <w:bCs/>
          <w:color w:val="auto"/>
          <w:sz w:val="32"/>
          <w:szCs w:val="32"/>
          <w:highlight w:val="none"/>
          <w:lang w:eastAsia="zh-CN"/>
        </w:rPr>
        <w:t>。</w:t>
      </w:r>
    </w:p>
    <w:p w14:paraId="20214F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eastAsia" w:ascii="Times New Roman" w:hAnsi="Times New Roman" w:eastAsia="仿宋_GB2312" w:cs="Times New Roman"/>
          <w:b w:val="0"/>
          <w:bCs/>
          <w:color w:val="auto"/>
          <w:sz w:val="32"/>
          <w:szCs w:val="32"/>
          <w:highlight w:val="none"/>
          <w:lang w:val="en-US" w:eastAsia="zh-CN"/>
        </w:rPr>
        <w:t>二</w:t>
      </w:r>
      <w:r>
        <w:rPr>
          <w:rFonts w:hint="default" w:ascii="Times New Roman" w:hAnsi="Times New Roman" w:eastAsia="仿宋_GB2312" w:cs="Times New Roman"/>
          <w:b w:val="0"/>
          <w:bCs/>
          <w:color w:val="auto"/>
          <w:sz w:val="32"/>
          <w:szCs w:val="32"/>
          <w:highlight w:val="none"/>
          <w:lang w:eastAsia="zh-CN"/>
        </w:rPr>
        <w:t>档（</w:t>
      </w:r>
      <w:r>
        <w:rPr>
          <w:rFonts w:hint="eastAsia"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kern w:val="0"/>
          <w:sz w:val="32"/>
          <w:szCs w:val="32"/>
          <w:highlight w:val="none"/>
          <w:rtl w:val="0"/>
          <w:lang w:val="en-US" w:eastAsia="zh-CN" w:bidi="ar-SA"/>
        </w:rPr>
        <w:t>针对本工程项目特点，有现场文明施工、环境保护措施，且措施内容达到《建筑施工安全生产检查标准》合格标准并符合《广西壮族自</w:t>
      </w:r>
      <w:r>
        <w:rPr>
          <w:rFonts w:hint="default" w:ascii="Times New Roman" w:hAnsi="Times New Roman" w:eastAsia="仿宋_GB2312" w:cs="Times New Roman"/>
          <w:b w:val="0"/>
          <w:bCs/>
          <w:color w:val="auto"/>
          <w:sz w:val="32"/>
          <w:szCs w:val="32"/>
          <w:highlight w:val="none"/>
          <w:rtl w:val="0"/>
          <w:lang w:val="en-US" w:eastAsia="zh-CN"/>
        </w:rPr>
        <w:t>治区建筑工程文明施工导则》要求。各项</w:t>
      </w:r>
      <w:r>
        <w:rPr>
          <w:rFonts w:hint="default" w:ascii="Times New Roman" w:hAnsi="Times New Roman" w:eastAsia="仿宋_GB2312" w:cs="Times New Roman"/>
          <w:b w:val="0"/>
          <w:bCs/>
          <w:color w:val="auto"/>
          <w:kern w:val="0"/>
          <w:sz w:val="32"/>
          <w:szCs w:val="32"/>
          <w:rtl w:val="0"/>
          <w:lang w:val="en-US" w:eastAsia="zh-CN" w:bidi="ar-SA"/>
        </w:rPr>
        <w:t>措施</w:t>
      </w:r>
      <w:r>
        <w:rPr>
          <w:rFonts w:hint="default" w:ascii="Times New Roman" w:hAnsi="Times New Roman" w:eastAsia="仿宋_GB2312" w:cs="Times New Roman"/>
          <w:b w:val="0"/>
          <w:bCs/>
          <w:color w:val="auto"/>
          <w:sz w:val="32"/>
          <w:szCs w:val="32"/>
          <w:highlight w:val="none"/>
          <w:rtl w:val="0"/>
          <w:lang w:val="en-US" w:eastAsia="zh-CN"/>
        </w:rPr>
        <w:t>完整。有实现现场文明施工目标的承诺</w:t>
      </w:r>
      <w:r>
        <w:rPr>
          <w:rFonts w:hint="default" w:ascii="Times New Roman" w:hAnsi="Times New Roman" w:eastAsia="仿宋_GB2312" w:cs="Times New Roman"/>
          <w:b w:val="0"/>
          <w:bCs/>
          <w:color w:val="auto"/>
          <w:sz w:val="32"/>
          <w:szCs w:val="32"/>
          <w:highlight w:val="none"/>
          <w:lang w:eastAsia="zh-CN"/>
        </w:rPr>
        <w:t>。</w:t>
      </w:r>
    </w:p>
    <w:p w14:paraId="5694B5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lang w:eastAsia="zh-CN"/>
        </w:rPr>
        <w:t>档（</w:t>
      </w: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lang w:eastAsia="zh-CN"/>
        </w:rPr>
        <w:t>分）：</w:t>
      </w:r>
      <w:r>
        <w:rPr>
          <w:rFonts w:hint="default" w:ascii="Times New Roman" w:hAnsi="Times New Roman" w:eastAsia="仿宋_GB2312" w:cs="Times New Roman"/>
          <w:b w:val="0"/>
          <w:bCs/>
          <w:color w:val="auto"/>
          <w:sz w:val="32"/>
          <w:szCs w:val="32"/>
          <w:highlight w:val="none"/>
          <w:rtl w:val="0"/>
          <w:lang w:val="en-US" w:eastAsia="zh-CN"/>
        </w:rPr>
        <w:t>针对本工程项目特</w:t>
      </w:r>
      <w:r>
        <w:rPr>
          <w:rFonts w:hint="default" w:ascii="Times New Roman" w:hAnsi="Times New Roman" w:eastAsia="仿宋_GB2312" w:cs="Times New Roman"/>
          <w:b w:val="0"/>
          <w:bCs/>
          <w:color w:val="auto"/>
          <w:kern w:val="0"/>
          <w:sz w:val="32"/>
          <w:szCs w:val="32"/>
          <w:highlight w:val="none"/>
          <w:rtl w:val="0"/>
          <w:lang w:val="en-US" w:eastAsia="zh-CN" w:bidi="ar-SA"/>
        </w:rPr>
        <w:t>点，有现场文明施工、环境保护措施，且措施内容完全达到《建筑施工安全生产检查标准》合格标准并完全符合《广西壮族自治区建筑工程文明施工导则》要求。各项措施周全、具体、有效。有具体实现现场文明施工目标的承诺</w:t>
      </w:r>
      <w:r>
        <w:rPr>
          <w:rFonts w:hint="default" w:ascii="Times New Roman" w:hAnsi="Times New Roman" w:eastAsia="仿宋_GB2312" w:cs="Times New Roman"/>
          <w:b w:val="0"/>
          <w:bCs/>
          <w:color w:val="auto"/>
          <w:sz w:val="32"/>
          <w:szCs w:val="32"/>
          <w:highlight w:val="none"/>
        </w:rPr>
        <w:t>。</w:t>
      </w:r>
    </w:p>
    <w:p w14:paraId="69CE40FB">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09839A02">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9.工程施工的重点和难点及保证措施</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分）</w:t>
      </w:r>
    </w:p>
    <w:p w14:paraId="58ABAD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eastAsia="zh-CN"/>
        </w:rPr>
        <w:t>一档（</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eastAsia="zh-CN"/>
        </w:rPr>
        <w:t>分）：</w:t>
      </w:r>
      <w:r>
        <w:rPr>
          <w:rFonts w:hint="default" w:ascii="Times New Roman" w:hAnsi="Times New Roman" w:eastAsia="仿宋_GB2312" w:cs="Times New Roman"/>
          <w:b w:val="0"/>
          <w:bCs/>
          <w:kern w:val="0"/>
          <w:sz w:val="32"/>
          <w:szCs w:val="32"/>
          <w:rtl w:val="0"/>
          <w:lang w:val="en-US" w:eastAsia="zh-CN" w:bidi="ar-SA"/>
        </w:rPr>
        <w:t>针对本工程的特点，对本工程的重点和难点阐述基本合理，解决重点和难点问题的方法基本合理</w:t>
      </w:r>
      <w:r>
        <w:rPr>
          <w:rFonts w:hint="default" w:ascii="Times New Roman" w:hAnsi="Times New Roman" w:eastAsia="仿宋_GB2312" w:cs="Times New Roman"/>
          <w:b w:val="0"/>
          <w:bCs/>
          <w:sz w:val="32"/>
          <w:szCs w:val="32"/>
          <w:highlight w:val="none"/>
        </w:rPr>
        <w:t>。</w:t>
      </w:r>
    </w:p>
    <w:p w14:paraId="58CEAB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0"/>
          <w:sz w:val="32"/>
          <w:szCs w:val="32"/>
          <w:rtl w:val="0"/>
          <w:lang w:val="en-US" w:eastAsia="zh-CN" w:bidi="ar-SA"/>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eastAsia="zh-CN"/>
        </w:rPr>
        <w:t>档（</w:t>
      </w: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eastAsia="zh-CN"/>
        </w:rPr>
        <w:t>分</w:t>
      </w:r>
      <w:r>
        <w:rPr>
          <w:rFonts w:hint="default" w:ascii="Times New Roman" w:hAnsi="Times New Roman" w:eastAsia="仿宋_GB2312" w:cs="Times New Roman"/>
          <w:b w:val="0"/>
          <w:bCs/>
          <w:kern w:val="0"/>
          <w:sz w:val="32"/>
          <w:szCs w:val="32"/>
          <w:rtl w:val="0"/>
          <w:lang w:val="en-US" w:eastAsia="zh-CN" w:bidi="ar-SA"/>
        </w:rPr>
        <w:t>）：针对本工程的特点，阐述本工程的重点和难点，解决重点和难点问题的方法合理。</w:t>
      </w:r>
    </w:p>
    <w:p w14:paraId="424941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0"/>
          <w:sz w:val="32"/>
          <w:szCs w:val="32"/>
          <w:rtl w:val="0"/>
          <w:lang w:val="en-US" w:eastAsia="zh-CN" w:bidi="ar-SA"/>
        </w:rPr>
      </w:pPr>
      <w:r>
        <w:rPr>
          <w:rFonts w:hint="eastAsia" w:ascii="Times New Roman" w:hAnsi="Times New Roman" w:eastAsia="仿宋_GB2312" w:cs="Times New Roman"/>
          <w:b w:val="0"/>
          <w:bCs/>
          <w:kern w:val="0"/>
          <w:sz w:val="32"/>
          <w:szCs w:val="32"/>
          <w:rtl w:val="0"/>
          <w:lang w:val="en-US" w:eastAsia="zh-CN" w:bidi="ar-SA"/>
        </w:rPr>
        <w:t>三</w:t>
      </w:r>
      <w:r>
        <w:rPr>
          <w:rFonts w:hint="default" w:ascii="Times New Roman" w:hAnsi="Times New Roman" w:eastAsia="仿宋_GB2312" w:cs="Times New Roman"/>
          <w:b w:val="0"/>
          <w:bCs/>
          <w:kern w:val="0"/>
          <w:sz w:val="32"/>
          <w:szCs w:val="32"/>
          <w:rtl w:val="0"/>
          <w:lang w:val="en-US" w:eastAsia="zh-CN" w:bidi="ar-SA"/>
        </w:rPr>
        <w:t>档（</w:t>
      </w:r>
      <w:r>
        <w:rPr>
          <w:rFonts w:hint="eastAsia" w:ascii="Times New Roman" w:hAnsi="Times New Roman" w:eastAsia="仿宋_GB2312" w:cs="Times New Roman"/>
          <w:b w:val="0"/>
          <w:bCs/>
          <w:kern w:val="0"/>
          <w:sz w:val="32"/>
          <w:szCs w:val="32"/>
          <w:rtl w:val="0"/>
          <w:lang w:val="en-US" w:eastAsia="zh-CN" w:bidi="ar-SA"/>
        </w:rPr>
        <w:t>6</w:t>
      </w:r>
      <w:r>
        <w:rPr>
          <w:rFonts w:hint="default" w:ascii="Times New Roman" w:hAnsi="Times New Roman" w:eastAsia="仿宋_GB2312" w:cs="Times New Roman"/>
          <w:b w:val="0"/>
          <w:bCs/>
          <w:kern w:val="0"/>
          <w:sz w:val="32"/>
          <w:szCs w:val="32"/>
          <w:rtl w:val="0"/>
          <w:lang w:val="en-US" w:eastAsia="zh-CN" w:bidi="ar-SA"/>
        </w:rPr>
        <w:t>分）：针对本工程的特点，具体阐述本工程的重点和难点，解决重点和难点问题的方法科学、合理，且具有针对性。</w:t>
      </w:r>
    </w:p>
    <w:p w14:paraId="3E0ADB4B">
      <w:pPr>
        <w:spacing w:line="56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注：未提供或达不到最低评分标准的，得0分。</w:t>
      </w:r>
    </w:p>
    <w:p w14:paraId="3FBE87BC">
      <w:pPr>
        <w:spacing w:line="560" w:lineRule="exact"/>
        <w:ind w:firstLine="643" w:firstLineChars="200"/>
        <w:rPr>
          <w:rFonts w:hint="default" w:ascii="Times New Roman" w:hAnsi="Times New Roman" w:eastAsia="仿宋_GB2312" w:cs="Times New Roman"/>
          <w:b w:val="0"/>
          <w:bCs/>
          <w:sz w:val="32"/>
          <w:szCs w:val="32"/>
          <w:lang w:val="en-US" w:eastAsia="zh-CN"/>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三</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商务分</w:t>
      </w:r>
      <w:r>
        <w:rPr>
          <w:rFonts w:ascii="Times New Roman" w:hAnsi="Times New Roman" w:eastAsia="楷体_GB2312" w:cs="Times New Roman"/>
          <w:b/>
          <w:bCs/>
          <w:sz w:val="32"/>
          <w:szCs w:val="32"/>
        </w:rPr>
        <w:t>（满分</w:t>
      </w:r>
      <w:r>
        <w:rPr>
          <w:rFonts w:hint="eastAsia" w:ascii="Times New Roman" w:hAnsi="Times New Roman" w:eastAsia="楷体_GB2312" w:cs="Times New Roman"/>
          <w:b/>
          <w:bCs/>
          <w:sz w:val="32"/>
          <w:szCs w:val="32"/>
          <w:lang w:val="en-US" w:eastAsia="zh-CN"/>
        </w:rPr>
        <w:t>16</w:t>
      </w:r>
      <w:r>
        <w:rPr>
          <w:rFonts w:hint="eastAsia" w:ascii="Times New Roman" w:hAnsi="Times New Roman" w:eastAsia="楷体_GB2312" w:cs="Times New Roman"/>
          <w:b/>
          <w:bCs/>
          <w:sz w:val="32"/>
          <w:szCs w:val="32"/>
          <w:lang w:eastAsia="zh-CN"/>
        </w:rPr>
        <w:t>分</w:t>
      </w:r>
      <w:r>
        <w:rPr>
          <w:rFonts w:ascii="Times New Roman" w:hAnsi="Times New Roman" w:eastAsia="楷体_GB2312" w:cs="Times New Roman"/>
          <w:b/>
          <w:bCs/>
          <w:sz w:val="32"/>
          <w:szCs w:val="32"/>
        </w:rPr>
        <w:t>）</w:t>
      </w:r>
    </w:p>
    <w:p w14:paraId="56D58C52">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1.类似项目业绩</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9</w:t>
      </w:r>
      <w:r>
        <w:rPr>
          <w:rFonts w:ascii="Times New Roman" w:hAnsi="Times New Roman" w:eastAsia="仿宋_GB2312" w:cs="Times New Roman"/>
          <w:b/>
          <w:bCs/>
          <w:sz w:val="32"/>
          <w:szCs w:val="32"/>
        </w:rPr>
        <w:t>分）</w:t>
      </w:r>
    </w:p>
    <w:p w14:paraId="57214BEB">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年以来竞标人承接过或完成</w:t>
      </w:r>
      <w:r>
        <w:rPr>
          <w:rFonts w:hint="default" w:ascii="Times New Roman" w:hAnsi="Times New Roman" w:eastAsia="仿宋_GB2312" w:cs="Times New Roman"/>
          <w:bCs/>
          <w:color w:val="auto"/>
          <w:sz w:val="32"/>
          <w:szCs w:val="32"/>
          <w:highlight w:val="none"/>
        </w:rPr>
        <w:t>过</w:t>
      </w:r>
      <w:r>
        <w:rPr>
          <w:rFonts w:hint="default" w:ascii="Times New Roman" w:hAnsi="Times New Roman" w:eastAsia="仿宋_GB2312" w:cs="Times New Roman"/>
          <w:bCs/>
          <w:color w:val="auto"/>
          <w:sz w:val="32"/>
          <w:szCs w:val="32"/>
          <w:highlight w:val="none"/>
          <w:lang w:eastAsia="zh-CN"/>
        </w:rPr>
        <w:t>建筑工程类或建筑</w:t>
      </w:r>
      <w:r>
        <w:rPr>
          <w:rFonts w:hint="default" w:ascii="Times New Roman" w:hAnsi="Times New Roman" w:eastAsia="仿宋_GB2312" w:cs="Times New Roman"/>
          <w:bCs/>
          <w:color w:val="auto"/>
          <w:sz w:val="32"/>
          <w:szCs w:val="32"/>
          <w:highlight w:val="none"/>
        </w:rPr>
        <w:t>装修工程</w:t>
      </w:r>
      <w:r>
        <w:rPr>
          <w:rFonts w:hint="default" w:ascii="Times New Roman" w:hAnsi="Times New Roman" w:eastAsia="仿宋_GB2312" w:cs="Times New Roman"/>
          <w:bCs/>
          <w:color w:val="auto"/>
          <w:sz w:val="32"/>
          <w:szCs w:val="32"/>
          <w:highlight w:val="none"/>
          <w:lang w:eastAsia="zh-CN"/>
        </w:rPr>
        <w:t>类</w:t>
      </w:r>
      <w:r>
        <w:rPr>
          <w:rFonts w:hint="default" w:ascii="Times New Roman" w:hAnsi="Times New Roman" w:eastAsia="仿宋_GB2312" w:cs="Times New Roman"/>
          <w:bCs/>
          <w:color w:val="auto"/>
          <w:sz w:val="32"/>
          <w:szCs w:val="32"/>
          <w:highlight w:val="none"/>
        </w:rPr>
        <w:t>业绩，每个</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分，此项满分</w:t>
      </w:r>
      <w:r>
        <w:rPr>
          <w:rFonts w:hint="eastAsia" w:ascii="Times New Roman" w:hAnsi="Times New Roman" w:eastAsia="仿宋_GB2312" w:cs="Times New Roman"/>
          <w:bCs/>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分</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sz w:val="32"/>
          <w:szCs w:val="40"/>
          <w:lang w:bidi="ar"/>
        </w:rPr>
        <w:t>（以合同或者中标（成交）通知书复印件为准，并加盖供应商公章，否则不得分）。</w:t>
      </w:r>
    </w:p>
    <w:p w14:paraId="692F6E7A">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2.拟投入管理人员</w:t>
      </w:r>
      <w:r>
        <w:rPr>
          <w:rFonts w:ascii="Times New Roman" w:hAnsi="Times New Roman" w:eastAsia="仿宋_GB2312" w:cs="Times New Roman"/>
          <w:b/>
          <w:bCs/>
          <w:sz w:val="32"/>
          <w:szCs w:val="32"/>
        </w:rPr>
        <w:t>（满分</w:t>
      </w:r>
      <w:r>
        <w:rPr>
          <w:rFonts w:hint="eastAsia" w:ascii="Times New Roman" w:hAnsi="Times New Roman" w:eastAsia="仿宋_GB2312" w:cs="Times New Roman"/>
          <w:b/>
          <w:bCs/>
          <w:sz w:val="32"/>
          <w:szCs w:val="32"/>
          <w:lang w:val="en-US" w:eastAsia="zh-CN"/>
        </w:rPr>
        <w:t>7</w:t>
      </w:r>
      <w:r>
        <w:rPr>
          <w:rFonts w:ascii="Times New Roman" w:hAnsi="Times New Roman" w:eastAsia="仿宋_GB2312" w:cs="Times New Roman"/>
          <w:b/>
          <w:bCs/>
          <w:sz w:val="32"/>
          <w:szCs w:val="32"/>
        </w:rPr>
        <w:t>分）</w:t>
      </w:r>
    </w:p>
    <w:p w14:paraId="53A2F0B9">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（1）项目经理：拟投入本项目的项目经理具备建筑工程专业贰级以上（含贰级）注册建造师执业资格，且具备有效的安全生产考核合格证书（B类）的得</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分。</w:t>
      </w:r>
    </w:p>
    <w:p w14:paraId="4D83304E">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（2）技术负责人：拟投入本项目的技术负责人具有工程类专业中级及以上技术职称得</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分。</w:t>
      </w:r>
    </w:p>
    <w:p w14:paraId="10B84EFB">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（3）拟投入其他人员（不含项目经理、技术负责人）：拟投入其他人员包括安全员、施工员、质量员、材料员具有相应岗位资格证书的，每人得</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分，此项满分</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分。</w:t>
      </w:r>
    </w:p>
    <w:p w14:paraId="573F3474">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lang w:bidi="ar"/>
        </w:rPr>
        <w:t>总得分＝（</w:t>
      </w:r>
      <w:r>
        <w:rPr>
          <w:rFonts w:hint="eastAsia" w:ascii="Times New Roman" w:hAnsi="Times New Roman" w:eastAsia="仿宋_GB2312" w:cs="Times New Roman"/>
          <w:b/>
          <w:bCs/>
          <w:sz w:val="32"/>
          <w:szCs w:val="32"/>
          <w:lang w:val="en-US" w:eastAsia="zh-CN" w:bidi="ar"/>
        </w:rPr>
        <w:t>一</w:t>
      </w:r>
      <w:r>
        <w:rPr>
          <w:rFonts w:ascii="Times New Roman" w:hAnsi="Times New Roman" w:eastAsia="仿宋_GB2312" w:cs="Times New Roman"/>
          <w:b/>
          <w:bCs/>
          <w:sz w:val="32"/>
          <w:szCs w:val="32"/>
          <w:lang w:bidi="ar"/>
        </w:rPr>
        <w:t>）＋（二）＋（三）</w:t>
      </w:r>
    </w:p>
    <w:p w14:paraId="35A8AD1F">
      <w:pPr>
        <w:pStyle w:val="2"/>
        <w:spacing w:before="0" w:after="0" w:line="560" w:lineRule="exact"/>
        <w:ind w:firstLine="640" w:firstLineChars="200"/>
        <w:rPr>
          <w:rFonts w:ascii="Times New Roman" w:hAnsi="Times New Roman" w:cs="Times New Roman"/>
          <w:b w:val="0"/>
          <w:bCs/>
          <w:color w:val="auto"/>
          <w:lang w:eastAsia="zh-CN"/>
        </w:rPr>
      </w:pPr>
      <w:r>
        <w:rPr>
          <w:rFonts w:ascii="Times New Roman" w:hAnsi="Times New Roman" w:cs="Times New Roman"/>
          <w:b w:val="0"/>
          <w:bCs/>
          <w:color w:val="auto"/>
          <w:lang w:eastAsia="zh-CN"/>
        </w:rPr>
        <w:t>三、</w:t>
      </w:r>
      <w:r>
        <w:rPr>
          <w:rFonts w:hint="eastAsia" w:ascii="Times New Roman" w:hAnsi="Times New Roman" w:cs="Times New Roman"/>
          <w:b w:val="0"/>
          <w:bCs/>
          <w:color w:val="auto"/>
          <w:lang w:eastAsia="zh-CN"/>
        </w:rPr>
        <w:t>成交标准</w:t>
      </w:r>
    </w:p>
    <w:p w14:paraId="16A393D7">
      <w:pPr>
        <w:spacing w:line="56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由磋商小组根据综合评分情况，按照评审得分由高到低顺序推荐3名以上成交候选供应商。</w:t>
      </w:r>
      <w:r>
        <w:rPr>
          <w:rFonts w:hint="default" w:ascii="Times New Roman" w:hAnsi="Times New Roman" w:eastAsia="仿宋_GB2312" w:cs="Times New Roman"/>
          <w:sz w:val="32"/>
          <w:szCs w:val="40"/>
          <w:lang w:bidi="ar"/>
        </w:rPr>
        <w:t>总得分相同时，按照最后报价由低到高的顺序排列。总得分且最后报价相同的，按照技术指标优劣顺序排列。</w:t>
      </w:r>
    </w:p>
    <w:p w14:paraId="29ACD93C">
      <w:pPr>
        <w:spacing w:line="560" w:lineRule="exact"/>
        <w:ind w:firstLine="640" w:firstLineChars="200"/>
        <w:rPr>
          <w:rFonts w:hint="eastAsia" w:ascii="Times New Roman" w:hAnsi="Times New Roman" w:eastAsia="仿宋_GB2312" w:cs="Times New Roman"/>
          <w:bCs/>
          <w:spacing w:val="0"/>
          <w:sz w:val="32"/>
          <w:szCs w:val="32"/>
        </w:rPr>
      </w:pPr>
      <w:r>
        <w:rPr>
          <w:rFonts w:hint="eastAsia" w:ascii="Times New Roman" w:hAnsi="Times New Roman" w:eastAsia="仿宋_GB2312" w:cs="Times New Roman"/>
          <w:bCs/>
          <w:spacing w:val="0"/>
          <w:sz w:val="32"/>
          <w:szCs w:val="32"/>
        </w:rPr>
        <w:t>（二）采购单位应从评审报告提出的成交候选供应商中，按照排序由高到低的原则确定成交供应商，也可以书面授权评标小组直接确定成交供应商。采购人逾期未确定成交供应商且不提出异议的，视为确定评审报告提出的排序第一的供应商为成交供应商。</w:t>
      </w:r>
    </w:p>
    <w:p w14:paraId="0ECA8584">
      <w:pPr>
        <w:spacing w:line="560" w:lineRule="exact"/>
        <w:ind w:firstLine="640" w:firstLineChars="200"/>
        <w:rPr>
          <w:rFonts w:hint="eastAsia" w:ascii="Times New Roman" w:hAnsi="Times New Roman" w:eastAsia="仿宋_GB2312" w:cs="Times New Roman"/>
          <w:bCs/>
          <w:spacing w:val="0"/>
          <w:sz w:val="32"/>
          <w:szCs w:val="32"/>
        </w:rPr>
      </w:pPr>
      <w:r>
        <w:rPr>
          <w:rFonts w:hint="eastAsia" w:ascii="Times New Roman" w:hAnsi="Times New Roman" w:eastAsia="仿宋_GB2312" w:cs="Times New Roman"/>
          <w:bCs/>
          <w:spacing w:val="0"/>
          <w:sz w:val="32"/>
          <w:szCs w:val="32"/>
        </w:rPr>
        <w:t>（三）成交供应商拒绝与采购人签订合同的，采购人可以按照评审报告推荐的成交候选人名单排序，确定下一候选人为成交供应商，也可以重新开展政府采购活动。</w:t>
      </w:r>
    </w:p>
    <w:p w14:paraId="453D4927">
      <w:pPr>
        <w:spacing w:line="560" w:lineRule="exact"/>
        <w:ind w:firstLine="640" w:firstLineChars="200"/>
        <w:rPr>
          <w:rFonts w:hint="eastAsia" w:ascii="Times New Roman" w:hAnsi="Times New Roman" w:eastAsia="仿宋_GB2312" w:cs="Times New Roman"/>
          <w:bCs/>
          <w:spacing w:val="0"/>
          <w:sz w:val="32"/>
          <w:szCs w:val="32"/>
        </w:rPr>
      </w:pPr>
    </w:p>
    <w:p w14:paraId="75A20FC1">
      <w:pPr>
        <w:spacing w:line="560" w:lineRule="exact"/>
        <w:ind w:firstLine="640" w:firstLineChars="200"/>
        <w:rPr>
          <w:rFonts w:hint="eastAsia" w:ascii="Times New Roman" w:hAnsi="Times New Roman" w:eastAsia="仿宋_GB2312" w:cs="Times New Roman"/>
          <w:bCs/>
          <w:sz w:val="32"/>
          <w:szCs w:val="32"/>
        </w:rPr>
      </w:pPr>
    </w:p>
    <w:p w14:paraId="06820F0B"/>
    <w:p w14:paraId="6198EEB6">
      <w:pPr>
        <w:spacing w:line="240" w:lineRule="auto"/>
        <w:outlineLvl w:val="9"/>
        <w:rPr>
          <w:rFonts w:hint="eastAsia" w:ascii="仿宋_GB2312" w:hAnsi="仿宋_GB2312" w:eastAsia="仿宋_GB2312" w:cs="仿宋_GB2312"/>
          <w:sz w:val="32"/>
          <w:szCs w:val="32"/>
        </w:rPr>
      </w:pPr>
    </w:p>
    <w:sectPr>
      <w:footerReference r:id="rId3" w:type="default"/>
      <w:pgSz w:w="11906" w:h="16838"/>
      <w:pgMar w:top="1962" w:right="1474" w:bottom="1848"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9D97C">
    <w:pPr>
      <w:pStyle w:val="7"/>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5173345</wp:posOffset>
              </wp:positionH>
              <wp:positionV relativeFrom="paragraph">
                <wp:posOffset>-247015</wp:posOffset>
              </wp:positionV>
              <wp:extent cx="1828800" cy="2216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1615"/>
                      </a:xfrm>
                      <a:prstGeom prst="rect">
                        <a:avLst/>
                      </a:prstGeom>
                      <a:noFill/>
                      <a:ln w="6350">
                        <a:noFill/>
                      </a:ln>
                      <a:effectLst/>
                    </wps:spPr>
                    <wps:txbx>
                      <w:txbxContent>
                        <w:p w14:paraId="7942AEC9">
                          <w:pPr>
                            <w:pStyle w:val="7"/>
                            <w:rPr>
                              <w:rFonts w:hint="eastAsia"/>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7.35pt;margin-top:-19.45pt;height:17.45pt;width:144pt;mso-position-horizontal-relative:margin;mso-wrap-style:none;z-index:251659264;mso-width-relative:page;mso-height-relative:page;" filled="f" stroked="f" coordsize="21600,21600" o:gfxdata="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RS3y2QAAAAsBAAAPAAAAAAAAAAEAIAAAACIAAABkcnMvZG93bnJl&#10;di54bWxQSwECFAAUAAAACACHTuJARJ0D0TUCAABiBAAADgAAAAAAAAABACAAAAAoAQAAZHJzL2Uy&#10;b0RvYy54bWxQSwUGAAAAAAYABgBZAQAAzwUAAAAA&#10;">
              <v:fill on="f" focussize="0,0"/>
              <v:stroke on="f" weight="0.5pt"/>
              <v:imagedata o:title=""/>
              <o:lock v:ext="edit" aspectratio="f"/>
              <v:textbox inset="0mm,0mm,0mm,0mm">
                <w:txbxContent>
                  <w:p w14:paraId="7942AEC9">
                    <w:pPr>
                      <w:pStyle w:val="7"/>
                      <w:rPr>
                        <w:rFonts w:hint="eastAsia"/>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E375F"/>
    <w:rsid w:val="000749E3"/>
    <w:rsid w:val="00083817"/>
    <w:rsid w:val="000E3B5F"/>
    <w:rsid w:val="000E5A1A"/>
    <w:rsid w:val="00153276"/>
    <w:rsid w:val="004D77F8"/>
    <w:rsid w:val="005D5E3F"/>
    <w:rsid w:val="00677C7E"/>
    <w:rsid w:val="007022D4"/>
    <w:rsid w:val="008F5534"/>
    <w:rsid w:val="00B44189"/>
    <w:rsid w:val="00C246D3"/>
    <w:rsid w:val="00CF1033"/>
    <w:rsid w:val="00E54847"/>
    <w:rsid w:val="00E81AF9"/>
    <w:rsid w:val="00EF0096"/>
    <w:rsid w:val="00F22B85"/>
    <w:rsid w:val="00FA37CD"/>
    <w:rsid w:val="00FD353A"/>
    <w:rsid w:val="01946C1D"/>
    <w:rsid w:val="050809B2"/>
    <w:rsid w:val="0ACD65E2"/>
    <w:rsid w:val="0B626F71"/>
    <w:rsid w:val="12680B13"/>
    <w:rsid w:val="2C932FD6"/>
    <w:rsid w:val="30365D5F"/>
    <w:rsid w:val="355F36E1"/>
    <w:rsid w:val="35747E49"/>
    <w:rsid w:val="376977C1"/>
    <w:rsid w:val="3B910B36"/>
    <w:rsid w:val="3BAE34D9"/>
    <w:rsid w:val="3FF7DE18"/>
    <w:rsid w:val="417E375F"/>
    <w:rsid w:val="42CB18CA"/>
    <w:rsid w:val="48EC7050"/>
    <w:rsid w:val="4A92475E"/>
    <w:rsid w:val="4BB44C11"/>
    <w:rsid w:val="4FC71B62"/>
    <w:rsid w:val="50B21897"/>
    <w:rsid w:val="544774FA"/>
    <w:rsid w:val="554D7259"/>
    <w:rsid w:val="5769336C"/>
    <w:rsid w:val="57741750"/>
    <w:rsid w:val="592A465E"/>
    <w:rsid w:val="5E9C5737"/>
    <w:rsid w:val="61B9080E"/>
    <w:rsid w:val="61B9320C"/>
    <w:rsid w:val="62FF66F4"/>
    <w:rsid w:val="67CA7FB6"/>
    <w:rsid w:val="70DA31B3"/>
    <w:rsid w:val="72005EB7"/>
    <w:rsid w:val="79B81C1E"/>
    <w:rsid w:val="7A6B3350"/>
    <w:rsid w:val="7BFD22EA"/>
    <w:rsid w:val="7CA4659B"/>
    <w:rsid w:val="8DCE0DB8"/>
    <w:rsid w:val="AF1DBD6F"/>
    <w:rsid w:val="AF4BD962"/>
    <w:rsid w:val="DD9D4E0E"/>
    <w:rsid w:val="FFE3E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cs="Arial"/>
      <w:b/>
      <w:snapToGrid w:val="0"/>
      <w:color w:val="000000"/>
      <w:kern w:val="44"/>
      <w:sz w:val="32"/>
      <w:szCs w:val="21"/>
      <w:lang w:eastAsia="en-US"/>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next w:val="6"/>
    <w:qFormat/>
    <w:uiPriority w:val="0"/>
    <w:rPr>
      <w:rFonts w:ascii="宋体" w:hAnsi="Courier New" w:cs="Courier New"/>
      <w:szCs w:val="21"/>
    </w:rPr>
  </w:style>
  <w:style w:type="paragraph" w:customStyle="1" w:styleId="6">
    <w:name w:val="TOC 标题2"/>
    <w:next w:val="1"/>
    <w:qFormat/>
    <w:uiPriority w:val="99"/>
    <w:pPr>
      <w:wordWrap w:val="0"/>
    </w:pPr>
    <w:rPr>
      <w:rFonts w:ascii="Calibri" w:hAnsi="Calibri" w:eastAsia="宋体" w:cs="Times New Roman"/>
      <w:sz w:val="32"/>
      <w:lang w:val="en-US" w:eastAsia="zh-CN" w:bidi="ar-SA"/>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2"/>
    <w:qFormat/>
    <w:uiPriority w:val="0"/>
    <w:pP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customStyle="1" w:styleId="12">
    <w:name w:val="页眉 字符"/>
    <w:basedOn w:val="11"/>
    <w:link w:val="8"/>
    <w:qFormat/>
    <w:uiPriority w:val="0"/>
    <w:rPr>
      <w:rFonts w:ascii="宋体" w:hAnsi="宋体" w:eastAsia="宋体" w:cs="宋体"/>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1172</Words>
  <Characters>1185</Characters>
  <Lines>25</Lines>
  <Paragraphs>7</Paragraphs>
  <TotalTime>89</TotalTime>
  <ScaleCrop>false</ScaleCrop>
  <LinksUpToDate>false</LinksUpToDate>
  <CharactersWithSpaces>1194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2024-12-10T23:49:00Z</dcterms:created>
  <dc:creator>Hsl</dc:creator>
  <cp:lastModifiedBy>茶白</cp:lastModifiedBy>
  <cp:lastPrinted>2025-02-11T13:08:00Z</cp:lastPrinted>
  <dcterms:modified xsi:type="dcterms:W3CDTF">2025-08-07T02:14:19Z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40F62EB7208D4A2B965B57FD758E6BB5_13</vt:lpwstr>
  </property>
  <property fmtid="{D5CDD505-2E9C-101B-9397-08002B2CF9AE}" pid="4" name="KSOTemplateDocerSaveRecord">
    <vt:lpwstr>eyJoZGlkIjoiZDgyOWYyMjJhOWQxYzQzMzM4NjYzODdkODlmOWZkNjMiLCJ1c2VySWQiOiIxMDg2OTI2NTc4In0=</vt:lpwstr>
  </property>
</Properties>
</file>