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908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Times New Roman" w:hAnsi="Times New Roman" w:eastAsia="仿宋_GB2312" w:cs="Times New Roman"/>
          <w:color w:val="auto"/>
          <w:sz w:val="32"/>
          <w:szCs w:val="32"/>
          <w:lang w:val="en-US" w:eastAsia="zh-CN"/>
        </w:rPr>
      </w:pPr>
      <w:bookmarkStart w:id="0" w:name="_GoBack"/>
      <w:bookmarkEnd w:id="0"/>
      <w:r>
        <w:rPr>
          <w:rFonts w:hint="eastAsia" w:ascii="Times New Roman" w:hAnsi="Times New Roman" w:eastAsia="仿宋_GB2312" w:cs="Times New Roman"/>
          <w:color w:val="auto"/>
          <w:sz w:val="32"/>
          <w:szCs w:val="32"/>
          <w:lang w:val="en-US" w:eastAsia="zh-CN"/>
        </w:rPr>
        <w:t>附件</w:t>
      </w:r>
    </w:p>
    <w:p w14:paraId="636EDA1F">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p>
    <w:p w14:paraId="3B9826DC">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2025年中国—东盟人工智能部长圆桌会议会务执行服务项目采购需求及评分标准</w:t>
      </w:r>
    </w:p>
    <w:p w14:paraId="4127D60B">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eastAsia" w:ascii="方正小标宋_GBK" w:hAnsi="方正小标宋_GBK" w:eastAsia="方正小标宋_GBK" w:cs="方正小标宋_GBK"/>
          <w:b w:val="0"/>
          <w:bCs/>
          <w:color w:val="auto"/>
          <w:sz w:val="44"/>
          <w:szCs w:val="44"/>
          <w:lang w:val="en-US" w:eastAsia="zh-CN"/>
        </w:rPr>
      </w:pPr>
    </w:p>
    <w:p w14:paraId="5E0661CE">
      <w:pPr>
        <w:spacing w:line="560" w:lineRule="exact"/>
        <w:rPr>
          <w:rFonts w:ascii="Times New Roman" w:hAnsi="Times New Roman"/>
          <w:color w:val="000000"/>
        </w:rPr>
      </w:pPr>
    </w:p>
    <w:p w14:paraId="35E2FFCB">
      <w:pPr>
        <w:numPr>
          <w:ilvl w:val="0"/>
          <w:numId w:val="1"/>
        </w:numPr>
        <w:spacing w:line="560" w:lineRule="exact"/>
        <w:rPr>
          <w:rFonts w:ascii="Times New Roman" w:hAnsi="Times New Roman" w:eastAsia="黑体"/>
          <w:sz w:val="32"/>
          <w:szCs w:val="32"/>
        </w:rPr>
      </w:pPr>
      <w:r>
        <w:rPr>
          <w:rFonts w:ascii="Times New Roman" w:hAnsi="Times New Roman" w:eastAsia="黑体"/>
          <w:b/>
          <w:bCs/>
          <w:sz w:val="32"/>
          <w:szCs w:val="32"/>
        </w:rPr>
        <w:t>项目名称：</w:t>
      </w:r>
    </w:p>
    <w:p w14:paraId="607BC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2025年中国—东盟人工智能部长圆桌会议会务执行服务</w:t>
      </w:r>
      <w:r>
        <w:rPr>
          <w:rFonts w:ascii="Times New Roman" w:hAnsi="Times New Roman" w:eastAsia="仿宋_GB2312"/>
          <w:sz w:val="32"/>
          <w:szCs w:val="32"/>
        </w:rPr>
        <w:t>项目。</w:t>
      </w:r>
    </w:p>
    <w:p w14:paraId="089D01F3">
      <w:pPr>
        <w:numPr>
          <w:ilvl w:val="0"/>
          <w:numId w:val="1"/>
        </w:numPr>
        <w:spacing w:line="560" w:lineRule="exact"/>
        <w:rPr>
          <w:rFonts w:hint="eastAsia" w:ascii="Times New Roman" w:hAnsi="Times New Roman" w:eastAsia="黑体"/>
          <w:b/>
          <w:bCs/>
          <w:sz w:val="32"/>
          <w:szCs w:val="32"/>
        </w:rPr>
      </w:pPr>
      <w:r>
        <w:rPr>
          <w:rFonts w:hint="eastAsia" w:ascii="Times New Roman" w:hAnsi="Times New Roman" w:eastAsia="黑体"/>
          <w:b/>
          <w:bCs/>
          <w:sz w:val="32"/>
          <w:szCs w:val="32"/>
        </w:rPr>
        <w:t>预算金额：</w:t>
      </w:r>
    </w:p>
    <w:p w14:paraId="0A607B5B">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897910.00元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捌拾玖万柒仟玖佰壹拾元整</w:t>
      </w:r>
      <w:r>
        <w:rPr>
          <w:rFonts w:hint="eastAsia" w:ascii="Times New Roman" w:hAnsi="Times New Roman" w:eastAsia="仿宋_GB2312"/>
          <w:sz w:val="32"/>
          <w:szCs w:val="32"/>
          <w:lang w:eastAsia="zh-CN"/>
        </w:rPr>
        <w:t>）</w:t>
      </w:r>
    </w:p>
    <w:p w14:paraId="32690EC0">
      <w:pPr>
        <w:numPr>
          <w:ilvl w:val="0"/>
          <w:numId w:val="1"/>
        </w:num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服务期限</w:t>
      </w:r>
    </w:p>
    <w:p w14:paraId="0367BA8A">
      <w:pPr>
        <w:pStyle w:val="8"/>
        <w:spacing w:line="560" w:lineRule="exact"/>
        <w:ind w:firstLine="608" w:firstLineChars="190"/>
        <w:jc w:val="left"/>
        <w:rPr>
          <w:rFonts w:ascii="Times New Roman" w:hAnsi="Times New Roman" w:eastAsia="仿宋_GB2312"/>
          <w:sz w:val="32"/>
          <w:szCs w:val="32"/>
        </w:rPr>
      </w:pPr>
      <w:r>
        <w:rPr>
          <w:rFonts w:hint="eastAsia" w:ascii="Times New Roman" w:hAnsi="Times New Roman" w:eastAsia="仿宋_GB2312"/>
          <w:kern w:val="0"/>
          <w:sz w:val="32"/>
          <w:szCs w:val="32"/>
        </w:rPr>
        <w:t>自签订合同之日起至2025年10月31日</w:t>
      </w:r>
      <w:r>
        <w:rPr>
          <w:rFonts w:ascii="Times New Roman" w:hAnsi="Times New Roman" w:eastAsia="仿宋_GB2312"/>
          <w:kern w:val="0"/>
          <w:sz w:val="32"/>
          <w:szCs w:val="32"/>
        </w:rPr>
        <w:t>。</w:t>
      </w:r>
    </w:p>
    <w:p w14:paraId="3D6BEAFE">
      <w:pPr>
        <w:numPr>
          <w:ilvl w:val="0"/>
          <w:numId w:val="1"/>
        </w:num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服务</w:t>
      </w:r>
      <w:r>
        <w:rPr>
          <w:rFonts w:ascii="Times New Roman" w:hAnsi="Times New Roman" w:eastAsia="黑体"/>
          <w:b/>
          <w:bCs/>
          <w:sz w:val="32"/>
          <w:szCs w:val="32"/>
        </w:rPr>
        <w:t>具体内容</w:t>
      </w:r>
    </w:p>
    <w:tbl>
      <w:tblPr>
        <w:tblStyle w:val="14"/>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35"/>
        <w:gridCol w:w="612"/>
        <w:gridCol w:w="636"/>
        <w:gridCol w:w="631"/>
        <w:gridCol w:w="7227"/>
      </w:tblGrid>
      <w:tr w14:paraId="691C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4" w:type="dxa"/>
            <w:gridSpan w:val="6"/>
            <w:noWrap w:val="0"/>
            <w:vAlign w:val="center"/>
          </w:tcPr>
          <w:p w14:paraId="02A5EE44">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val="en-US" w:eastAsia="zh-CN"/>
              </w:rPr>
              <w:t>项目要求及</w:t>
            </w:r>
            <w:r>
              <w:rPr>
                <w:rFonts w:hint="eastAsia" w:ascii="宋体" w:hAnsi="宋体" w:eastAsia="宋体" w:cs="宋体"/>
                <w:b/>
                <w:color w:val="auto"/>
                <w:sz w:val="24"/>
                <w:highlight w:val="none"/>
              </w:rPr>
              <w:t>技术需求</w:t>
            </w:r>
          </w:p>
        </w:tc>
      </w:tr>
      <w:tr w14:paraId="1D08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noWrap w:val="0"/>
            <w:vAlign w:val="center"/>
          </w:tcPr>
          <w:p w14:paraId="7AE6E2A5">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项号</w:t>
            </w:r>
          </w:p>
        </w:tc>
        <w:tc>
          <w:tcPr>
            <w:tcW w:w="1547" w:type="dxa"/>
            <w:gridSpan w:val="2"/>
            <w:noWrap w:val="0"/>
            <w:vAlign w:val="center"/>
          </w:tcPr>
          <w:p w14:paraId="5D860137">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636" w:type="dxa"/>
            <w:noWrap w:val="0"/>
            <w:vAlign w:val="center"/>
          </w:tcPr>
          <w:p w14:paraId="204F31FE">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631" w:type="dxa"/>
            <w:noWrap w:val="0"/>
            <w:vAlign w:val="center"/>
          </w:tcPr>
          <w:p w14:paraId="7ACF88A5">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7227" w:type="dxa"/>
            <w:noWrap w:val="0"/>
            <w:vAlign w:val="center"/>
          </w:tcPr>
          <w:p w14:paraId="0D22A048">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服务内容及要求</w:t>
            </w:r>
          </w:p>
        </w:tc>
      </w:tr>
      <w:tr w14:paraId="4087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503" w:type="dxa"/>
            <w:noWrap w:val="0"/>
            <w:vAlign w:val="center"/>
          </w:tcPr>
          <w:p w14:paraId="08677B3D">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1547" w:type="dxa"/>
            <w:gridSpan w:val="2"/>
            <w:noWrap w:val="0"/>
            <w:vAlign w:val="center"/>
          </w:tcPr>
          <w:p w14:paraId="3415DB65">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2025年中国—东盟人工智能部长圆桌会议会务执行服务项目</w:t>
            </w:r>
          </w:p>
        </w:tc>
        <w:tc>
          <w:tcPr>
            <w:tcW w:w="636" w:type="dxa"/>
            <w:noWrap w:val="0"/>
            <w:vAlign w:val="center"/>
          </w:tcPr>
          <w:p w14:paraId="73FAFE5D">
            <w:pPr>
              <w:spacing w:line="400" w:lineRule="exact"/>
              <w:jc w:val="center"/>
              <w:rPr>
                <w:rFonts w:hint="eastAsia" w:ascii="宋体" w:hAnsi="宋体" w:eastAsia="宋体" w:cs="宋体"/>
                <w:color w:val="auto"/>
                <w:kern w:val="0"/>
                <w:sz w:val="24"/>
                <w:szCs w:val="24"/>
                <w:highlight w:val="none"/>
                <w:lang w:val="en-US" w:eastAsia="zh-CN" w:bidi="ar-SA"/>
              </w:rPr>
            </w:pPr>
          </w:p>
        </w:tc>
        <w:tc>
          <w:tcPr>
            <w:tcW w:w="631" w:type="dxa"/>
            <w:noWrap w:val="0"/>
            <w:vAlign w:val="center"/>
          </w:tcPr>
          <w:p w14:paraId="62BC1710">
            <w:pPr>
              <w:spacing w:line="400" w:lineRule="exact"/>
              <w:jc w:val="center"/>
              <w:rPr>
                <w:rFonts w:hint="eastAsia" w:ascii="宋体" w:hAnsi="宋体" w:eastAsia="宋体" w:cs="宋体"/>
                <w:color w:val="auto"/>
                <w:kern w:val="0"/>
                <w:sz w:val="24"/>
                <w:szCs w:val="24"/>
                <w:highlight w:val="none"/>
                <w:lang w:val="en-US" w:eastAsia="zh-CN" w:bidi="ar-SA"/>
              </w:rPr>
            </w:pPr>
          </w:p>
        </w:tc>
        <w:tc>
          <w:tcPr>
            <w:tcW w:w="7227" w:type="dxa"/>
            <w:noWrap w:val="0"/>
            <w:vAlign w:val="center"/>
          </w:tcPr>
          <w:p w14:paraId="1A1B9C7E">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一、采购内容：</w:t>
            </w:r>
            <w:r>
              <w:rPr>
                <w:rFonts w:hint="eastAsia" w:ascii="宋体" w:hAnsi="宋体" w:eastAsia="宋体" w:cs="宋体"/>
                <w:color w:val="auto"/>
                <w:sz w:val="24"/>
                <w:szCs w:val="32"/>
                <w:highlight w:val="none"/>
                <w:lang w:val="en-US" w:eastAsia="zh-CN"/>
              </w:rPr>
              <w:t>设备租赁及会场搭建服务、会务执行服务。</w:t>
            </w:r>
          </w:p>
          <w:p w14:paraId="45C4A4D9">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二、服务地点：荔园山庄。</w:t>
            </w:r>
          </w:p>
          <w:p w14:paraId="7B6587F1">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三、服务时间：</w:t>
            </w:r>
            <w:r>
              <w:rPr>
                <w:rFonts w:hint="eastAsia" w:ascii="宋体" w:hAnsi="宋体" w:eastAsia="宋体" w:cs="宋体"/>
                <w:color w:val="auto"/>
                <w:kern w:val="0"/>
                <w:sz w:val="24"/>
                <w:szCs w:val="21"/>
                <w:highlight w:val="none"/>
                <w:lang w:val="en-US" w:eastAsia="zh-CN" w:bidi="ar-SA"/>
              </w:rPr>
              <w:t>自签订合同之日起至2025年10月31日</w:t>
            </w:r>
          </w:p>
          <w:p w14:paraId="5321507C">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四、工期要求：按照采购人指定时间内完成会场搭建布置；活动结束后当日内完成拆除。</w:t>
            </w:r>
          </w:p>
          <w:p w14:paraId="58F8B440">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4"/>
                <w:szCs w:val="32"/>
                <w:highlight w:val="none"/>
                <w:lang w:val="en-US" w:eastAsia="zh-CN"/>
              </w:rPr>
              <w:t>设备租赁及会场搭建服务、会务执行服务</w:t>
            </w:r>
          </w:p>
          <w:p w14:paraId="462B8AFA">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1.设备租赁：包括led屏幕、音响、话筒、灯光、控台、摇臂、电视等设备租赁；</w:t>
            </w:r>
          </w:p>
          <w:p w14:paraId="0FF45891">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2.搭建布置：包含主会场及会见室等会场搭建、布置；进、撤场搭建物料等运输、安装、拆卸、调试费用。</w:t>
            </w:r>
          </w:p>
          <w:p w14:paraId="58F3C26C">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3.会务印刷：包括台卡、议程单、证件、会议材料、围挡画面、接机牌等会议资料的印刷制作。</w:t>
            </w:r>
          </w:p>
          <w:p w14:paraId="29AC48F3">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会务执行服务：摄影摄像服务；氛围布置，包括会场内外围氛围布置及公共引导等，会议物料等；会务执行，包括对接前期需求、物料规划、现场流程执行等活动期间整体统筹，会务设计，保障会议正常流程执行，项目全程专项小组服务团队，全程服务策划项目落地执行。</w:t>
            </w:r>
          </w:p>
          <w:p w14:paraId="0BDE8B1F">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六、实施要求</w:t>
            </w:r>
          </w:p>
          <w:p w14:paraId="6A993427">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1.人员变更：从协议签订起至项目结项验收，项目人员应相对稳定，如更换人员，须经采购方书面同意后方可更换。</w:t>
            </w:r>
          </w:p>
          <w:p w14:paraId="2D731D4E">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2.现场办公：从协议签订起至项目结项验收，服务单位委派不少于5名工作人员在现场开展组织工作（不包括现场配套人员），并服从采购方现场负责人的工作安排。</w:t>
            </w:r>
          </w:p>
          <w:p w14:paraId="6B1D108F">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3.搭建及施工材料进场要求符合采购人及主办方的相关规定。</w:t>
            </w:r>
          </w:p>
          <w:p w14:paraId="3E03EFB2">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4.搭建物料与位置要根据活动场地的具体情况和需求摆放，合理安排搭建物料，制作的成品要贴切采购方及主办方确定的设计效果图与施工图。</w:t>
            </w:r>
          </w:p>
          <w:p w14:paraId="5018B6E6">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5.搭建摆放位置要合理，需保留出入口通道，确保人流走向畅通。</w:t>
            </w:r>
          </w:p>
          <w:p w14:paraId="050A27A1">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6.项目搭建施工要能够根据采购人及主办方的要求进行调整，并确保效果和质量。</w:t>
            </w:r>
          </w:p>
        </w:tc>
      </w:tr>
      <w:tr w14:paraId="24D4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44" w:type="dxa"/>
            <w:gridSpan w:val="6"/>
            <w:tcBorders>
              <w:top w:val="single" w:color="auto" w:sz="4" w:space="0"/>
              <w:left w:val="single" w:color="auto" w:sz="4" w:space="0"/>
              <w:bottom w:val="single" w:color="auto" w:sz="4" w:space="0"/>
              <w:right w:val="single" w:color="auto" w:sz="4" w:space="0"/>
            </w:tcBorders>
            <w:noWrap w:val="0"/>
            <w:vAlign w:val="center"/>
          </w:tcPr>
          <w:p w14:paraId="31A37B94">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 w:val="24"/>
                <w:highlight w:val="none"/>
              </w:rPr>
              <w:t>（二）商务要求</w:t>
            </w:r>
          </w:p>
        </w:tc>
      </w:tr>
      <w:tr w14:paraId="2C55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2B44EC1A">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报价要求</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52012A49">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本项目报价为完成采购人指定内容的整体包干价，包含但不限于实施和完成本项目全部工作所需的劳务费、技术服务费、评审费、交通、通讯、保险、税费和利润等项目有关一切费用。</w:t>
            </w:r>
          </w:p>
          <w:p w14:paraId="022C4C98">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注：1.本项目为整体服务包干项目，报价中应包含所有服务内容，成交后采购人服务期内不再另行支付额外费用。</w:t>
            </w:r>
          </w:p>
          <w:p w14:paraId="39CE6CD2">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2.供应商的报价≤采购预算（人民币</w:t>
            </w:r>
            <w:r>
              <w:rPr>
                <w:rFonts w:hint="eastAsia" w:ascii="宋体" w:hAnsi="宋体" w:eastAsia="宋体" w:cs="宋体"/>
                <w:b w:val="0"/>
                <w:bCs w:val="0"/>
                <w:color w:val="auto"/>
                <w:sz w:val="24"/>
                <w:highlight w:val="none"/>
                <w:lang w:val="en-US" w:eastAsia="zh-CN"/>
              </w:rPr>
              <w:t>897910.00</w:t>
            </w:r>
            <w:r>
              <w:rPr>
                <w:rFonts w:hint="eastAsia" w:ascii="宋体" w:hAnsi="宋体" w:eastAsia="宋体" w:cs="宋体"/>
                <w:b w:val="0"/>
                <w:bCs w:val="0"/>
                <w:color w:val="auto"/>
                <w:sz w:val="24"/>
                <w:highlight w:val="none"/>
                <w:lang w:eastAsia="zh-CN"/>
              </w:rPr>
              <w:t>元</w:t>
            </w:r>
            <w:r>
              <w:rPr>
                <w:rFonts w:hint="eastAsia" w:ascii="宋体" w:hAnsi="宋体" w:eastAsia="宋体" w:cs="宋体"/>
                <w:color w:val="auto"/>
                <w:kern w:val="0"/>
                <w:sz w:val="24"/>
                <w:highlight w:val="none"/>
              </w:rPr>
              <w:t>）。</w:t>
            </w:r>
          </w:p>
        </w:tc>
      </w:tr>
      <w:tr w14:paraId="0D80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41B72B69">
            <w:pPr>
              <w:pStyle w:val="22"/>
              <w:spacing w:line="400" w:lineRule="exact"/>
              <w:ind w:firstLine="0" w:firstLineChars="0"/>
              <w:textAlignment w:val="baseline"/>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▲服务期限及服务地点</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1DEFA58D">
            <w:pPr>
              <w:spacing w:line="40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1.服务期限：自签订合同之日起至2025年10月31日。</w:t>
            </w:r>
          </w:p>
          <w:p w14:paraId="01C50156">
            <w:pPr>
              <w:pStyle w:val="22"/>
              <w:spacing w:line="400" w:lineRule="exact"/>
              <w:ind w:firstLine="0" w:firstLineChars="0"/>
              <w:textAlignment w:val="baseline"/>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2.服务地点：荔园山庄。</w:t>
            </w:r>
          </w:p>
        </w:tc>
      </w:tr>
      <w:tr w14:paraId="1113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8E0ABD0">
            <w:pPr>
              <w:pStyle w:val="22"/>
              <w:spacing w:line="400" w:lineRule="exact"/>
              <w:ind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保障及</w:t>
            </w:r>
            <w:r>
              <w:rPr>
                <w:rFonts w:hint="eastAsia" w:ascii="宋体" w:hAnsi="宋体" w:eastAsia="宋体" w:cs="宋体"/>
                <w:color w:val="auto"/>
                <w:sz w:val="24"/>
                <w:szCs w:val="24"/>
                <w:highlight w:val="none"/>
              </w:rPr>
              <w:t>要求</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55048D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1.服务质保期为整体项目验收合格并交付使用之日起至会议结束，交付时间：签订合同后 10 日内完成方案设计，正式会议前2天完成全部制作搭建，并交付使用。</w:t>
            </w:r>
          </w:p>
          <w:p w14:paraId="3F3171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2.为较好的为采购人服务，竞标人需配备有本地大会后勤保障服务团队能力，并具备本地后勤保障资源。</w:t>
            </w:r>
          </w:p>
          <w:p w14:paraId="4FF373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3.项目搭建完成后，成交供应商须预留足够设备测试彩排时间，在整个会议期间，成交供应商必须安排人员驻会进行现场技术服务，如遇设备故障或出现问题，要及时排除或修复，保障会议正常进行。</w:t>
            </w:r>
          </w:p>
          <w:p w14:paraId="652AE6E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4.会议结束后负责拆卸和垃圾清运服务。</w:t>
            </w:r>
          </w:p>
          <w:p w14:paraId="591556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1"/>
                <w:highlight w:val="none"/>
                <w:lang w:val="en-US" w:eastAsia="zh-CN" w:bidi="ar-SA"/>
              </w:rPr>
              <w:t>5.会前搭建、会期现场执行、会后安全有序组织拆卸，撤展应及时完成，超出时限造成的加班延时费用，由成交供应商支付给荔园山庄。</w:t>
            </w:r>
          </w:p>
        </w:tc>
      </w:tr>
      <w:tr w14:paraId="7936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6A28D2DB">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付款方式</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7C68A1D1">
            <w:pPr>
              <w:pStyle w:val="22"/>
              <w:numPr>
                <w:ilvl w:val="0"/>
                <w:numId w:val="0"/>
              </w:numPr>
              <w:spacing w:line="40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签订合同后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个工作日内支付首款（合同金额50）%；通过验收后的</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个工作日内支付尾款（合同金额50%）。每次付款前，中标供应商必须提供请款函和等额正规合法发票。</w:t>
            </w:r>
          </w:p>
          <w:p w14:paraId="68B92C1A">
            <w:pPr>
              <w:pStyle w:val="22"/>
              <w:numPr>
                <w:ilvl w:val="0"/>
                <w:numId w:val="0"/>
              </w:numPr>
              <w:spacing w:line="40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2.合同总金额包含项目开展过程中产生的一切费用（包括项目实施过程中增加的设备、辅料、评审等所有费用）。</w:t>
            </w:r>
          </w:p>
        </w:tc>
      </w:tr>
      <w:tr w14:paraId="648E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4D60D3B4">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其他要求</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73F7855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1.供应商对采购文件的项目要求应完全响应，如果存在虚假响应或者是虚假承诺，由此造成的一切后果由供应商承担。</w:t>
            </w:r>
          </w:p>
          <w:p w14:paraId="613B9357">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2.未经采购人允许，不得使用或以其它方式给任何第三方提供本项目的相关信息或数据。</w:t>
            </w:r>
          </w:p>
          <w:p w14:paraId="5513D85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3.成交供应商不得将项目非法分包或转包给任何单位和个人，否则采购人有权即刻终止合同，并要求成交供应商赔偿相应损失。</w:t>
            </w:r>
          </w:p>
          <w:p w14:paraId="2DE6FC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en-US" w:eastAsia="zh-CN" w:bidi="ar-SA"/>
              </w:rPr>
              <w:t>4.</w:t>
            </w:r>
            <w:r>
              <w:rPr>
                <w:rFonts w:hint="eastAsia" w:ascii="宋体" w:hAnsi="宋体" w:eastAsia="宋体" w:cs="宋体"/>
                <w:color w:val="auto"/>
                <w:kern w:val="0"/>
                <w:sz w:val="24"/>
                <w:szCs w:val="21"/>
                <w:highlight w:val="none"/>
                <w:lang w:val="zh-CN" w:eastAsia="zh-CN" w:bidi="ar-SA"/>
              </w:rPr>
              <w:t>在成交后至正式搭建之前，如采购人要求对布局方案进行修改或调整，成交</w:t>
            </w:r>
            <w:r>
              <w:rPr>
                <w:rFonts w:hint="eastAsia" w:ascii="宋体" w:hAnsi="宋体" w:eastAsia="宋体" w:cs="宋体"/>
                <w:color w:val="auto"/>
                <w:kern w:val="0"/>
                <w:sz w:val="24"/>
                <w:szCs w:val="21"/>
                <w:highlight w:val="none"/>
                <w:lang w:val="en-US" w:eastAsia="zh-CN" w:bidi="ar-SA"/>
              </w:rPr>
              <w:t>供应商</w:t>
            </w:r>
            <w:r>
              <w:rPr>
                <w:rFonts w:hint="eastAsia" w:ascii="宋体" w:hAnsi="宋体" w:eastAsia="宋体" w:cs="宋体"/>
                <w:color w:val="auto"/>
                <w:kern w:val="0"/>
                <w:sz w:val="24"/>
                <w:szCs w:val="21"/>
                <w:highlight w:val="none"/>
                <w:lang w:val="zh-CN" w:eastAsia="zh-CN" w:bidi="ar-SA"/>
              </w:rPr>
              <w:t>必须积极配合执行。</w:t>
            </w:r>
          </w:p>
          <w:p w14:paraId="40DB010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5.知识产权：采购人在中华人民共和国境内使用中标供应商提供的产品及服务时免受第三方提出的侵犯其专利权或其它知识产权的起诉。如果第三方提出侵权指控，成交供应商应承担由此而引起的一切法律责任和费用。</w:t>
            </w:r>
          </w:p>
          <w:p w14:paraId="0E6A8357">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1"/>
                <w:highlight w:val="none"/>
                <w:lang w:val="en-US" w:eastAsia="zh-CN" w:bidi="ar-SA"/>
              </w:rPr>
              <w:t>6.供应商可按照采购需求在竞标文件中提供详细、科学、可行的项目会场布置策划设计方案、应急方案、服务方案（可包含投入人员安排、进度计划安排等内容）。供应商如有可在竞标文件中提供服务承诺以及与本项目相关的信誉、业绩、奖项等证明材料。</w:t>
            </w:r>
          </w:p>
        </w:tc>
      </w:tr>
      <w:tr w14:paraId="716F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37F5B0F">
            <w:pPr>
              <w:rPr>
                <w:rFonts w:hint="eastAsia" w:ascii="宋体" w:hAnsi="宋体" w:eastAsia="宋体" w:cs="宋体"/>
                <w:color w:val="auto"/>
                <w:kern w:val="0"/>
                <w:sz w:val="24"/>
                <w:szCs w:val="21"/>
                <w:highlight w:val="none"/>
                <w:lang w:val="en-US" w:eastAsia="zh-CN" w:bidi="ar-SA"/>
              </w:rPr>
            </w:pPr>
            <w:r>
              <w:rPr>
                <w:rFonts w:hint="default" w:ascii="宋体" w:hAnsi="宋体" w:eastAsia="宋体" w:cs="宋体"/>
                <w:color w:val="auto"/>
                <w:kern w:val="0"/>
                <w:sz w:val="24"/>
                <w:szCs w:val="21"/>
                <w:highlight w:val="none"/>
                <w:lang w:val="en-US" w:eastAsia="zh-CN" w:bidi="ar-SA"/>
              </w:rPr>
              <w:t>履约保证金</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765F28A1">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履约保证金金额：本项目不收取履约保证金。</w:t>
            </w:r>
          </w:p>
        </w:tc>
      </w:tr>
    </w:tbl>
    <w:p w14:paraId="7FA928CF">
      <w:pPr>
        <w:pStyle w:val="8"/>
        <w:spacing w:line="560" w:lineRule="exact"/>
        <w:ind w:firstLine="608" w:firstLineChars="190"/>
        <w:rPr>
          <w:rFonts w:ascii="Times New Roman" w:hAnsi="Times New Roman" w:eastAsia="仿宋_GB2312"/>
          <w:kern w:val="0"/>
          <w:sz w:val="32"/>
          <w:szCs w:val="32"/>
        </w:rPr>
      </w:pPr>
    </w:p>
    <w:p w14:paraId="178F8563">
      <w:pPr>
        <w:numPr>
          <w:ilvl w:val="0"/>
          <w:numId w:val="1"/>
        </w:numPr>
        <w:spacing w:line="560" w:lineRule="exact"/>
        <w:rPr>
          <w:rFonts w:hint="eastAsia" w:ascii="Times New Roman" w:hAnsi="Times New Roman" w:eastAsia="黑体"/>
          <w:b/>
          <w:bCs/>
          <w:sz w:val="32"/>
          <w:szCs w:val="32"/>
        </w:rPr>
      </w:pPr>
      <w:r>
        <w:rPr>
          <w:rFonts w:hint="eastAsia" w:ascii="Times New Roman" w:hAnsi="Times New Roman" w:eastAsia="黑体"/>
          <w:b/>
          <w:bCs/>
          <w:sz w:val="32"/>
          <w:szCs w:val="32"/>
        </w:rPr>
        <w:t>评分细则</w:t>
      </w:r>
    </w:p>
    <w:tbl>
      <w:tblPr>
        <w:tblStyle w:val="1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5"/>
        <w:gridCol w:w="1378"/>
        <w:gridCol w:w="5654"/>
        <w:gridCol w:w="895"/>
      </w:tblGrid>
      <w:tr w14:paraId="2DC7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D8D24E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rPr>
              <w:t>序号</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2D6A0E7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lang w:eastAsia="zh-CN"/>
              </w:rPr>
              <w:t>类别</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14:paraId="75B19AF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rPr>
              <w:t>评分标准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B9AE8F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rPr>
              <w:t>分值</w:t>
            </w:r>
          </w:p>
        </w:tc>
      </w:tr>
      <w:tr w14:paraId="1926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86E336F">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081E6916">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价格</w:t>
            </w:r>
            <w:r>
              <w:rPr>
                <w:rFonts w:hint="eastAsia" w:ascii="宋体" w:hAnsi="宋体" w:eastAsia="宋体" w:cs="宋体"/>
                <w:b/>
                <w:color w:val="auto"/>
                <w:sz w:val="21"/>
                <w:szCs w:val="21"/>
                <w:highlight w:val="none"/>
                <w:lang w:eastAsia="zh-CN"/>
              </w:rPr>
              <w:t>部分</w:t>
            </w:r>
          </w:p>
          <w:p w14:paraId="34F80CE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满分</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c>
          <w:tcPr>
            <w:tcW w:w="6270" w:type="dxa"/>
            <w:tcBorders>
              <w:top w:val="single" w:color="000000" w:sz="4" w:space="0"/>
              <w:left w:val="single" w:color="000000" w:sz="4" w:space="0"/>
              <w:bottom w:val="single" w:color="000000" w:sz="4" w:space="0"/>
              <w:right w:val="single" w:color="000000" w:sz="4" w:space="0"/>
            </w:tcBorders>
            <w:noWrap w:val="0"/>
            <w:vAlign w:val="top"/>
          </w:tcPr>
          <w:p w14:paraId="019E1A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（1）评标价为投标人的投标报价进行政策性扣除后的价格，评标价只是作为评标时使用。最终中标供应商的中标金额＝投标报价。</w:t>
            </w:r>
          </w:p>
          <w:p w14:paraId="5A30B1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（2）按照《政府采购促进中小企业发展管理办法》（财库〔2020〕46号）的规定，投标人在其投标文件中提供《中小企业声明函》，且其所投标产品全部为小型或者微型企业产品的，对其最后报价给予10%的扣除。</w:t>
            </w:r>
          </w:p>
          <w:p w14:paraId="5CA519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A925F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6024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（5）政策性扣除计算方法。</w:t>
            </w:r>
          </w:p>
          <w:p w14:paraId="7E6C3C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货物采购项目中，供应商所投标全部货物由小型或者微型企业制造；在工程采购项目中，工程由小微企业承建；在服务采购项目中，服务由小微企业承接。对符合上述要求的投标人的投标报价给予10%的扣除，扣除后的价格为评标报价，即评标报价=投标报价×10%。除上述情况外，评标报价=投标报价。</w:t>
            </w:r>
          </w:p>
          <w:p w14:paraId="10D263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（6）以进入综合评分环节的最低的评标报价为基准价，基准价报价得分为30分。</w:t>
            </w:r>
          </w:p>
          <w:p w14:paraId="29863E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（7）价格分计算公式：某投标人价格分=基准价/某投标人评标报价金额×30分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A11D295">
            <w:pPr>
              <w:keepNext w:val="0"/>
              <w:keepLines w:val="0"/>
              <w:pageBreakBefore w:val="0"/>
              <w:widowControl/>
              <w:suppressLineNumbers w:val="0"/>
              <w:kinsoku/>
              <w:wordWrap/>
              <w:overflowPunct/>
              <w:topLinePunct w:val="0"/>
              <w:autoSpaceDE/>
              <w:autoSpaceDN/>
              <w:bidi w:val="0"/>
              <w:snapToGrid/>
              <w:spacing w:line="400" w:lineRule="exact"/>
              <w:jc w:val="center"/>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30</w:t>
            </w:r>
            <w:r>
              <w:rPr>
                <w:rFonts w:hint="eastAsia" w:ascii="宋体" w:hAnsi="宋体" w:eastAsia="宋体" w:cs="宋体"/>
                <w:b/>
                <w:color w:val="auto"/>
                <w:sz w:val="21"/>
                <w:szCs w:val="21"/>
                <w:highlight w:val="none"/>
              </w:rPr>
              <w:t>分</w:t>
            </w:r>
          </w:p>
        </w:tc>
      </w:tr>
      <w:tr w14:paraId="6631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04" w:type="dxa"/>
            <w:tcBorders>
              <w:top w:val="single" w:color="000000" w:sz="4" w:space="0"/>
              <w:left w:val="single" w:color="000000" w:sz="4" w:space="0"/>
              <w:bottom w:val="single" w:color="auto" w:sz="4" w:space="0"/>
              <w:right w:val="single" w:color="000000" w:sz="4" w:space="0"/>
            </w:tcBorders>
            <w:noWrap w:val="0"/>
            <w:vAlign w:val="center"/>
          </w:tcPr>
          <w:p w14:paraId="6E0B802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59D6503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技术部分</w:t>
            </w:r>
          </w:p>
        </w:tc>
        <w:tc>
          <w:tcPr>
            <w:tcW w:w="7165" w:type="dxa"/>
            <w:gridSpan w:val="2"/>
            <w:tcBorders>
              <w:top w:val="single" w:color="000000" w:sz="4" w:space="0"/>
              <w:left w:val="single" w:color="000000" w:sz="4" w:space="0"/>
              <w:bottom w:val="single" w:color="000000" w:sz="4" w:space="0"/>
              <w:right w:val="single" w:color="000000" w:sz="4" w:space="0"/>
            </w:tcBorders>
            <w:noWrap w:val="0"/>
            <w:vAlign w:val="top"/>
          </w:tcPr>
          <w:p w14:paraId="35D618E7">
            <w:pPr>
              <w:keepNext w:val="0"/>
              <w:keepLines w:val="0"/>
              <w:pageBreakBefore w:val="0"/>
              <w:widowControl/>
              <w:suppressLineNumbers w:val="0"/>
              <w:kinsoku/>
              <w:wordWrap/>
              <w:overflowPunct/>
              <w:topLinePunct w:val="0"/>
              <w:autoSpaceDE/>
              <w:autoSpaceDN/>
              <w:bidi w:val="0"/>
              <w:snapToGrid/>
              <w:spacing w:line="400" w:lineRule="exact"/>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color w:val="auto"/>
                <w:sz w:val="21"/>
                <w:szCs w:val="21"/>
                <w:highlight w:val="none"/>
              </w:rPr>
              <w:t>评分标准</w:t>
            </w:r>
          </w:p>
        </w:tc>
      </w:tr>
      <w:tr w14:paraId="680E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vMerge w:val="restart"/>
            <w:tcBorders>
              <w:top w:val="single" w:color="auto" w:sz="4" w:space="0"/>
              <w:left w:val="single" w:color="auto" w:sz="4" w:space="0"/>
              <w:bottom w:val="single" w:color="auto" w:sz="4" w:space="0"/>
              <w:right w:val="single" w:color="auto" w:sz="4" w:space="0"/>
            </w:tcBorders>
            <w:noWrap w:val="0"/>
            <w:vAlign w:val="center"/>
          </w:tcPr>
          <w:p w14:paraId="6C0D4A4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2.1</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0C059B1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color w:val="auto"/>
                <w:highlight w:val="none"/>
                <w:lang w:val="en-US" w:eastAsia="zh-CN"/>
              </w:rPr>
              <w:t>项目</w:t>
            </w:r>
            <w:r>
              <w:rPr>
                <w:rFonts w:hint="eastAsia" w:ascii="宋体" w:hAnsi="宋体" w:eastAsia="宋体" w:cs="宋体"/>
                <w:b/>
                <w:color w:val="auto"/>
                <w:highlight w:val="none"/>
              </w:rPr>
              <w:t>方案</w:t>
            </w:r>
            <w:r>
              <w:rPr>
                <w:rFonts w:hint="eastAsia" w:ascii="宋体" w:hAnsi="宋体" w:eastAsia="宋体" w:cs="宋体"/>
                <w:b/>
                <w:bCs/>
                <w:i w:val="0"/>
                <w:iCs w:val="0"/>
                <w:color w:val="auto"/>
                <w:kern w:val="0"/>
                <w:sz w:val="21"/>
                <w:szCs w:val="21"/>
                <w:highlight w:val="none"/>
                <w:u w:val="none"/>
                <w:lang w:val="en-US" w:eastAsia="zh-CN" w:bidi="ar"/>
              </w:rPr>
              <w:t>（满分40分）</w:t>
            </w:r>
          </w:p>
        </w:tc>
        <w:tc>
          <w:tcPr>
            <w:tcW w:w="6270" w:type="dxa"/>
            <w:tcBorders>
              <w:top w:val="single" w:color="auto" w:sz="4" w:space="0"/>
              <w:left w:val="single" w:color="auto" w:sz="4" w:space="0"/>
              <w:bottom w:val="single" w:color="auto" w:sz="4" w:space="0"/>
              <w:right w:val="single" w:color="auto" w:sz="4" w:space="0"/>
            </w:tcBorders>
            <w:noWrap w:val="0"/>
            <w:vAlign w:val="center"/>
          </w:tcPr>
          <w:p w14:paraId="7071767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一档（20 分）：提供会场布置策划设计方案，满足基础需求具备简单的策划思路、主题及项目规划等内容。</w:t>
            </w:r>
          </w:p>
        </w:tc>
        <w:tc>
          <w:tcPr>
            <w:tcW w:w="895" w:type="dxa"/>
            <w:vMerge w:val="restart"/>
            <w:tcBorders>
              <w:top w:val="single" w:color="000000" w:sz="4" w:space="0"/>
              <w:left w:val="single" w:color="auto" w:sz="4" w:space="0"/>
              <w:right w:val="single" w:color="000000" w:sz="4" w:space="0"/>
            </w:tcBorders>
            <w:noWrap/>
            <w:vAlign w:val="center"/>
          </w:tcPr>
          <w:p w14:paraId="66A6734A">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40分</w:t>
            </w:r>
          </w:p>
        </w:tc>
      </w:tr>
      <w:tr w14:paraId="3AAC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138A5985">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40FD909">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6270" w:type="dxa"/>
            <w:tcBorders>
              <w:top w:val="single" w:color="auto" w:sz="4" w:space="0"/>
              <w:left w:val="single" w:color="auto" w:sz="4" w:space="0"/>
              <w:bottom w:val="single" w:color="auto" w:sz="4" w:space="0"/>
              <w:right w:val="single" w:color="auto" w:sz="4" w:space="0"/>
            </w:tcBorders>
            <w:noWrap w:val="0"/>
            <w:vAlign w:val="center"/>
          </w:tcPr>
          <w:p w14:paraId="3E17ACFC">
            <w:pPr>
              <w:keepNext w:val="0"/>
              <w:keepLines w:val="0"/>
              <w:pageBreakBefore w:val="0"/>
              <w:widowControl/>
              <w:suppressLineNumbers w:val="0"/>
              <w:kinsoku/>
              <w:wordWrap/>
              <w:overflowPunct/>
              <w:topLinePunct w:val="0"/>
              <w:autoSpaceDE/>
              <w:autoSpaceDN/>
              <w:bidi w:val="0"/>
              <w:snapToGrid/>
              <w:spacing w:line="240"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二档（30分）：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提供会场布置策划设计方案、应急方案。</w:t>
            </w:r>
            <w:r>
              <w:rPr>
                <w:rFonts w:hint="eastAsia" w:asciiTheme="minorEastAsia" w:hAnsiTheme="minorEastAsia" w:eastAsiaTheme="minorEastAsia" w:cstheme="minorEastAsia"/>
                <w:color w:val="auto"/>
                <w:sz w:val="21"/>
                <w:szCs w:val="21"/>
                <w:highlight w:val="none"/>
              </w:rPr>
              <w:t>对项目需求分析较为全面，能精准识别项目核心目标；策划思路完整，主题定位明确，展区划分合理且有逻辑，包含具体的</w:t>
            </w:r>
            <w:r>
              <w:rPr>
                <w:rFonts w:hint="eastAsia" w:asciiTheme="minorEastAsia" w:hAnsiTheme="minorEastAsia" w:eastAsiaTheme="minorEastAsia" w:cstheme="minorEastAsia"/>
                <w:color w:val="auto"/>
                <w:sz w:val="21"/>
                <w:szCs w:val="21"/>
                <w:highlight w:val="none"/>
                <w:lang w:eastAsia="zh-CN"/>
              </w:rPr>
              <w:t>布置</w:t>
            </w:r>
            <w:r>
              <w:rPr>
                <w:rFonts w:hint="eastAsia" w:asciiTheme="minorEastAsia" w:hAnsiTheme="minorEastAsia" w:eastAsiaTheme="minorEastAsia" w:cstheme="minorEastAsia"/>
                <w:color w:val="auto"/>
                <w:sz w:val="21"/>
                <w:szCs w:val="21"/>
                <w:highlight w:val="none"/>
              </w:rPr>
              <w:t>细节；设计方案基本符合项目要求，能体现 “贴合主题” 的设计风格，可操作性较强</w:t>
            </w:r>
            <w:r>
              <w:rPr>
                <w:rFonts w:hint="eastAsia" w:asciiTheme="minorEastAsia" w:hAnsiTheme="minorEastAsia" w:eastAsiaTheme="minorEastAsia" w:cstheme="minorEastAsia"/>
                <w:color w:val="auto"/>
                <w:sz w:val="21"/>
                <w:szCs w:val="21"/>
                <w:highlight w:val="none"/>
                <w:lang w:eastAsia="zh-CN"/>
              </w:rPr>
              <w:t>。</w:t>
            </w:r>
          </w:p>
        </w:tc>
        <w:tc>
          <w:tcPr>
            <w:tcW w:w="895" w:type="dxa"/>
            <w:vMerge w:val="continue"/>
            <w:tcBorders>
              <w:left w:val="single" w:color="auto" w:sz="4" w:space="0"/>
              <w:right w:val="single" w:color="000000" w:sz="4" w:space="0"/>
            </w:tcBorders>
            <w:noWrap/>
            <w:vAlign w:val="center"/>
          </w:tcPr>
          <w:p w14:paraId="71FBDE90">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iCs w:val="0"/>
                <w:color w:val="auto"/>
                <w:sz w:val="21"/>
                <w:szCs w:val="21"/>
                <w:highlight w:val="none"/>
                <w:u w:val="none"/>
              </w:rPr>
            </w:pPr>
          </w:p>
        </w:tc>
      </w:tr>
      <w:tr w14:paraId="146E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3B5EEA9F">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544ED1F">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6270" w:type="dxa"/>
            <w:tcBorders>
              <w:top w:val="single" w:color="auto" w:sz="4" w:space="0"/>
              <w:left w:val="single" w:color="auto" w:sz="4" w:space="0"/>
              <w:bottom w:val="single" w:color="auto" w:sz="4" w:space="0"/>
              <w:right w:val="single" w:color="auto" w:sz="4" w:space="0"/>
            </w:tcBorders>
            <w:noWrap w:val="0"/>
            <w:vAlign w:val="center"/>
          </w:tcPr>
          <w:p w14:paraId="2993DA07">
            <w:pPr>
              <w:rPr>
                <w:rFonts w:hint="eastAsia" w:eastAsia="宋体"/>
                <w:color w:val="auto"/>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三档（40分）</w:t>
            </w:r>
            <w:r>
              <w:rPr>
                <w:rFonts w:hint="eastAsia"/>
                <w:color w:val="auto"/>
                <w:sz w:val="21"/>
                <w:szCs w:val="21"/>
                <w:highlight w:val="none"/>
              </w:rPr>
              <w:t>提供</w:t>
            </w:r>
            <w:r>
              <w:rPr>
                <w:rFonts w:hint="eastAsia"/>
                <w:color w:val="auto"/>
                <w:sz w:val="21"/>
                <w:szCs w:val="21"/>
                <w:highlight w:val="none"/>
                <w:lang w:val="en-US" w:eastAsia="zh-CN"/>
              </w:rPr>
              <w:t>会场布置</w:t>
            </w:r>
            <w:r>
              <w:rPr>
                <w:rFonts w:hint="eastAsia"/>
                <w:color w:val="auto"/>
                <w:sz w:val="21"/>
                <w:szCs w:val="21"/>
                <w:highlight w:val="none"/>
              </w:rPr>
              <w:t>策划设计方案</w:t>
            </w:r>
            <w:r>
              <w:rPr>
                <w:rFonts w:hint="eastAsia"/>
                <w:color w:val="auto"/>
                <w:sz w:val="21"/>
                <w:szCs w:val="21"/>
                <w:highlight w:val="none"/>
                <w:lang w:eastAsia="zh-CN"/>
              </w:rPr>
              <w:t>、</w:t>
            </w:r>
            <w:r>
              <w:rPr>
                <w:rFonts w:hint="eastAsia"/>
                <w:color w:val="auto"/>
                <w:sz w:val="21"/>
                <w:szCs w:val="21"/>
                <w:highlight w:val="none"/>
              </w:rPr>
              <w:t>应急方案</w:t>
            </w:r>
            <w:r>
              <w:rPr>
                <w:rFonts w:hint="eastAsia"/>
                <w:color w:val="auto"/>
                <w:sz w:val="21"/>
                <w:szCs w:val="21"/>
                <w:highlight w:val="none"/>
                <w:lang w:eastAsia="zh-CN"/>
              </w:rPr>
              <w:t>、</w:t>
            </w:r>
            <w:r>
              <w:rPr>
                <w:rFonts w:hint="eastAsia"/>
                <w:color w:val="auto"/>
                <w:sz w:val="21"/>
                <w:szCs w:val="21"/>
                <w:highlight w:val="none"/>
              </w:rPr>
              <w:t>服务方案，全面满足并优化需求</w:t>
            </w:r>
            <w:r>
              <w:rPr>
                <w:rFonts w:hint="eastAsia"/>
                <w:color w:val="auto"/>
                <w:sz w:val="21"/>
                <w:szCs w:val="21"/>
                <w:highlight w:val="none"/>
                <w:lang w:eastAsia="zh-CN"/>
              </w:rPr>
              <w:t>。对项目需求分析深刻且具延展性，能挖掘项目潜在价值；策划思路新颖独到，主题突出且有创新性，内容完整覆盖 “前期筹备 - 现场执行 - 后期撤展” 全流程；</w:t>
            </w:r>
            <w:r>
              <w:rPr>
                <w:rFonts w:hint="eastAsia"/>
                <w:color w:val="auto"/>
                <w:sz w:val="21"/>
                <w:szCs w:val="21"/>
                <w:highlight w:val="none"/>
                <w:lang w:val="en-US" w:eastAsia="zh-CN"/>
              </w:rPr>
              <w:t>布置</w:t>
            </w:r>
            <w:r>
              <w:rPr>
                <w:rFonts w:hint="eastAsia"/>
                <w:color w:val="auto"/>
                <w:sz w:val="21"/>
                <w:szCs w:val="21"/>
                <w:highlight w:val="none"/>
                <w:lang w:eastAsia="zh-CN"/>
              </w:rPr>
              <w:t>效果设计大气庄重，细节深化到位，能直接支撑 “实现采购方预期效果”。风险识别全面精准，覆盖 “布置筹备 - 现场执行 - 撤展” 全阶段的常见风险及低概率高影响风险；应急措施高效可行，包含 “风险预警 - 快速响应 - 善后处理” 全流程；附应急演练计划及责任到人清单，可直接落地执行，最大程度降低项目风险损失。覆盖项目全周期服务需求；服务流程完善，服务标准明确；服务方案贴合采购方实际需求，能提供增值服务。</w:t>
            </w:r>
          </w:p>
          <w:p w14:paraId="7B0065BF">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kern w:val="0"/>
                <w:sz w:val="21"/>
                <w:szCs w:val="21"/>
                <w:highlight w:val="none"/>
                <w:u w:val="none"/>
                <w:lang w:val="en-US" w:eastAsia="zh-CN" w:bidi="ar"/>
              </w:rPr>
            </w:pPr>
          </w:p>
        </w:tc>
        <w:tc>
          <w:tcPr>
            <w:tcW w:w="895" w:type="dxa"/>
            <w:vMerge w:val="continue"/>
            <w:tcBorders>
              <w:left w:val="single" w:color="auto" w:sz="4" w:space="0"/>
              <w:bottom w:val="single" w:color="auto" w:sz="4" w:space="0"/>
              <w:right w:val="single" w:color="000000" w:sz="4" w:space="0"/>
            </w:tcBorders>
            <w:noWrap/>
            <w:vAlign w:val="center"/>
          </w:tcPr>
          <w:p w14:paraId="6B52018B">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iCs w:val="0"/>
                <w:color w:val="auto"/>
                <w:sz w:val="21"/>
                <w:szCs w:val="21"/>
                <w:highlight w:val="none"/>
                <w:u w:val="none"/>
              </w:rPr>
            </w:pPr>
          </w:p>
        </w:tc>
      </w:tr>
      <w:tr w14:paraId="1414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206CBB2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2.2</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8C55AC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实施人员分（满分10分）</w:t>
            </w:r>
          </w:p>
        </w:tc>
        <w:tc>
          <w:tcPr>
            <w:tcW w:w="6270" w:type="dxa"/>
            <w:tcBorders>
              <w:top w:val="single" w:color="auto" w:sz="4" w:space="0"/>
              <w:left w:val="single" w:color="auto" w:sz="4" w:space="0"/>
              <w:bottom w:val="single" w:color="000000" w:sz="4" w:space="0"/>
              <w:right w:val="single" w:color="000000" w:sz="4" w:space="0"/>
            </w:tcBorders>
            <w:noWrap w:val="0"/>
            <w:vAlign w:val="center"/>
          </w:tcPr>
          <w:p w14:paraId="7BC3A89E">
            <w:pPr>
              <w:keepNext w:val="0"/>
              <w:keepLines w:val="0"/>
              <w:pageBreakBefore w:val="0"/>
              <w:widowControl/>
              <w:suppressLineNumbers w:val="0"/>
              <w:kinsoku/>
              <w:wordWrap/>
              <w:overflowPunct/>
              <w:topLinePunct w:val="0"/>
              <w:autoSpaceDE/>
              <w:autoSpaceDN/>
              <w:bidi w:val="0"/>
              <w:snapToGrid/>
              <w:spacing w:line="240" w:lineRule="auto"/>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一档（</w:t>
            </w:r>
            <w:r>
              <w:rPr>
                <w:rFonts w:hint="eastAsia" w:ascii="宋体" w:hAnsi="宋体" w:eastAsia="宋体" w:cs="宋体"/>
                <w:i w:val="0"/>
                <w:iCs w:val="0"/>
                <w:color w:val="auto"/>
                <w:sz w:val="21"/>
                <w:szCs w:val="21"/>
                <w:highlight w:val="none"/>
                <w:u w:val="none"/>
                <w:lang w:eastAsia="zh-CN"/>
              </w:rPr>
              <w:t>4</w:t>
            </w:r>
            <w:r>
              <w:rPr>
                <w:rFonts w:hint="eastAsia" w:ascii="宋体" w:hAnsi="宋体" w:eastAsia="宋体" w:cs="宋体"/>
                <w:i w:val="0"/>
                <w:iCs w:val="0"/>
                <w:color w:val="auto"/>
                <w:sz w:val="21"/>
                <w:szCs w:val="21"/>
                <w:highlight w:val="none"/>
                <w:u w:val="none"/>
              </w:rPr>
              <w:t>分）：供应商针对本项目，配备有实施团队</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少部分人员拥有相关活动经验。</w:t>
            </w:r>
            <w:r>
              <w:rPr>
                <w:rFonts w:hint="eastAsia" w:ascii="宋体" w:hAnsi="宋体" w:eastAsia="宋体" w:cs="宋体"/>
                <w:i w:val="0"/>
                <w:iCs w:val="0"/>
                <w:color w:val="auto"/>
                <w:sz w:val="21"/>
                <w:szCs w:val="21"/>
                <w:highlight w:val="none"/>
                <w:u w:val="none"/>
              </w:rPr>
              <w:t>（拟投入本项目服务人员</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人</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且具有同类型项目执行相关履历的人员占总人数40%-60%的，得4分</w:t>
            </w:r>
            <w:r>
              <w:rPr>
                <w:rFonts w:hint="eastAsia" w:ascii="宋体" w:hAnsi="宋体" w:eastAsia="宋体" w:cs="宋体"/>
                <w:i w:val="0"/>
                <w:iCs w:val="0"/>
                <w:color w:val="auto"/>
                <w:sz w:val="21"/>
                <w:szCs w:val="21"/>
                <w:highlight w:val="none"/>
                <w:u w:val="none"/>
              </w:rPr>
              <w:t>）。</w:t>
            </w:r>
          </w:p>
          <w:p w14:paraId="19B79D7E">
            <w:pPr>
              <w:keepNext w:val="0"/>
              <w:keepLines w:val="0"/>
              <w:pageBreakBefore w:val="0"/>
              <w:widowControl/>
              <w:suppressLineNumbers w:val="0"/>
              <w:kinsoku/>
              <w:wordWrap/>
              <w:overflowPunct/>
              <w:topLinePunct w:val="0"/>
              <w:autoSpaceDE/>
              <w:autoSpaceDN/>
              <w:bidi w:val="0"/>
              <w:snapToGrid/>
              <w:spacing w:line="240" w:lineRule="auto"/>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二档（</w:t>
            </w:r>
            <w:r>
              <w:rPr>
                <w:rFonts w:hint="eastAsia" w:ascii="宋体" w:hAnsi="宋体" w:eastAsia="宋体" w:cs="宋体"/>
                <w:i w:val="0"/>
                <w:iCs w:val="0"/>
                <w:color w:val="auto"/>
                <w:sz w:val="21"/>
                <w:szCs w:val="21"/>
                <w:highlight w:val="none"/>
                <w:u w:val="none"/>
                <w:lang w:eastAsia="zh-CN"/>
              </w:rPr>
              <w:t>7</w:t>
            </w:r>
            <w:r>
              <w:rPr>
                <w:rFonts w:hint="eastAsia" w:ascii="宋体" w:hAnsi="宋体" w:eastAsia="宋体" w:cs="宋体"/>
                <w:i w:val="0"/>
                <w:iCs w:val="0"/>
                <w:color w:val="auto"/>
                <w:sz w:val="21"/>
                <w:szCs w:val="21"/>
                <w:highlight w:val="none"/>
                <w:u w:val="none"/>
              </w:rPr>
              <w:t>分）：供应商针对本项目，配备的实施团队人员分工基本明确</w:t>
            </w:r>
            <w:r>
              <w:rPr>
                <w:rFonts w:hint="eastAsia" w:ascii="宋体" w:hAnsi="宋体" w:eastAsia="宋体" w:cs="宋体"/>
                <w:i w:val="0"/>
                <w:iCs w:val="0"/>
                <w:color w:val="auto"/>
                <w:sz w:val="21"/>
                <w:szCs w:val="21"/>
                <w:highlight w:val="none"/>
                <w:u w:val="none"/>
                <w:lang w:val="en-US" w:eastAsia="zh-CN"/>
              </w:rPr>
              <w:t>，半数以上人员拥有相关活动经验。</w:t>
            </w:r>
            <w:r>
              <w:rPr>
                <w:rFonts w:hint="eastAsia" w:ascii="宋体" w:hAnsi="宋体" w:eastAsia="宋体" w:cs="宋体"/>
                <w:i w:val="0"/>
                <w:iCs w:val="0"/>
                <w:color w:val="auto"/>
                <w:sz w:val="21"/>
                <w:szCs w:val="21"/>
                <w:highlight w:val="none"/>
                <w:u w:val="none"/>
              </w:rPr>
              <w:t>（拟投入本项目服务人员≥</w:t>
            </w:r>
            <w:r>
              <w:rPr>
                <w:rFonts w:hint="eastAsia" w:ascii="宋体" w:hAnsi="宋体" w:eastAsia="宋体" w:cs="宋体"/>
                <w:i w:val="0"/>
                <w:iCs w:val="0"/>
                <w:color w:val="auto"/>
                <w:sz w:val="21"/>
                <w:szCs w:val="21"/>
                <w:highlight w:val="none"/>
                <w:u w:val="none"/>
                <w:lang w:val="en-US" w:eastAsia="zh-CN"/>
              </w:rPr>
              <w:t>8</w:t>
            </w:r>
            <w:r>
              <w:rPr>
                <w:rFonts w:hint="eastAsia" w:ascii="宋体" w:hAnsi="宋体" w:eastAsia="宋体" w:cs="宋体"/>
                <w:i w:val="0"/>
                <w:iCs w:val="0"/>
                <w:color w:val="auto"/>
                <w:sz w:val="21"/>
                <w:szCs w:val="21"/>
                <w:highlight w:val="none"/>
                <w:u w:val="none"/>
              </w:rPr>
              <w:t>人</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且具有同类型项目执行相关履历的人员占总人数61%-80%的，得7分</w:t>
            </w:r>
            <w:r>
              <w:rPr>
                <w:rFonts w:hint="eastAsia" w:ascii="宋体" w:hAnsi="宋体" w:eastAsia="宋体" w:cs="宋体"/>
                <w:i w:val="0"/>
                <w:iCs w:val="0"/>
                <w:color w:val="auto"/>
                <w:sz w:val="21"/>
                <w:szCs w:val="21"/>
                <w:highlight w:val="none"/>
                <w:u w:val="none"/>
              </w:rPr>
              <w:t>）。</w:t>
            </w:r>
          </w:p>
          <w:p w14:paraId="180A7993">
            <w:pPr>
              <w:rPr>
                <w:color w:val="auto"/>
                <w:highlight w:val="none"/>
              </w:rPr>
            </w:pPr>
            <w:r>
              <w:rPr>
                <w:rFonts w:hint="eastAsia" w:ascii="宋体" w:hAnsi="宋体" w:eastAsia="宋体" w:cs="宋体"/>
                <w:i w:val="0"/>
                <w:iCs w:val="0"/>
                <w:color w:val="auto"/>
                <w:sz w:val="21"/>
                <w:szCs w:val="21"/>
                <w:highlight w:val="none"/>
                <w:u w:val="none"/>
              </w:rPr>
              <w:t>三档（10分）：供应商针对本项目，配备专业的实施团队，团队人员分工明确</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人员充足</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（拟投入本项目服务人员≥</w:t>
            </w:r>
            <w:r>
              <w:rPr>
                <w:rFonts w:hint="eastAsia" w:ascii="宋体" w:hAnsi="宋体" w:eastAsia="宋体" w:cs="宋体"/>
                <w:i w:val="0"/>
                <w:iCs w:val="0"/>
                <w:color w:val="auto"/>
                <w:sz w:val="21"/>
                <w:szCs w:val="21"/>
                <w:highlight w:val="none"/>
                <w:u w:val="none"/>
                <w:lang w:val="en-US" w:eastAsia="zh-CN"/>
              </w:rPr>
              <w:t>10</w:t>
            </w:r>
            <w:r>
              <w:rPr>
                <w:rFonts w:hint="eastAsia" w:ascii="宋体" w:hAnsi="宋体" w:eastAsia="宋体" w:cs="宋体"/>
                <w:i w:val="0"/>
                <w:iCs w:val="0"/>
                <w:color w:val="auto"/>
                <w:sz w:val="21"/>
                <w:szCs w:val="21"/>
                <w:highlight w:val="none"/>
                <w:u w:val="none"/>
              </w:rPr>
              <w:t>人</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且所有项目人员拥有丰富活动经验、相关项目履历的，得10分</w:t>
            </w:r>
            <w:r>
              <w:rPr>
                <w:rFonts w:hint="eastAsia" w:ascii="宋体" w:hAnsi="宋体" w:eastAsia="宋体" w:cs="宋体"/>
                <w:i w:val="0"/>
                <w:iCs w:val="0"/>
                <w:color w:val="auto"/>
                <w:sz w:val="21"/>
                <w:szCs w:val="21"/>
                <w:highlight w:val="none"/>
                <w:u w:val="none"/>
              </w:rPr>
              <w:t>）。</w:t>
            </w:r>
          </w:p>
          <w:p w14:paraId="5CCBDF9F">
            <w:pPr>
              <w:rPr>
                <w:color w:val="auto"/>
                <w:highlight w:val="none"/>
              </w:rPr>
            </w:pPr>
          </w:p>
          <w:p w14:paraId="17F8A1C4">
            <w:pPr>
              <w:rPr>
                <w:color w:val="auto"/>
                <w:highlight w:val="none"/>
              </w:rPr>
            </w:pPr>
          </w:p>
          <w:p w14:paraId="4E23975B">
            <w:pPr>
              <w:keepNext w:val="0"/>
              <w:keepLines w:val="0"/>
              <w:pageBreakBefore w:val="0"/>
              <w:widowControl/>
              <w:suppressLineNumbers w:val="0"/>
              <w:kinsoku/>
              <w:wordWrap/>
              <w:overflowPunct/>
              <w:topLinePunct w:val="0"/>
              <w:autoSpaceDE/>
              <w:autoSpaceDN/>
              <w:bidi w:val="0"/>
              <w:snapToGrid/>
              <w:spacing w:line="240" w:lineRule="auto"/>
              <w:jc w:val="left"/>
              <w:textAlignment w:val="auto"/>
              <w:rPr>
                <w:rFonts w:hint="eastAsia" w:ascii="宋体" w:hAnsi="宋体" w:eastAsia="宋体" w:cs="宋体"/>
                <w:i w:val="0"/>
                <w:iCs w:val="0"/>
                <w:color w:val="auto"/>
                <w:sz w:val="21"/>
                <w:szCs w:val="21"/>
                <w:highlight w:val="none"/>
                <w:u w:val="none"/>
                <w:lang w:eastAsia="zh-CN"/>
              </w:rPr>
            </w:pPr>
          </w:p>
        </w:tc>
        <w:tc>
          <w:tcPr>
            <w:tcW w:w="895" w:type="dxa"/>
            <w:tcBorders>
              <w:top w:val="single" w:color="auto" w:sz="4" w:space="0"/>
              <w:left w:val="single" w:color="000000" w:sz="4" w:space="0"/>
              <w:bottom w:val="single" w:color="000000" w:sz="4" w:space="0"/>
              <w:right w:val="single" w:color="000000" w:sz="4" w:space="0"/>
            </w:tcBorders>
            <w:noWrap/>
            <w:vAlign w:val="center"/>
          </w:tcPr>
          <w:p w14:paraId="46EE773D">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10</w:t>
            </w:r>
            <w:r>
              <w:rPr>
                <w:rFonts w:hint="eastAsia" w:ascii="宋体" w:hAnsi="宋体" w:eastAsia="宋体" w:cs="宋体"/>
                <w:b/>
                <w:bCs/>
                <w:color w:val="auto"/>
                <w:sz w:val="21"/>
                <w:szCs w:val="21"/>
                <w:highlight w:val="none"/>
              </w:rPr>
              <w:t>分</w:t>
            </w:r>
          </w:p>
        </w:tc>
      </w:tr>
      <w:tr w14:paraId="37FF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4" w:type="dxa"/>
            <w:tcBorders>
              <w:top w:val="single" w:color="auto" w:sz="4" w:space="0"/>
            </w:tcBorders>
            <w:noWrap w:val="0"/>
            <w:vAlign w:val="center"/>
          </w:tcPr>
          <w:p w14:paraId="6076FB5E">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477" w:type="dxa"/>
            <w:tcBorders>
              <w:top w:val="single" w:color="auto" w:sz="4" w:space="0"/>
            </w:tcBorders>
            <w:noWrap w:val="0"/>
            <w:vAlign w:val="center"/>
          </w:tcPr>
          <w:p w14:paraId="33EBAAC0">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商务</w:t>
            </w:r>
            <w:r>
              <w:rPr>
                <w:rFonts w:hint="eastAsia" w:ascii="宋体" w:hAnsi="宋体" w:eastAsia="宋体" w:cs="宋体"/>
                <w:b/>
                <w:bCs/>
                <w:color w:val="auto"/>
                <w:sz w:val="21"/>
                <w:szCs w:val="21"/>
                <w:highlight w:val="none"/>
                <w:lang w:eastAsia="zh-CN"/>
              </w:rPr>
              <w:t>部分</w:t>
            </w:r>
          </w:p>
        </w:tc>
        <w:tc>
          <w:tcPr>
            <w:tcW w:w="7165" w:type="dxa"/>
            <w:gridSpan w:val="2"/>
            <w:noWrap w:val="0"/>
            <w:vAlign w:val="center"/>
          </w:tcPr>
          <w:p w14:paraId="11C4A231">
            <w:pPr>
              <w:keepNext w:val="0"/>
              <w:keepLines w:val="0"/>
              <w:pageBreakBefore w:val="0"/>
              <w:widowControl/>
              <w:kinsoku/>
              <w:wordWrap/>
              <w:overflowPunct/>
              <w:topLinePunct w:val="0"/>
              <w:autoSpaceDE/>
              <w:autoSpaceDN/>
              <w:bidi w:val="0"/>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评分标准</w:t>
            </w:r>
          </w:p>
        </w:tc>
      </w:tr>
      <w:tr w14:paraId="18C2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4" w:type="dxa"/>
            <w:noWrap w:val="0"/>
            <w:vAlign w:val="center"/>
          </w:tcPr>
          <w:p w14:paraId="75DD81F7">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w:t>
            </w:r>
          </w:p>
        </w:tc>
        <w:tc>
          <w:tcPr>
            <w:tcW w:w="1477" w:type="dxa"/>
            <w:noWrap w:val="0"/>
            <w:vAlign w:val="center"/>
          </w:tcPr>
          <w:p w14:paraId="371200B9">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业绩分（满分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c>
          <w:tcPr>
            <w:tcW w:w="6270" w:type="dxa"/>
            <w:shd w:val="clear" w:color="auto" w:fill="auto"/>
            <w:noWrap w:val="0"/>
            <w:vAlign w:val="top"/>
          </w:tcPr>
          <w:p w14:paraId="0C4C68AD">
            <w:pPr>
              <w:spacing w:line="240" w:lineRule="auto"/>
              <w:rPr>
                <w:rFonts w:hint="eastAsia"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rPr>
              <w:t>20</w:t>
            </w:r>
            <w:r>
              <w:rPr>
                <w:rFonts w:hint="eastAsia" w:asciiTheme="minorEastAsia" w:hAnsiTheme="minorEastAsia" w:eastAsiaTheme="minorEastAsia" w:cstheme="minorEastAsia"/>
                <w:color w:val="auto"/>
                <w:spacing w:val="10"/>
                <w:sz w:val="21"/>
                <w:szCs w:val="21"/>
                <w:highlight w:val="none"/>
                <w:lang w:eastAsia="zh-CN"/>
              </w:rPr>
              <w:t>2</w:t>
            </w:r>
            <w:r>
              <w:rPr>
                <w:rFonts w:hint="eastAsia" w:asciiTheme="minorEastAsia" w:hAnsiTheme="minorEastAsia" w:eastAsiaTheme="minorEastAsia" w:cstheme="minorEastAsia"/>
                <w:color w:val="auto"/>
                <w:spacing w:val="10"/>
                <w:sz w:val="21"/>
                <w:szCs w:val="21"/>
                <w:highlight w:val="none"/>
                <w:lang w:val="en-US" w:eastAsia="zh-CN"/>
              </w:rPr>
              <w:t>2</w:t>
            </w:r>
            <w:r>
              <w:rPr>
                <w:rFonts w:hint="eastAsia" w:asciiTheme="minorEastAsia" w:hAnsiTheme="minorEastAsia" w:eastAsiaTheme="minorEastAsia" w:cstheme="minorEastAsia"/>
                <w:color w:val="auto"/>
                <w:spacing w:val="10"/>
                <w:sz w:val="21"/>
                <w:szCs w:val="21"/>
                <w:highlight w:val="none"/>
              </w:rPr>
              <w:t>年1月1日至响应文件递交截止日期间</w:t>
            </w:r>
            <w:r>
              <w:rPr>
                <w:rFonts w:hint="eastAsia" w:asciiTheme="minorEastAsia" w:hAnsiTheme="minorEastAsia" w:eastAsiaTheme="minorEastAsia" w:cstheme="minorEastAsia"/>
                <w:color w:val="auto"/>
                <w:spacing w:val="10"/>
                <w:sz w:val="21"/>
                <w:szCs w:val="21"/>
                <w:highlight w:val="none"/>
                <w:lang w:val="en-US" w:eastAsia="zh-CN"/>
              </w:rPr>
              <w:t>每</w:t>
            </w:r>
            <w:r>
              <w:rPr>
                <w:rFonts w:hint="eastAsia" w:asciiTheme="minorEastAsia" w:hAnsiTheme="minorEastAsia" w:eastAsiaTheme="minorEastAsia" w:cstheme="minorEastAsia"/>
                <w:color w:val="auto"/>
                <w:spacing w:val="10"/>
                <w:sz w:val="21"/>
                <w:szCs w:val="21"/>
                <w:highlight w:val="none"/>
              </w:rPr>
              <w:t>完成1个国际性</w:t>
            </w:r>
            <w:r>
              <w:rPr>
                <w:rFonts w:hint="eastAsia" w:asciiTheme="minorEastAsia" w:hAnsiTheme="minorEastAsia" w:eastAsiaTheme="minorEastAsia" w:cstheme="minorEastAsia"/>
                <w:color w:val="auto"/>
                <w:spacing w:val="10"/>
                <w:sz w:val="21"/>
                <w:szCs w:val="21"/>
                <w:highlight w:val="none"/>
                <w:lang w:val="en-US" w:eastAsia="zh-CN"/>
              </w:rPr>
              <w:t>会展、会议、论坛、考察等活动</w:t>
            </w:r>
            <w:r>
              <w:rPr>
                <w:rFonts w:hint="eastAsia" w:asciiTheme="minorEastAsia" w:hAnsiTheme="minorEastAsia" w:eastAsiaTheme="minorEastAsia" w:cstheme="minorEastAsia"/>
                <w:color w:val="auto"/>
                <w:spacing w:val="10"/>
                <w:sz w:val="21"/>
                <w:szCs w:val="21"/>
                <w:highlight w:val="none"/>
              </w:rPr>
              <w:t>项目</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的</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会场</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搭建</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或会务</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执行</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服务</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，得 10 分</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eastAsia="zh-CN"/>
              </w:rPr>
              <w:t>，</w:t>
            </w:r>
            <w:r>
              <w:rPr>
                <w:rFonts w:hint="eastAsia" w:asciiTheme="minorEastAsia" w:hAnsiTheme="minorEastAsia" w:eastAsiaTheme="minorEastAsia" w:cstheme="minorEastAsia"/>
                <w:color w:val="auto"/>
                <w:spacing w:val="10"/>
                <w:sz w:val="21"/>
                <w:szCs w:val="21"/>
                <w:highlight w:val="none"/>
              </w:rPr>
              <w:t>最多计</w:t>
            </w:r>
            <w:r>
              <w:rPr>
                <w:rFonts w:hint="eastAsia" w:asciiTheme="minorEastAsia" w:hAnsiTheme="minorEastAsia" w:eastAsiaTheme="minorEastAsia" w:cstheme="minorEastAsia"/>
                <w:color w:val="auto"/>
                <w:spacing w:val="10"/>
                <w:sz w:val="21"/>
                <w:szCs w:val="21"/>
                <w:highlight w:val="none"/>
                <w:lang w:val="en-US" w:eastAsia="zh-CN"/>
              </w:rPr>
              <w:t>2个</w:t>
            </w:r>
            <w:r>
              <w:rPr>
                <w:rFonts w:hint="eastAsia" w:asciiTheme="minorEastAsia" w:hAnsiTheme="minorEastAsia" w:eastAsiaTheme="minorEastAsia" w:cstheme="minorEastAsia"/>
                <w:color w:val="auto"/>
                <w:spacing w:val="10"/>
                <w:sz w:val="21"/>
                <w:szCs w:val="21"/>
                <w:highlight w:val="none"/>
              </w:rPr>
              <w:t>（累计满</w:t>
            </w:r>
            <w:r>
              <w:rPr>
                <w:rFonts w:hint="eastAsia" w:asciiTheme="minorEastAsia" w:hAnsiTheme="minorEastAsia" w:eastAsiaTheme="minorEastAsia" w:cstheme="minorEastAsia"/>
                <w:color w:val="auto"/>
                <w:spacing w:val="10"/>
                <w:sz w:val="21"/>
                <w:szCs w:val="21"/>
                <w:highlight w:val="none"/>
                <w:lang w:val="en-US" w:eastAsia="zh-CN"/>
              </w:rPr>
              <w:t>2</w:t>
            </w:r>
            <w:r>
              <w:rPr>
                <w:rFonts w:hint="eastAsia" w:asciiTheme="minorEastAsia" w:hAnsiTheme="minorEastAsia" w:eastAsiaTheme="minorEastAsia" w:cstheme="minorEastAsia"/>
                <w:color w:val="auto"/>
                <w:spacing w:val="10"/>
                <w:sz w:val="21"/>
                <w:szCs w:val="21"/>
                <w:highlight w:val="none"/>
              </w:rPr>
              <w:t>0分）</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每</w:t>
            </w:r>
            <w:r>
              <w:rPr>
                <w:rFonts w:hint="eastAsia" w:asciiTheme="minorEastAsia" w:hAnsiTheme="minorEastAsia" w:eastAsiaTheme="minorEastAsia" w:cstheme="minorEastAsia"/>
                <w:color w:val="auto"/>
                <w:spacing w:val="10"/>
                <w:sz w:val="21"/>
                <w:szCs w:val="21"/>
                <w:highlight w:val="none"/>
                <w:lang w:val="en-US" w:eastAsia="zh-CN"/>
              </w:rPr>
              <w:t>完成1个国内展览、论坛、会议、考察等活动</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的</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会场</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搭建</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或会务</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执行</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服务，</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 xml:space="preserve">得 </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5</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rPr>
              <w:t xml:space="preserve"> 分</w:t>
            </w: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eastAsia="zh-CN"/>
              </w:rPr>
              <w:t>，</w:t>
            </w:r>
            <w:r>
              <w:rPr>
                <w:rFonts w:hint="eastAsia" w:asciiTheme="minorEastAsia" w:hAnsiTheme="minorEastAsia" w:eastAsiaTheme="minorEastAsia" w:cstheme="minorEastAsia"/>
                <w:color w:val="auto"/>
                <w:spacing w:val="10"/>
                <w:sz w:val="21"/>
                <w:szCs w:val="21"/>
                <w:highlight w:val="none"/>
              </w:rPr>
              <w:t>最多计</w:t>
            </w:r>
            <w:r>
              <w:rPr>
                <w:rFonts w:hint="eastAsia" w:asciiTheme="minorEastAsia" w:hAnsiTheme="minorEastAsia" w:eastAsiaTheme="minorEastAsia" w:cstheme="minorEastAsia"/>
                <w:color w:val="auto"/>
                <w:spacing w:val="10"/>
                <w:sz w:val="21"/>
                <w:szCs w:val="21"/>
                <w:highlight w:val="none"/>
                <w:lang w:val="en-US" w:eastAsia="zh-CN"/>
              </w:rPr>
              <w:t>4个</w:t>
            </w:r>
            <w:r>
              <w:rPr>
                <w:rFonts w:hint="eastAsia" w:asciiTheme="minorEastAsia" w:hAnsiTheme="minorEastAsia" w:eastAsiaTheme="minorEastAsia" w:cstheme="minorEastAsia"/>
                <w:color w:val="auto"/>
                <w:spacing w:val="10"/>
                <w:sz w:val="21"/>
                <w:szCs w:val="21"/>
                <w:highlight w:val="none"/>
              </w:rPr>
              <w:t>（累计满</w:t>
            </w:r>
            <w:r>
              <w:rPr>
                <w:rFonts w:hint="eastAsia" w:asciiTheme="minorEastAsia" w:hAnsiTheme="minorEastAsia" w:eastAsiaTheme="minorEastAsia" w:cstheme="minorEastAsia"/>
                <w:color w:val="auto"/>
                <w:spacing w:val="10"/>
                <w:sz w:val="21"/>
                <w:szCs w:val="21"/>
                <w:highlight w:val="none"/>
                <w:lang w:val="en-US" w:eastAsia="zh-CN"/>
              </w:rPr>
              <w:t>2</w:t>
            </w:r>
            <w:r>
              <w:rPr>
                <w:rFonts w:hint="eastAsia" w:asciiTheme="minorEastAsia" w:hAnsiTheme="minorEastAsia" w:eastAsiaTheme="minorEastAsia" w:cstheme="minorEastAsia"/>
                <w:color w:val="auto"/>
                <w:spacing w:val="10"/>
                <w:sz w:val="21"/>
                <w:szCs w:val="21"/>
                <w:highlight w:val="none"/>
              </w:rPr>
              <w:t>0分）</w:t>
            </w:r>
            <w:r>
              <w:rPr>
                <w:rFonts w:hint="eastAsia" w:asciiTheme="minorEastAsia" w:hAnsiTheme="minorEastAsia" w:eastAsiaTheme="minorEastAsia" w:cstheme="minorEastAsia"/>
                <w:color w:val="auto"/>
                <w:spacing w:val="10"/>
                <w:sz w:val="21"/>
                <w:szCs w:val="21"/>
                <w:highlight w:val="none"/>
                <w:lang w:eastAsia="zh-CN"/>
              </w:rPr>
              <w:t>。</w:t>
            </w:r>
          </w:p>
          <w:p w14:paraId="42048F46">
            <w:pPr>
              <w:spacing w:line="240" w:lineRule="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10"/>
                <w:sz w:val="21"/>
                <w:szCs w:val="21"/>
                <w:highlight w:val="none"/>
              </w:rPr>
              <w:t>两项可同时累计，总分不超过</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0分。</w:t>
            </w:r>
          </w:p>
          <w:p w14:paraId="50ACB6C6">
            <w:pPr>
              <w:spacing w:line="240" w:lineRule="auto"/>
              <w:rPr>
                <w:rFonts w:hint="eastAsia" w:ascii="宋体" w:hAnsi="宋体" w:eastAsia="宋体" w:cs="宋体"/>
                <w:color w:val="auto"/>
                <w:spacing w:val="6"/>
                <w:highlight w:val="none"/>
              </w:rPr>
            </w:pPr>
            <w:r>
              <w:rPr>
                <w:rFonts w:hint="eastAsia" w:asciiTheme="minorEastAsia" w:hAnsiTheme="minorEastAsia" w:eastAsiaTheme="minorEastAsia" w:cstheme="minorEastAsia"/>
                <w:color w:val="auto"/>
                <w:spacing w:val="10"/>
                <w:sz w:val="21"/>
                <w:szCs w:val="21"/>
                <w:highlight w:val="none"/>
              </w:rPr>
              <w:t>（响应文件中</w:t>
            </w:r>
            <w:r>
              <w:rPr>
                <w:rFonts w:hint="eastAsia" w:asciiTheme="minorEastAsia" w:hAnsiTheme="minorEastAsia" w:eastAsiaTheme="minorEastAsia" w:cstheme="minorEastAsia"/>
                <w:color w:val="auto"/>
                <w:spacing w:val="9"/>
                <w:sz w:val="21"/>
                <w:szCs w:val="21"/>
                <w:highlight w:val="none"/>
              </w:rPr>
              <w:t>提供相应业绩合同或中标通知书扫描件，并加盖供应商公章，</w:t>
            </w:r>
            <w:r>
              <w:rPr>
                <w:rFonts w:hint="eastAsia" w:asciiTheme="minorEastAsia" w:hAnsiTheme="minorEastAsia" w:eastAsiaTheme="minorEastAsia" w:cstheme="minorEastAsia"/>
                <w:color w:val="auto"/>
                <w:spacing w:val="6"/>
                <w:sz w:val="21"/>
                <w:szCs w:val="21"/>
                <w:highlight w:val="none"/>
              </w:rPr>
              <w:t>否则不得分</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随时准备原件，以备审查</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w:t>
            </w:r>
          </w:p>
          <w:p w14:paraId="74E9CD76">
            <w:pPr>
              <w:rPr>
                <w:color w:val="auto"/>
                <w:highlight w:val="none"/>
              </w:rPr>
            </w:pPr>
            <w:r>
              <w:rPr>
                <w:rFonts w:hint="eastAsia" w:ascii="宋体" w:hAnsi="宋体" w:eastAsia="宋体" w:cs="宋体"/>
                <w:b/>
                <w:bCs/>
                <w:color w:val="auto"/>
                <w:szCs w:val="21"/>
                <w:highlight w:val="none"/>
              </w:rPr>
              <w:t>说明：若所提供以上材料为虚假材料，将取消中标资格并追究相应责任。</w:t>
            </w:r>
          </w:p>
          <w:p w14:paraId="0D10CE87">
            <w:pPr>
              <w:rPr>
                <w:color w:val="auto"/>
                <w:highlight w:val="none"/>
              </w:rPr>
            </w:pPr>
          </w:p>
          <w:p w14:paraId="4CEEC7F3">
            <w:pPr>
              <w:rPr>
                <w:color w:val="auto"/>
                <w:highlight w:val="none"/>
              </w:rPr>
            </w:pPr>
          </w:p>
          <w:p w14:paraId="2C7B5B4E">
            <w:pPr>
              <w:rPr>
                <w:color w:val="auto"/>
                <w:highlight w:val="none"/>
              </w:rPr>
            </w:pPr>
          </w:p>
          <w:p w14:paraId="6BAC3138">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2"/>
                <w:sz w:val="21"/>
                <w:szCs w:val="21"/>
                <w:highlight w:val="none"/>
                <w:lang w:val="en-US" w:eastAsia="zh-CN" w:bidi="ar-SA"/>
              </w:rPr>
            </w:pPr>
          </w:p>
        </w:tc>
        <w:tc>
          <w:tcPr>
            <w:tcW w:w="895" w:type="dxa"/>
            <w:noWrap w:val="0"/>
            <w:vAlign w:val="center"/>
          </w:tcPr>
          <w:p w14:paraId="298759DD">
            <w:pPr>
              <w:keepNext w:val="0"/>
              <w:keepLines w:val="0"/>
              <w:pageBreakBefore w:val="0"/>
              <w:widowControl/>
              <w:kinsoku/>
              <w:wordWrap/>
              <w:overflowPunct/>
              <w:topLinePunct w:val="0"/>
              <w:autoSpaceDE/>
              <w:autoSpaceDN/>
              <w:bidi w:val="0"/>
              <w:snapToGrid/>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r>
      <w:tr w14:paraId="32D7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46" w:type="dxa"/>
            <w:gridSpan w:val="4"/>
            <w:noWrap w:val="0"/>
            <w:vAlign w:val="center"/>
          </w:tcPr>
          <w:p w14:paraId="3D741B01">
            <w:pPr>
              <w:pStyle w:val="11"/>
              <w:spacing w:before="0" w:beforeAutospacing="0" w:after="0" w:afterAutospacing="0" w:line="400" w:lineRule="exact"/>
              <w:ind w:firstLine="241" w:firstLineChars="1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highlight w:val="none"/>
              </w:rPr>
              <w:t>4.总得分=1 + 2 + 3</w:t>
            </w:r>
            <w:r>
              <w:rPr>
                <w:rFonts w:hint="eastAsia" w:ascii="宋体" w:hAnsi="宋体" w:eastAsia="宋体" w:cs="宋体"/>
                <w:b/>
                <w:color w:val="auto"/>
                <w:highlight w:val="none"/>
                <w:lang w:eastAsia="zh-CN"/>
              </w:rPr>
              <w:t>。</w:t>
            </w:r>
          </w:p>
        </w:tc>
      </w:tr>
    </w:tbl>
    <w:p w14:paraId="77FCE7ED">
      <w:pPr>
        <w:pStyle w:val="8"/>
        <w:spacing w:line="560" w:lineRule="exact"/>
        <w:ind w:firstLine="608" w:firstLineChars="190"/>
        <w:rPr>
          <w:rFonts w:ascii="Times New Roman" w:hAnsi="Times New Roman" w:eastAsia="仿宋_GB2312"/>
          <w:kern w:val="0"/>
          <w:sz w:val="32"/>
          <w:szCs w:val="32"/>
        </w:rPr>
      </w:pPr>
    </w:p>
    <w:p w14:paraId="2AF35B7E">
      <w:pPr>
        <w:numPr>
          <w:ilvl w:val="0"/>
          <w:numId w:val="1"/>
        </w:num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项目采购方式</w:t>
      </w:r>
    </w:p>
    <w:p w14:paraId="5509B5EE">
      <w:p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 xml:space="preserve">   </w:t>
      </w:r>
      <w:r>
        <w:rPr>
          <w:rFonts w:hint="eastAsia" w:ascii="Times New Roman" w:hAnsi="Times New Roman" w:eastAsia="仿宋_GB2312"/>
          <w:kern w:val="0"/>
          <w:sz w:val="32"/>
          <w:szCs w:val="32"/>
        </w:rPr>
        <w:t xml:space="preserve"> 采用局内控竞争性磋商方式，在局网站和微信公众号发布采购公告，择优选取中标供应商。</w:t>
      </w:r>
    </w:p>
    <w:p w14:paraId="0BF6D932">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eastAsia" w:ascii="方正小标宋_GBK" w:hAnsi="方正小标宋_GBK" w:eastAsia="方正小标宋_GBK" w:cs="方正小标宋_GBK"/>
          <w:b w:val="0"/>
          <w:bCs/>
          <w:color w:val="auto"/>
          <w:sz w:val="44"/>
          <w:szCs w:val="44"/>
          <w:lang w:val="en-US" w:eastAsia="zh-CN"/>
        </w:rPr>
      </w:pPr>
    </w:p>
    <w:p w14:paraId="1EC586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508AF-E21B-492E-8367-9636E5B8C7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AB0C69F5-5C16-4B2D-8507-758EC2403766}"/>
  </w:font>
  <w:font w:name="仿宋_GB2312">
    <w:panose1 w:val="02010609030101010101"/>
    <w:charset w:val="86"/>
    <w:family w:val="auto"/>
    <w:pitch w:val="default"/>
    <w:sig w:usb0="00000001" w:usb1="080E0000" w:usb2="00000000" w:usb3="00000000" w:csb0="00040000" w:csb1="00000000"/>
    <w:embedRegular r:id="rId3" w:fontKey="{536496D3-D834-4923-B1BB-92F40B80B3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3CF5">
    <w:pPr>
      <w:pStyle w:val="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06A042">
                          <w:pPr>
                            <w:pStyle w:val="9"/>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606A042">
                    <w:pPr>
                      <w:pStyle w:val="9"/>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A95AE"/>
    <w:multiLevelType w:val="singleLevel"/>
    <w:tmpl w:val="C57A95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jNlZjFhNThiZTVlZmFhNmIxZDU0NDM2ZWNhZWQifQ=="/>
  </w:docVars>
  <w:rsids>
    <w:rsidRoot w:val="00AC5CB8"/>
    <w:rsid w:val="00013B32"/>
    <w:rsid w:val="00024575"/>
    <w:rsid w:val="001F0BA5"/>
    <w:rsid w:val="00257B24"/>
    <w:rsid w:val="003006DA"/>
    <w:rsid w:val="005F2E06"/>
    <w:rsid w:val="00730DA7"/>
    <w:rsid w:val="00807BCC"/>
    <w:rsid w:val="00874E93"/>
    <w:rsid w:val="008E1E0C"/>
    <w:rsid w:val="00932D6E"/>
    <w:rsid w:val="00AC5CB8"/>
    <w:rsid w:val="00C34F3B"/>
    <w:rsid w:val="00CA1328"/>
    <w:rsid w:val="00F758E9"/>
    <w:rsid w:val="011E118A"/>
    <w:rsid w:val="020D7618"/>
    <w:rsid w:val="045F2EBA"/>
    <w:rsid w:val="06903F3A"/>
    <w:rsid w:val="06BD3E71"/>
    <w:rsid w:val="0A6310AB"/>
    <w:rsid w:val="0B5F72AD"/>
    <w:rsid w:val="0D4B5661"/>
    <w:rsid w:val="0D6F7526"/>
    <w:rsid w:val="0D8B1FF7"/>
    <w:rsid w:val="0FB513D3"/>
    <w:rsid w:val="11060C0E"/>
    <w:rsid w:val="11A84DBD"/>
    <w:rsid w:val="125E65DA"/>
    <w:rsid w:val="127933AB"/>
    <w:rsid w:val="14B2610F"/>
    <w:rsid w:val="17DE27DE"/>
    <w:rsid w:val="1B792F50"/>
    <w:rsid w:val="1E140EE8"/>
    <w:rsid w:val="1EEB2EF7"/>
    <w:rsid w:val="20244E21"/>
    <w:rsid w:val="20556015"/>
    <w:rsid w:val="205D60A5"/>
    <w:rsid w:val="229941A2"/>
    <w:rsid w:val="22FB499E"/>
    <w:rsid w:val="25A62E4D"/>
    <w:rsid w:val="26C6587A"/>
    <w:rsid w:val="28224F5E"/>
    <w:rsid w:val="290C3F7C"/>
    <w:rsid w:val="29510A55"/>
    <w:rsid w:val="2A070584"/>
    <w:rsid w:val="2D6166D3"/>
    <w:rsid w:val="2E5AF460"/>
    <w:rsid w:val="2E9418D5"/>
    <w:rsid w:val="2F1052EC"/>
    <w:rsid w:val="2F4C7FFF"/>
    <w:rsid w:val="314C358C"/>
    <w:rsid w:val="35DB6596"/>
    <w:rsid w:val="36E7CE49"/>
    <w:rsid w:val="3778260F"/>
    <w:rsid w:val="3A8B67E6"/>
    <w:rsid w:val="3C0B5609"/>
    <w:rsid w:val="3F1217B3"/>
    <w:rsid w:val="41280957"/>
    <w:rsid w:val="431B4526"/>
    <w:rsid w:val="460B1CD3"/>
    <w:rsid w:val="4622590C"/>
    <w:rsid w:val="472DE5BD"/>
    <w:rsid w:val="47B8451A"/>
    <w:rsid w:val="4A125EC7"/>
    <w:rsid w:val="4BDEB6CA"/>
    <w:rsid w:val="4F683C0F"/>
    <w:rsid w:val="510407D0"/>
    <w:rsid w:val="53FABE7B"/>
    <w:rsid w:val="53FF1CFA"/>
    <w:rsid w:val="55C85719"/>
    <w:rsid w:val="55E01B05"/>
    <w:rsid w:val="575A3D19"/>
    <w:rsid w:val="588D2EB9"/>
    <w:rsid w:val="59F47D1D"/>
    <w:rsid w:val="5A0B740D"/>
    <w:rsid w:val="5A1A7C8D"/>
    <w:rsid w:val="5A2D22F9"/>
    <w:rsid w:val="5CFFD04E"/>
    <w:rsid w:val="5D921BFF"/>
    <w:rsid w:val="626F10A4"/>
    <w:rsid w:val="62EF878F"/>
    <w:rsid w:val="634204D3"/>
    <w:rsid w:val="638F1111"/>
    <w:rsid w:val="639F40FD"/>
    <w:rsid w:val="63E6314A"/>
    <w:rsid w:val="63E9744B"/>
    <w:rsid w:val="63ED7D32"/>
    <w:rsid w:val="64300645"/>
    <w:rsid w:val="645D71D3"/>
    <w:rsid w:val="64D6565D"/>
    <w:rsid w:val="66FF144C"/>
    <w:rsid w:val="6A150016"/>
    <w:rsid w:val="6BBA58AE"/>
    <w:rsid w:val="6BBD744B"/>
    <w:rsid w:val="6F0C70A9"/>
    <w:rsid w:val="709427BF"/>
    <w:rsid w:val="717F1689"/>
    <w:rsid w:val="750B0F29"/>
    <w:rsid w:val="766C62D7"/>
    <w:rsid w:val="77535869"/>
    <w:rsid w:val="77B96C43"/>
    <w:rsid w:val="791E5F0B"/>
    <w:rsid w:val="799E022B"/>
    <w:rsid w:val="79F458A4"/>
    <w:rsid w:val="79FF9335"/>
    <w:rsid w:val="7C9F0257"/>
    <w:rsid w:val="7DB8FED1"/>
    <w:rsid w:val="7F379626"/>
    <w:rsid w:val="7FDF0E8B"/>
    <w:rsid w:val="7FDFD6EA"/>
    <w:rsid w:val="7FFF73C9"/>
    <w:rsid w:val="93F7FE97"/>
    <w:rsid w:val="C7CF8570"/>
    <w:rsid w:val="D23FF61B"/>
    <w:rsid w:val="D4FF58C1"/>
    <w:rsid w:val="E0EDEB09"/>
    <w:rsid w:val="EF4F9ECD"/>
    <w:rsid w:val="F5D6EAD5"/>
    <w:rsid w:val="F73D5F84"/>
    <w:rsid w:val="F7BFEB12"/>
    <w:rsid w:val="F7D6560D"/>
    <w:rsid w:val="FAD6CE02"/>
    <w:rsid w:val="FF5FA2C5"/>
    <w:rsid w:val="FFF7B183"/>
    <w:rsid w:val="FFFC5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kern w:val="0"/>
      <w:sz w:val="2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黑体" w:cs="Calibri"/>
      <w:b/>
      <w:bCs/>
      <w:kern w:val="44"/>
      <w:sz w:val="44"/>
      <w:szCs w:val="44"/>
    </w:rPr>
  </w:style>
  <w:style w:type="paragraph" w:styleId="3">
    <w:name w:val="heading 4"/>
    <w:basedOn w:val="1"/>
    <w:next w:val="1"/>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unhideWhenUsed/>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hint="eastAsia"/>
      <w:sz w:val="28"/>
      <w:szCs w:val="24"/>
      <w:lang w:val="en-US" w:eastAsia="zh-CN"/>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next w:val="3"/>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10"/>
    <w:pPr>
      <w:spacing w:before="60" w:after="120" w:line="560" w:lineRule="exact"/>
      <w:jc w:val="center"/>
      <w:outlineLvl w:val="0"/>
    </w:pPr>
    <w:rPr>
      <w:rFonts w:eastAsia="方正小标宋_GBK"/>
      <w:bCs/>
      <w:sz w:val="44"/>
      <w:szCs w:val="32"/>
    </w:rPr>
  </w:style>
  <w:style w:type="paragraph" w:styleId="13">
    <w:name w:val="Body Text First Indent 2"/>
    <w:basedOn w:val="7"/>
    <w:next w:val="1"/>
    <w:qFormat/>
    <w:uiPriority w:val="0"/>
    <w:pPr>
      <w:spacing w:line="360" w:lineRule="auto"/>
      <w:ind w:firstLine="0"/>
    </w:pPr>
    <w:rPr>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15"/>
    <w:basedOn w:val="1"/>
    <w:qFormat/>
    <w:uiPriority w:val="0"/>
    <w:pPr>
      <w:widowControl/>
    </w:pPr>
    <w:rPr>
      <w:rFonts w:ascii="宋体" w:hAnsi="宋体" w:cs="宋体"/>
      <w:kern w:val="0"/>
    </w:rPr>
  </w:style>
  <w:style w:type="paragraph" w:customStyle="1" w:styleId="18">
    <w:name w:val="正文1"/>
    <w:basedOn w:val="4"/>
    <w:qFormat/>
    <w:uiPriority w:val="0"/>
    <w:pPr>
      <w:ind w:firstLine="0" w:firstLineChars="0"/>
    </w:pPr>
    <w:rPr>
      <w:szCs w:val="21"/>
    </w:rPr>
  </w:style>
  <w:style w:type="paragraph" w:customStyle="1" w:styleId="19">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20">
    <w:name w:val="Default"/>
    <w:next w:val="1"/>
    <w:qFormat/>
    <w:uiPriority w:val="0"/>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21">
    <w:name w:val="toc 12"/>
    <w:next w:val="1"/>
    <w:qFormat/>
    <w:uiPriority w:val="0"/>
    <w:pPr>
      <w:wordWrap w:val="0"/>
      <w:jc w:val="both"/>
    </w:pPr>
    <w:rPr>
      <w:rFonts w:ascii="宋体" w:hAnsi="宋体" w:eastAsia="宋体" w:cs="Times New Roman"/>
      <w:sz w:val="21"/>
      <w:lang w:val="en-US" w:eastAsia="zh-CN" w:bidi="ar-SA"/>
    </w:rPr>
  </w:style>
  <w:style w:type="paragraph" w:customStyle="1" w:styleId="22">
    <w:name w:val="_Style 1"/>
    <w:basedOn w:val="1"/>
    <w:qFormat/>
    <w:uiPriority w:val="34"/>
    <w:pPr>
      <w:spacing w:line="560" w:lineRule="exact"/>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3343</Words>
  <Characters>3539</Characters>
  <Lines>1</Lines>
  <Paragraphs>1</Paragraphs>
  <TotalTime>8</TotalTime>
  <ScaleCrop>false</ScaleCrop>
  <LinksUpToDate>false</LinksUpToDate>
  <CharactersWithSpaces>3643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2023-04-10T08:21:00Z</dcterms:created>
  <dc:creator>lenovo</dc:creator>
  <cp:lastModifiedBy>yuge_nong</cp:lastModifiedBy>
  <cp:lastPrinted>2025-08-12T09:35:00Z</cp:lastPrinted>
  <dcterms:modified xsi:type="dcterms:W3CDTF">2025-09-04T12:26:54Z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D8CC801FC1484A56B3CAEE2F067AA9DB_13</vt:lpwstr>
  </property>
  <property fmtid="{D5CDD505-2E9C-101B-9397-08002B2CF9AE}" pid="4" name="KSOTemplateDocerSaveRecord">
    <vt:lpwstr>eyJoZGlkIjoiODBhMzNlZTZhNzViYzY5NDY1YjFkMDA4ZmM1ZjJjYzIiLCJ1c2VySWQiOiIyOTExNTYxNjEifQ==</vt:lpwstr>
  </property>
</Properties>
</file>