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3AD6" w14:textId="6B30BF90" w:rsidR="00CF0D5D" w:rsidRDefault="00995CE1">
      <w:pPr>
        <w:ind w:firstLine="880"/>
        <w:jc w:val="center"/>
        <w:rPr>
          <w:rFonts w:ascii="方正小标宋_GBK" w:eastAsia="方正小标宋_GBK" w:hAnsi="方正小标宋_GBK" w:cs="方正小标宋_GBK" w:hint="eastAsia"/>
          <w:sz w:val="44"/>
          <w:szCs w:val="44"/>
        </w:rPr>
      </w:pPr>
      <w:r w:rsidRPr="00995CE1">
        <w:rPr>
          <w:rFonts w:ascii="方正小标宋_GBK" w:eastAsia="方正小标宋_GBK" w:hAnsi="方正小标宋_GBK" w:cs="方正小标宋_GBK"/>
          <w:sz w:val="44"/>
          <w:szCs w:val="44"/>
        </w:rPr>
        <w:t>2025年自治区政务服务好差评评价项目采购需求</w:t>
      </w:r>
    </w:p>
    <w:p w14:paraId="1E8D27B1" w14:textId="77777777" w:rsidR="00CF0D5D" w:rsidRDefault="00CF0D5D">
      <w:pPr>
        <w:rPr>
          <w:rFonts w:hint="eastAsia"/>
        </w:rPr>
      </w:pPr>
    </w:p>
    <w:p w14:paraId="28388632" w14:textId="77777777" w:rsidR="00CF0D5D" w:rsidRDefault="00000000">
      <w:pPr>
        <w:rPr>
          <w:rFonts w:hint="eastAsia"/>
        </w:rPr>
      </w:pPr>
      <w:r>
        <w:rPr>
          <w:rFonts w:hint="eastAsia"/>
        </w:rPr>
        <w:t>一、项目依据：</w:t>
      </w:r>
    </w:p>
    <w:p w14:paraId="1B80FE4A" w14:textId="77777777" w:rsidR="00CF0D5D" w:rsidRDefault="00000000">
      <w:pPr>
        <w:rPr>
          <w:rFonts w:hint="eastAsia"/>
        </w:rPr>
      </w:pPr>
      <w:r>
        <w:rPr>
          <w:rFonts w:hint="eastAsia"/>
        </w:rPr>
        <w:t>《国务院办公厅关于建立政务服务“好差评”制度提高政务服务水平的意见》（国办发﹝2019﹞51号）、《政务服务“一次一评”“一事一评”工作规范》(GB/T 39734-2020)、《政务服务工作指南》（GB/39735-2020）、《广西壮族自治区政务服务监督管理办公室关于印发《广西壮族自治区政务服务“好差评”制度》的通知、《广西壮族自治区政务服务“好差评”差评处置操作规范（试行）》。利用政务服务“好差评”差评处置操作规范，对2025年政务服务“好差评”甄别、政务服务公开工作开展人工调查。</w:t>
      </w:r>
    </w:p>
    <w:p w14:paraId="3EA8135B" w14:textId="77777777" w:rsidR="00CF0D5D" w:rsidRDefault="00000000">
      <w:pPr>
        <w:rPr>
          <w:rFonts w:hint="eastAsia"/>
        </w:rPr>
      </w:pPr>
      <w:r>
        <w:rPr>
          <w:rFonts w:hint="eastAsia"/>
        </w:rPr>
        <w:t>二、项目名称：2025年自治区政务服务“好差评”评价项目。</w:t>
      </w:r>
    </w:p>
    <w:p w14:paraId="50FB65EC" w14:textId="77777777" w:rsidR="00CF0D5D" w:rsidRDefault="00000000">
      <w:pPr>
        <w:rPr>
          <w:rFonts w:hint="eastAsia"/>
        </w:rPr>
      </w:pPr>
      <w:r>
        <w:rPr>
          <w:rFonts w:hint="eastAsia"/>
        </w:rPr>
        <w:t>三、项目类别：服务类。</w:t>
      </w:r>
    </w:p>
    <w:p w14:paraId="5781DCBC" w14:textId="77777777" w:rsidR="00CF0D5D" w:rsidRDefault="00000000">
      <w:pPr>
        <w:rPr>
          <w:rFonts w:hint="eastAsia"/>
        </w:rPr>
      </w:pPr>
      <w:r>
        <w:rPr>
          <w:rFonts w:hint="eastAsia"/>
        </w:rPr>
        <w:t>四、采购方式：竞争性磋商。</w:t>
      </w:r>
    </w:p>
    <w:p w14:paraId="2BFDF582" w14:textId="77777777" w:rsidR="00CF0D5D" w:rsidRDefault="00000000">
      <w:pPr>
        <w:rPr>
          <w:rFonts w:asciiTheme="minorEastAsia" w:eastAsiaTheme="minorEastAsia" w:hAnsiTheme="minorEastAsia" w:cstheme="minorEastAsia" w:hint="eastAsia"/>
        </w:rPr>
      </w:pPr>
      <w:r>
        <w:rPr>
          <w:rFonts w:hint="eastAsia"/>
        </w:rPr>
        <w:t>五、采购金额（人民币）：</w:t>
      </w:r>
      <w:r>
        <w:rPr>
          <w:rFonts w:asciiTheme="minorEastAsia" w:eastAsiaTheme="minorEastAsia" w:hAnsiTheme="minorEastAsia" w:cstheme="minorEastAsia" w:hint="eastAsia"/>
        </w:rPr>
        <w:t>44.6万元。</w:t>
      </w:r>
    </w:p>
    <w:p w14:paraId="48C05491" w14:textId="77777777" w:rsidR="00CF0D5D" w:rsidRDefault="00000000">
      <w:pPr>
        <w:rPr>
          <w:rFonts w:hint="eastAsia"/>
        </w:rPr>
      </w:pPr>
      <w:r>
        <w:rPr>
          <w:rFonts w:hint="eastAsia"/>
        </w:rPr>
        <w:t>六、服务需求</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68"/>
        <w:gridCol w:w="7817"/>
      </w:tblGrid>
      <w:tr w:rsidR="00CF0D5D" w14:paraId="62916768" w14:textId="77777777">
        <w:trPr>
          <w:jc w:val="center"/>
        </w:trPr>
        <w:tc>
          <w:tcPr>
            <w:tcW w:w="9682" w:type="dxa"/>
            <w:gridSpan w:val="3"/>
            <w:vAlign w:val="center"/>
          </w:tcPr>
          <w:p w14:paraId="15791E70" w14:textId="77777777" w:rsidR="00CF0D5D" w:rsidRDefault="00000000">
            <w:pPr>
              <w:ind w:firstLineChars="0" w:firstLine="0"/>
              <w:rPr>
                <w:rFonts w:hint="eastAsia"/>
              </w:rPr>
            </w:pPr>
            <w:r>
              <w:t>一、采购需求</w:t>
            </w:r>
          </w:p>
        </w:tc>
      </w:tr>
      <w:tr w:rsidR="00CF0D5D" w14:paraId="31C21CB0" w14:textId="77777777">
        <w:trPr>
          <w:jc w:val="center"/>
        </w:trPr>
        <w:tc>
          <w:tcPr>
            <w:tcW w:w="1097" w:type="dxa"/>
            <w:vAlign w:val="center"/>
          </w:tcPr>
          <w:p w14:paraId="7F38EDE0" w14:textId="77777777" w:rsidR="00CF0D5D" w:rsidRDefault="00000000">
            <w:pPr>
              <w:ind w:firstLineChars="0" w:firstLine="0"/>
              <w:jc w:val="center"/>
              <w:rPr>
                <w:rFonts w:hint="eastAsia"/>
              </w:rPr>
            </w:pPr>
            <w:r>
              <w:t>名称</w:t>
            </w:r>
          </w:p>
        </w:tc>
        <w:tc>
          <w:tcPr>
            <w:tcW w:w="768" w:type="dxa"/>
            <w:vAlign w:val="center"/>
          </w:tcPr>
          <w:p w14:paraId="460A9632" w14:textId="77777777" w:rsidR="00CF0D5D" w:rsidRDefault="00000000">
            <w:pPr>
              <w:ind w:firstLineChars="0" w:firstLine="0"/>
              <w:jc w:val="center"/>
              <w:rPr>
                <w:rFonts w:hint="eastAsia"/>
              </w:rPr>
            </w:pPr>
            <w:r>
              <w:t>数量</w:t>
            </w:r>
          </w:p>
        </w:tc>
        <w:tc>
          <w:tcPr>
            <w:tcW w:w="7817" w:type="dxa"/>
            <w:vAlign w:val="center"/>
          </w:tcPr>
          <w:p w14:paraId="1F30E4B1" w14:textId="77777777" w:rsidR="00CF0D5D" w:rsidRDefault="00000000">
            <w:pPr>
              <w:ind w:firstLineChars="600" w:firstLine="1440"/>
              <w:jc w:val="center"/>
              <w:rPr>
                <w:rFonts w:hint="eastAsia"/>
              </w:rPr>
            </w:pPr>
            <w:r>
              <w:t>采购需求</w:t>
            </w:r>
          </w:p>
        </w:tc>
      </w:tr>
      <w:tr w:rsidR="00CF0D5D" w14:paraId="7B6AAFEC" w14:textId="77777777">
        <w:trPr>
          <w:trHeight w:val="1480"/>
          <w:jc w:val="center"/>
        </w:trPr>
        <w:tc>
          <w:tcPr>
            <w:tcW w:w="1097" w:type="dxa"/>
            <w:vAlign w:val="center"/>
          </w:tcPr>
          <w:p w14:paraId="7ED3633A" w14:textId="77777777" w:rsidR="00CF0D5D" w:rsidRDefault="00000000">
            <w:pPr>
              <w:spacing w:line="400" w:lineRule="exact"/>
              <w:rPr>
                <w:rFonts w:hint="eastAsia"/>
              </w:rPr>
            </w:pPr>
            <w:r>
              <w:rPr>
                <w:rFonts w:hint="eastAsia"/>
              </w:rPr>
              <w:t>2025年自治区政务服务好差评评价项目</w:t>
            </w:r>
          </w:p>
        </w:tc>
        <w:tc>
          <w:tcPr>
            <w:tcW w:w="768" w:type="dxa"/>
            <w:vAlign w:val="center"/>
          </w:tcPr>
          <w:p w14:paraId="0E92995D" w14:textId="77777777" w:rsidR="00CF0D5D" w:rsidRDefault="00000000">
            <w:pPr>
              <w:spacing w:line="400" w:lineRule="exact"/>
              <w:rPr>
                <w:rFonts w:hint="eastAsia"/>
              </w:rPr>
            </w:pPr>
            <w:r>
              <w:t>1项</w:t>
            </w:r>
          </w:p>
        </w:tc>
        <w:tc>
          <w:tcPr>
            <w:tcW w:w="7817" w:type="dxa"/>
            <w:vAlign w:val="center"/>
          </w:tcPr>
          <w:p w14:paraId="291250D7" w14:textId="77777777" w:rsidR="00CF0D5D" w:rsidRDefault="00000000">
            <w:pPr>
              <w:spacing w:line="400" w:lineRule="exact"/>
              <w:rPr>
                <w:rFonts w:hint="eastAsia"/>
              </w:rPr>
            </w:pPr>
            <w:r>
              <w:rPr>
                <w:rFonts w:hint="eastAsia"/>
              </w:rPr>
              <w:t>一</w:t>
            </w:r>
            <w:r>
              <w:t>、</w:t>
            </w:r>
            <w:r>
              <w:rPr>
                <w:rFonts w:hint="eastAsia"/>
              </w:rPr>
              <w:t>服务</w:t>
            </w:r>
            <w:r>
              <w:t>内容</w:t>
            </w:r>
          </w:p>
          <w:p w14:paraId="3EB40998" w14:textId="77777777" w:rsidR="00CF0D5D" w:rsidRDefault="00000000">
            <w:pPr>
              <w:spacing w:line="400" w:lineRule="exact"/>
              <w:rPr>
                <w:rFonts w:hint="eastAsia"/>
              </w:rPr>
            </w:pPr>
            <w:r>
              <w:t>（一）“好差评”甄别</w:t>
            </w:r>
          </w:p>
          <w:p w14:paraId="1BE0DC9F" w14:textId="77777777" w:rsidR="00CF0D5D" w:rsidRDefault="00000000">
            <w:pPr>
              <w:spacing w:line="400" w:lineRule="exact"/>
              <w:rPr>
                <w:rFonts w:hint="eastAsia"/>
              </w:rPr>
            </w:pPr>
            <w:r>
              <w:t>1.“好差评”分为“非常满意”、“满意”、“基本满意”、“不满意”、“非常不满意”五个等级，后两个等级为差评。</w:t>
            </w:r>
          </w:p>
          <w:p w14:paraId="1C7C6F6B" w14:textId="77777777" w:rsidR="00CF0D5D" w:rsidRDefault="00000000">
            <w:pPr>
              <w:spacing w:line="400" w:lineRule="exact"/>
              <w:rPr>
                <w:rFonts w:hint="eastAsia"/>
              </w:rPr>
            </w:pPr>
            <w:r>
              <w:t>2.差评产生后，</w:t>
            </w:r>
            <w:r>
              <w:rPr>
                <w:rFonts w:eastAsiaTheme="minorEastAsia"/>
                <w:snapToGrid w:val="0"/>
                <w:kern w:val="21"/>
                <w:szCs w:val="28"/>
              </w:rPr>
              <w:t>中标服务商</w:t>
            </w:r>
            <w:r>
              <w:t>须在0.5个工作日内对自治区、设区市两级差评进行初步甄别核实。</w:t>
            </w:r>
          </w:p>
          <w:p w14:paraId="6CCB236D" w14:textId="77777777" w:rsidR="00CF0D5D" w:rsidRDefault="00000000">
            <w:pPr>
              <w:spacing w:line="400" w:lineRule="exact"/>
              <w:rPr>
                <w:rFonts w:hint="eastAsia"/>
              </w:rPr>
            </w:pPr>
            <w:r>
              <w:t>3.负责初步甄别确认差评是否为服务对象真实意思表示。服务对象根据办事体验自主作出差评评价的，属于有效差评；因系统问题、服务对象</w:t>
            </w:r>
            <w:r>
              <w:lastRenderedPageBreak/>
              <w:t>误操作等问题产生差评的，属于无效差评。</w:t>
            </w:r>
          </w:p>
          <w:p w14:paraId="481AF858" w14:textId="77777777" w:rsidR="00CF0D5D" w:rsidRDefault="00000000">
            <w:pPr>
              <w:spacing w:line="400" w:lineRule="exact"/>
              <w:rPr>
                <w:rFonts w:hint="eastAsia"/>
              </w:rPr>
            </w:pPr>
            <w:r>
              <w:t>（1）对属于有效差评的，应立即通过后台转交相应层级政务服务监督管理部门对差评进行分类，按照分类处置程序转交相关责任主体进行处置；</w:t>
            </w:r>
          </w:p>
          <w:p w14:paraId="4DB6299A" w14:textId="77777777" w:rsidR="00CF0D5D" w:rsidRDefault="00000000">
            <w:pPr>
              <w:spacing w:line="400" w:lineRule="exact"/>
              <w:rPr>
                <w:rFonts w:hint="eastAsia"/>
              </w:rPr>
            </w:pPr>
            <w:r>
              <w:t>（2）对属于不实评价或误评的，评价结果不予采纳，认定为无效差评并记录为“未评”。</w:t>
            </w:r>
          </w:p>
          <w:p w14:paraId="6066C66B" w14:textId="77777777" w:rsidR="00CF0D5D" w:rsidRDefault="00000000">
            <w:pPr>
              <w:spacing w:line="400" w:lineRule="exact"/>
              <w:rPr>
                <w:rFonts w:hint="eastAsia"/>
              </w:rPr>
            </w:pPr>
            <w:r>
              <w:t>4.对于已整改完成的差评件，由</w:t>
            </w:r>
            <w:r>
              <w:rPr>
                <w:rFonts w:eastAsiaTheme="minorEastAsia"/>
                <w:snapToGrid w:val="0"/>
                <w:kern w:val="21"/>
                <w:szCs w:val="28"/>
              </w:rPr>
              <w:t>中标服务商</w:t>
            </w:r>
            <w:r>
              <w:t>进行回访核实。</w:t>
            </w:r>
          </w:p>
          <w:p w14:paraId="61D6F007" w14:textId="77777777" w:rsidR="00CF0D5D" w:rsidRDefault="00000000">
            <w:pPr>
              <w:spacing w:line="400" w:lineRule="exact"/>
              <w:rPr>
                <w:rFonts w:hint="eastAsia"/>
              </w:rPr>
            </w:pPr>
            <w:r>
              <w:t>（1）对于经回访对整改结果为满意的差评，可以进行一次追加评价；</w:t>
            </w:r>
          </w:p>
          <w:p w14:paraId="0DC331BC" w14:textId="77777777" w:rsidR="00CF0D5D" w:rsidRDefault="00000000">
            <w:pPr>
              <w:spacing w:line="400" w:lineRule="exact"/>
              <w:rPr>
                <w:rFonts w:hint="eastAsia"/>
              </w:rPr>
            </w:pPr>
            <w:r>
              <w:t>（2）对于经回访对整改结果为不满意的差评，重点跟踪重新进入差评处置程序。</w:t>
            </w:r>
          </w:p>
          <w:p w14:paraId="1457B013" w14:textId="77777777" w:rsidR="00CF0D5D" w:rsidRDefault="00000000">
            <w:pPr>
              <w:spacing w:line="400" w:lineRule="exact"/>
              <w:rPr>
                <w:rFonts w:hint="eastAsia"/>
              </w:rPr>
            </w:pPr>
            <w:r>
              <w:t>（二）服务公开质量调查</w:t>
            </w:r>
          </w:p>
          <w:p w14:paraId="030A73EA" w14:textId="77777777" w:rsidR="00CF0D5D" w:rsidRDefault="00000000">
            <w:pPr>
              <w:spacing w:line="400" w:lineRule="exact"/>
              <w:rPr>
                <w:rFonts w:hint="eastAsia"/>
              </w:rPr>
            </w:pPr>
            <w:r>
              <w:t>1.调查范围：2025年</w:t>
            </w:r>
            <w:r>
              <w:rPr>
                <w:rFonts w:hint="eastAsia"/>
              </w:rPr>
              <w:t>1</w:t>
            </w:r>
            <w:r>
              <w:t>月1日-2025年</w:t>
            </w:r>
            <w:r>
              <w:rPr>
                <w:rFonts w:hint="eastAsia"/>
              </w:rPr>
              <w:t>12</w:t>
            </w:r>
            <w:r>
              <w:t>月</w:t>
            </w:r>
            <w:r>
              <w:rPr>
                <w:rFonts w:hint="eastAsia"/>
              </w:rPr>
              <w:t>3</w:t>
            </w:r>
            <w:r>
              <w:t>1日自治区、设区市、县（市、区）三级政务服务公开质量调查</w:t>
            </w:r>
          </w:p>
          <w:p w14:paraId="430D9586" w14:textId="77777777" w:rsidR="00CF0D5D" w:rsidRDefault="00000000">
            <w:pPr>
              <w:spacing w:line="400" w:lineRule="exact"/>
              <w:rPr>
                <w:rFonts w:hint="eastAsia"/>
              </w:rPr>
            </w:pPr>
            <w:r>
              <w:t>2.调查对象：办事企业或群众；</w:t>
            </w:r>
          </w:p>
          <w:p w14:paraId="7B2E1463" w14:textId="77777777" w:rsidR="00CF0D5D" w:rsidRDefault="00000000">
            <w:pPr>
              <w:spacing w:line="400" w:lineRule="exact"/>
              <w:rPr>
                <w:rFonts w:hint="eastAsia"/>
              </w:rPr>
            </w:pPr>
            <w:r>
              <w:t>3.调查数量：自治区每月抽查</w:t>
            </w:r>
            <w:r>
              <w:rPr>
                <w:rFonts w:hint="eastAsia"/>
              </w:rPr>
              <w:t>5</w:t>
            </w:r>
            <w:r>
              <w:t>00件、市级每市每月抽查</w:t>
            </w:r>
            <w:r>
              <w:rPr>
                <w:rFonts w:hint="eastAsia"/>
              </w:rPr>
              <w:t>1</w:t>
            </w:r>
            <w:r>
              <w:t>50件；县级部分，每月按各市</w:t>
            </w:r>
            <w:r>
              <w:rPr>
                <w:rFonts w:hint="eastAsia"/>
              </w:rPr>
              <w:t>30</w:t>
            </w:r>
            <w:r>
              <w:t>%的县区</w:t>
            </w:r>
            <w:r>
              <w:rPr>
                <w:rFonts w:hint="eastAsia"/>
              </w:rPr>
              <w:t>（不足整数的进一位取整数）</w:t>
            </w:r>
            <w:r>
              <w:t>进行抽查，抽中的县区每月抽查</w:t>
            </w:r>
            <w:r>
              <w:rPr>
                <w:rFonts w:hint="eastAsia"/>
              </w:rPr>
              <w:t>10</w:t>
            </w:r>
            <w:r>
              <w:t>0件。</w:t>
            </w:r>
            <w:r>
              <w:rPr>
                <w:rFonts w:hint="eastAsia"/>
              </w:rPr>
              <w:t>以中标日的官方行政区划为基准，自治区，14个设区市及县区年度（</w:t>
            </w:r>
            <w:r>
              <w:t>2025年</w:t>
            </w:r>
            <w:r>
              <w:rPr>
                <w:rFonts w:hint="eastAsia"/>
              </w:rPr>
              <w:t>1</w:t>
            </w:r>
            <w:r>
              <w:t>月1日-2025年</w:t>
            </w:r>
            <w:r>
              <w:rPr>
                <w:rFonts w:hint="eastAsia"/>
              </w:rPr>
              <w:t>12</w:t>
            </w:r>
            <w:r>
              <w:t>月</w:t>
            </w:r>
            <w:r>
              <w:rPr>
                <w:rFonts w:hint="eastAsia"/>
              </w:rPr>
              <w:t>3</w:t>
            </w:r>
            <w:r>
              <w:t>1日</w:t>
            </w:r>
            <w:r>
              <w:rPr>
                <w:rFonts w:hint="eastAsia"/>
              </w:rPr>
              <w:t>）共计抽查68280件。</w:t>
            </w:r>
          </w:p>
          <w:p w14:paraId="31D12196" w14:textId="77777777" w:rsidR="00CF0D5D" w:rsidRDefault="00000000">
            <w:pPr>
              <w:spacing w:line="400" w:lineRule="exact"/>
              <w:rPr>
                <w:rFonts w:hint="eastAsia"/>
              </w:rPr>
            </w:pPr>
            <w:r>
              <w:t>4.调查内容：公开渠道、办事依据、办事条件、办事流程、办理渠道、结果查询等。</w:t>
            </w:r>
          </w:p>
          <w:p w14:paraId="3F0248A4" w14:textId="77777777" w:rsidR="00CF0D5D" w:rsidRDefault="00000000">
            <w:pPr>
              <w:spacing w:line="400" w:lineRule="exact"/>
              <w:rPr>
                <w:rFonts w:hint="eastAsia"/>
              </w:rPr>
            </w:pPr>
            <w:r>
              <w:rPr>
                <w:rFonts w:hint="eastAsia"/>
              </w:rPr>
              <w:t>二</w:t>
            </w:r>
            <w:r>
              <w:t>、服务条件</w:t>
            </w:r>
          </w:p>
          <w:p w14:paraId="55A98A8D" w14:textId="77777777" w:rsidR="00CF0D5D" w:rsidRDefault="00000000">
            <w:pPr>
              <w:spacing w:line="400" w:lineRule="exact"/>
              <w:rPr>
                <w:rFonts w:hint="eastAsia"/>
              </w:rPr>
            </w:pPr>
            <w:r>
              <w:t>（一）总体要求</w:t>
            </w:r>
          </w:p>
          <w:p w14:paraId="64352E4B" w14:textId="77777777" w:rsidR="00CF0D5D" w:rsidRDefault="00000000">
            <w:pPr>
              <w:spacing w:line="400" w:lineRule="exact"/>
              <w:rPr>
                <w:rFonts w:hint="eastAsia"/>
              </w:rPr>
            </w:pPr>
            <w:r>
              <w:t>根据政务服务“好差评”差评处置操作规范及服务公开质量调查工作要求，</w:t>
            </w:r>
            <w:r>
              <w:rPr>
                <w:rFonts w:eastAsiaTheme="minorEastAsia"/>
                <w:snapToGrid w:val="0"/>
                <w:kern w:val="21"/>
                <w:szCs w:val="28"/>
              </w:rPr>
              <w:t>提供专业化、规范化、标准化服务，</w:t>
            </w:r>
            <w:r>
              <w:t>按时高效高质通过电话回访开展差评甄别核实及服务公开质量调查服务，如实记录反馈群众的意见,最终形成好差评核查统计报表、政务服务质量调查分析报告。</w:t>
            </w:r>
            <w:r>
              <w:rPr>
                <w:rFonts w:eastAsiaTheme="minorEastAsia"/>
                <w:snapToGrid w:val="0"/>
                <w:kern w:val="21"/>
                <w:szCs w:val="28"/>
              </w:rPr>
              <w:t>中标服务商全面负责</w:t>
            </w:r>
            <w:r>
              <w:t>服务团队</w:t>
            </w:r>
            <w:r>
              <w:rPr>
                <w:rFonts w:eastAsiaTheme="minorEastAsia"/>
                <w:snapToGrid w:val="0"/>
                <w:kern w:val="21"/>
                <w:szCs w:val="28"/>
              </w:rPr>
              <w:t>人员的招聘、培训、管理及运营工作，其中人员配置总数不少于</w:t>
            </w:r>
            <w:r>
              <w:rPr>
                <w:rFonts w:eastAsiaTheme="minorEastAsia"/>
                <w:snapToGrid w:val="0"/>
                <w:kern w:val="21"/>
                <w:szCs w:val="28"/>
              </w:rPr>
              <w:t>5</w:t>
            </w:r>
            <w:r>
              <w:rPr>
                <w:rFonts w:eastAsiaTheme="minorEastAsia"/>
                <w:snapToGrid w:val="0"/>
                <w:kern w:val="21"/>
                <w:szCs w:val="28"/>
              </w:rPr>
              <w:t>人。</w:t>
            </w:r>
          </w:p>
          <w:p w14:paraId="673DE2BD" w14:textId="77777777" w:rsidR="00CF0D5D" w:rsidRDefault="00000000">
            <w:pPr>
              <w:spacing w:line="400" w:lineRule="exact"/>
              <w:rPr>
                <w:rFonts w:hint="eastAsia"/>
              </w:rPr>
            </w:pPr>
            <w:r>
              <w:t>1.提供服务方案</w:t>
            </w:r>
          </w:p>
          <w:p w14:paraId="4C30514A" w14:textId="77777777" w:rsidR="00CF0D5D" w:rsidRDefault="00000000">
            <w:pPr>
              <w:spacing w:line="400" w:lineRule="exact"/>
              <w:rPr>
                <w:rFonts w:hint="eastAsia"/>
                <w:snapToGrid w:val="0"/>
              </w:rPr>
            </w:pPr>
            <w:r>
              <w:rPr>
                <w:snapToGrid w:val="0"/>
              </w:rPr>
              <w:t>根据</w:t>
            </w:r>
            <w:r>
              <w:rPr>
                <w:szCs w:val="21"/>
              </w:rPr>
              <w:t>“好差评”差评甄别核实及服务公开质量调查的</w:t>
            </w:r>
            <w:r>
              <w:rPr>
                <w:snapToGrid w:val="0"/>
              </w:rPr>
              <w:t>工作内容，制定服务方案，确保按时、按质、按量100%完成“好差评”</w:t>
            </w:r>
            <w:r>
              <w:rPr>
                <w:szCs w:val="21"/>
              </w:rPr>
              <w:t>差评甄别核实及服</w:t>
            </w:r>
            <w:r>
              <w:rPr>
                <w:szCs w:val="21"/>
              </w:rPr>
              <w:lastRenderedPageBreak/>
              <w:t>务公开质量调查</w:t>
            </w:r>
            <w:r>
              <w:rPr>
                <w:snapToGrid w:val="0"/>
              </w:rPr>
              <w:t>工作任务。服务方案包含但不限于组织架构及职责分工、指标保障措施、人员稳定措施、质量提升措施等。</w:t>
            </w:r>
          </w:p>
          <w:p w14:paraId="74AB5B8C" w14:textId="77777777" w:rsidR="00CF0D5D" w:rsidRDefault="00000000">
            <w:pPr>
              <w:spacing w:line="400" w:lineRule="exact"/>
              <w:rPr>
                <w:rFonts w:hint="eastAsia"/>
              </w:rPr>
            </w:pPr>
            <w:r>
              <w:t>2.建立管理体系</w:t>
            </w:r>
          </w:p>
          <w:p w14:paraId="6CE3F7A0" w14:textId="77777777" w:rsidR="00CF0D5D" w:rsidRDefault="00000000">
            <w:pPr>
              <w:spacing w:line="400" w:lineRule="exact"/>
              <w:rPr>
                <w:rFonts w:hint="eastAsia"/>
                <w:szCs w:val="21"/>
              </w:rPr>
            </w:pPr>
            <w:r>
              <w:rPr>
                <w:snapToGrid w:val="0"/>
              </w:rPr>
              <w:t>以专业呼叫中心运营管理为依据，结合</w:t>
            </w:r>
            <w:r>
              <w:rPr>
                <w:szCs w:val="21"/>
              </w:rPr>
              <w:t>“好差评”差评甄别核实及服务公开质量调查工作</w:t>
            </w:r>
            <w:r>
              <w:rPr>
                <w:snapToGrid w:val="0"/>
              </w:rPr>
              <w:t>的需求及特点，建立科学的管理体系及完善的管理制度，包括但不限于培训管理、质量管理、人员管理、团队建设等。</w:t>
            </w:r>
          </w:p>
          <w:p w14:paraId="009FB961" w14:textId="77777777" w:rsidR="00CF0D5D" w:rsidRDefault="00000000">
            <w:pPr>
              <w:spacing w:line="400" w:lineRule="exact"/>
              <w:rPr>
                <w:rFonts w:hint="eastAsia"/>
              </w:rPr>
            </w:pPr>
            <w:r>
              <w:t>3.中标服务商收到中标通知书后5天内完成团队组建。</w:t>
            </w:r>
          </w:p>
          <w:p w14:paraId="0A976248" w14:textId="77777777" w:rsidR="00CF0D5D" w:rsidRDefault="00000000">
            <w:pPr>
              <w:spacing w:line="400" w:lineRule="exact"/>
              <w:rPr>
                <w:rFonts w:hint="eastAsia"/>
                <w:snapToGrid w:val="0"/>
              </w:rPr>
            </w:pPr>
            <w:r>
              <w:rPr>
                <w:snapToGrid w:val="0"/>
              </w:rPr>
              <w:t>（二）运营人员要求</w:t>
            </w:r>
          </w:p>
          <w:p w14:paraId="6CA225CB" w14:textId="77777777" w:rsidR="00CF0D5D" w:rsidRDefault="00000000">
            <w:pPr>
              <w:spacing w:line="400" w:lineRule="exact"/>
              <w:rPr>
                <w:rFonts w:hint="eastAsia"/>
              </w:rPr>
            </w:pPr>
            <w:r>
              <w:t>1.中标服务</w:t>
            </w:r>
            <w:r>
              <w:rPr>
                <w:rFonts w:hint="eastAsia"/>
              </w:rPr>
              <w:t>供应</w:t>
            </w:r>
            <w:r>
              <w:t>商应保证服务协议期间有5名</w:t>
            </w:r>
            <w:r>
              <w:rPr>
                <w:rFonts w:hint="eastAsia"/>
              </w:rPr>
              <w:t>以上</w:t>
            </w:r>
            <w:r>
              <w:t>员工在职在岗</w:t>
            </w:r>
            <w:r>
              <w:rPr>
                <w:rFonts w:hint="eastAsia"/>
              </w:rPr>
              <w:t>（投标时的</w:t>
            </w:r>
            <w:r>
              <w:rPr>
                <w:rFonts w:eastAsia="宋体" w:cs="Times New Roman" w:hint="eastAsia"/>
                <w:sz w:val="21"/>
              </w:rPr>
              <w:t>人员与项目实施一致）。如</w:t>
            </w:r>
            <w:r>
              <w:t>员工若因辞退、调动或者离职等原因，撤出外包服务的，应当进行及时补员并确保外包服务</w:t>
            </w:r>
            <w:r>
              <w:rPr>
                <w:rFonts w:hint="eastAsia"/>
              </w:rPr>
              <w:t>座</w:t>
            </w:r>
            <w:r>
              <w:t>席在离岗前完成交接手续。</w:t>
            </w:r>
          </w:p>
          <w:p w14:paraId="2390C696" w14:textId="77777777" w:rsidR="00CF0D5D" w:rsidRDefault="00000000">
            <w:pPr>
              <w:spacing w:line="400" w:lineRule="exact"/>
              <w:rPr>
                <w:rFonts w:hint="eastAsia"/>
              </w:rPr>
            </w:pPr>
            <w:r>
              <w:t>2.因外包服务员工个人原因，给工作造成利益损害或者不利影响的，需求方有权退回外包服务人员。对委托机关退回的外包服务人员，中标服务商应当即时补员。</w:t>
            </w:r>
          </w:p>
          <w:p w14:paraId="041F1EAB" w14:textId="77777777" w:rsidR="00CF0D5D" w:rsidRDefault="00000000">
            <w:pPr>
              <w:spacing w:line="400" w:lineRule="exact"/>
              <w:rPr>
                <w:rFonts w:hint="eastAsia"/>
              </w:rPr>
            </w:pPr>
            <w:r>
              <w:rPr>
                <w:rFonts w:hint="eastAsia"/>
              </w:rPr>
              <w:t>3</w:t>
            </w:r>
            <w:r>
              <w:t>.中标服务商应当严格执行有关的人力资源保密和需求方的内部管理要求，对涉密的文件及服务对象信息应严格保密；若中标服务商外包服务人员违反保密相关规定，对需求方和服务对象造成利益损害的，中标服务商应承担相关法律责任。</w:t>
            </w:r>
          </w:p>
          <w:p w14:paraId="38E8461C" w14:textId="77777777" w:rsidR="00CF0D5D" w:rsidRDefault="00000000">
            <w:pPr>
              <w:spacing w:line="400" w:lineRule="exact"/>
              <w:rPr>
                <w:rFonts w:hint="eastAsia"/>
                <w:sz w:val="21"/>
              </w:rPr>
            </w:pPr>
            <w:r>
              <w:rPr>
                <w:rFonts w:hint="eastAsia"/>
              </w:rPr>
              <w:t>4</w:t>
            </w:r>
            <w:r>
              <w:t>.中标服务商不得以委托方的名义对外发生与委托业务无关的业务往来，并应当对提供的外包服务座席实行严格管理，对于中标服务商外包服务座席给政府造成利益损害的，中标服务商应当承担相关法律责任。</w:t>
            </w:r>
          </w:p>
          <w:p w14:paraId="41D67EA8" w14:textId="77777777" w:rsidR="00CF0D5D" w:rsidRDefault="00000000">
            <w:pPr>
              <w:spacing w:line="400" w:lineRule="exact"/>
              <w:rPr>
                <w:rFonts w:hint="eastAsia"/>
              </w:rPr>
            </w:pPr>
            <w:r>
              <w:rPr>
                <w:rFonts w:hint="eastAsia"/>
              </w:rPr>
              <w:t>5</w:t>
            </w:r>
            <w:r>
              <w:t>.服务时间要求</w:t>
            </w:r>
          </w:p>
          <w:p w14:paraId="5CC5CEBE" w14:textId="77777777" w:rsidR="00CF0D5D" w:rsidRDefault="00000000">
            <w:pPr>
              <w:spacing w:line="400" w:lineRule="exact"/>
              <w:rPr>
                <w:rFonts w:hint="eastAsia"/>
              </w:rPr>
            </w:pPr>
            <w:r>
              <w:t>合同服务期</w:t>
            </w:r>
            <w:r>
              <w:rPr>
                <w:rFonts w:hint="eastAsia"/>
              </w:rPr>
              <w:t>为1年，从采购合同生效且实际提供服务之日起算</w:t>
            </w:r>
            <w:r>
              <w:t>。</w:t>
            </w:r>
          </w:p>
          <w:p w14:paraId="2B993574" w14:textId="77777777" w:rsidR="00CF0D5D" w:rsidRDefault="00000000">
            <w:pPr>
              <w:spacing w:line="400" w:lineRule="exact"/>
              <w:rPr>
                <w:rFonts w:hint="eastAsia"/>
              </w:rPr>
            </w:pPr>
            <w:r>
              <w:rPr>
                <w:rFonts w:hint="eastAsia"/>
              </w:rPr>
              <w:t>6</w:t>
            </w:r>
            <w:r>
              <w:t>.人员工资福利</w:t>
            </w:r>
          </w:p>
          <w:p w14:paraId="2FA4623B" w14:textId="77777777" w:rsidR="00CF0D5D" w:rsidRDefault="00000000">
            <w:pPr>
              <w:spacing w:line="400" w:lineRule="exact"/>
              <w:rPr>
                <w:rFonts w:hint="eastAsia"/>
              </w:rPr>
            </w:pPr>
            <w:r>
              <w:t>服务人员的工资福利包括但不限于基础工资、月度绩效、年度绩效、五险一金、加班费用、交通补贴、伙食补贴、通信补贴、高温补贴、过节福利、体检费用、劳保费用、团队拓展、培训交流、差旅住宿等</w:t>
            </w:r>
            <w:r>
              <w:rPr>
                <w:rFonts w:hint="eastAsia"/>
              </w:rPr>
              <w:t>，由</w:t>
            </w:r>
            <w:r>
              <w:t>中标服务商</w:t>
            </w:r>
            <w:r>
              <w:rPr>
                <w:rFonts w:hint="eastAsia"/>
              </w:rPr>
              <w:t>负责承担</w:t>
            </w:r>
            <w:r>
              <w:t>。</w:t>
            </w:r>
          </w:p>
          <w:p w14:paraId="50594906" w14:textId="77777777" w:rsidR="00CF0D5D" w:rsidRDefault="00000000">
            <w:pPr>
              <w:spacing w:line="400" w:lineRule="exact"/>
              <w:rPr>
                <w:rFonts w:hint="eastAsia"/>
              </w:rPr>
            </w:pPr>
            <w:r>
              <w:rPr>
                <w:rFonts w:hint="eastAsia"/>
              </w:rPr>
              <w:t>三</w:t>
            </w:r>
            <w:r>
              <w:t>、服务成果</w:t>
            </w:r>
            <w:r>
              <w:rPr>
                <w:rFonts w:hint="eastAsia"/>
              </w:rPr>
              <w:t>（3份）</w:t>
            </w:r>
          </w:p>
          <w:p w14:paraId="0C5351FC" w14:textId="77777777" w:rsidR="00CF0D5D" w:rsidRDefault="00000000">
            <w:pPr>
              <w:spacing w:line="400" w:lineRule="exact"/>
              <w:rPr>
                <w:rFonts w:hint="eastAsia"/>
              </w:rPr>
            </w:pPr>
            <w:r>
              <w:t>1.提供</w:t>
            </w:r>
            <w:r>
              <w:rPr>
                <w:rFonts w:hint="eastAsia"/>
              </w:rPr>
              <w:t>月度</w:t>
            </w:r>
            <w:r>
              <w:t>好差评核查统计报表</w:t>
            </w:r>
            <w:r>
              <w:rPr>
                <w:rFonts w:hint="eastAsia"/>
              </w:rPr>
              <w:t>、分析报告；</w:t>
            </w:r>
          </w:p>
          <w:p w14:paraId="737CEC1D" w14:textId="77777777" w:rsidR="00CF0D5D" w:rsidRDefault="00000000">
            <w:pPr>
              <w:spacing w:line="400" w:lineRule="exact"/>
              <w:rPr>
                <w:rFonts w:hint="eastAsia"/>
              </w:rPr>
            </w:pPr>
            <w:r>
              <w:rPr>
                <w:rFonts w:hint="eastAsia"/>
              </w:rPr>
              <w:t>2.提供</w:t>
            </w:r>
            <w:r>
              <w:t>好差评</w:t>
            </w:r>
            <w:r>
              <w:rPr>
                <w:rFonts w:hint="eastAsia"/>
              </w:rPr>
              <w:t>年度分析报告；</w:t>
            </w:r>
          </w:p>
          <w:p w14:paraId="1A7AFDE3" w14:textId="77777777" w:rsidR="00CF0D5D" w:rsidRDefault="00000000">
            <w:pPr>
              <w:spacing w:line="400" w:lineRule="exact"/>
              <w:rPr>
                <w:rFonts w:hint="eastAsia"/>
              </w:rPr>
            </w:pPr>
            <w:r>
              <w:lastRenderedPageBreak/>
              <w:t>2.提供半年、年度政务服务质量调查分析报告。</w:t>
            </w:r>
          </w:p>
        </w:tc>
      </w:tr>
      <w:tr w:rsidR="00CF0D5D" w14:paraId="65309161" w14:textId="77777777">
        <w:trPr>
          <w:jc w:val="center"/>
        </w:trPr>
        <w:tc>
          <w:tcPr>
            <w:tcW w:w="9682" w:type="dxa"/>
            <w:gridSpan w:val="3"/>
            <w:vAlign w:val="center"/>
          </w:tcPr>
          <w:p w14:paraId="46EBF55B" w14:textId="77777777" w:rsidR="00CF0D5D" w:rsidRDefault="00000000">
            <w:pPr>
              <w:rPr>
                <w:rFonts w:hint="eastAsia"/>
              </w:rPr>
            </w:pPr>
            <w:r>
              <w:lastRenderedPageBreak/>
              <w:t>二、商务要求</w:t>
            </w:r>
          </w:p>
        </w:tc>
      </w:tr>
      <w:tr w:rsidR="00CF0D5D" w14:paraId="7007FE39" w14:textId="77777777">
        <w:trPr>
          <w:jc w:val="center"/>
        </w:trPr>
        <w:tc>
          <w:tcPr>
            <w:tcW w:w="9682" w:type="dxa"/>
            <w:gridSpan w:val="3"/>
            <w:vAlign w:val="center"/>
          </w:tcPr>
          <w:p w14:paraId="1346109B" w14:textId="77777777" w:rsidR="00CF0D5D" w:rsidRDefault="00000000">
            <w:pPr>
              <w:spacing w:line="400" w:lineRule="exact"/>
              <w:rPr>
                <w:rFonts w:hint="eastAsia"/>
              </w:rPr>
            </w:pPr>
            <w:r>
              <w:t>★1.报价要求</w:t>
            </w:r>
          </w:p>
          <w:p w14:paraId="01F7C009" w14:textId="77777777" w:rsidR="00CF0D5D" w:rsidRDefault="00000000">
            <w:pPr>
              <w:spacing w:line="400" w:lineRule="exact"/>
              <w:rPr>
                <w:rFonts w:hint="eastAsia"/>
              </w:rPr>
            </w:pPr>
            <w:r>
              <w:t>本项目实行总承包报价，报价为采购人指定服务范围内的全部价格，至少包括：</w:t>
            </w:r>
          </w:p>
          <w:p w14:paraId="188ED5D0" w14:textId="77777777" w:rsidR="00CF0D5D" w:rsidRDefault="00000000">
            <w:pPr>
              <w:spacing w:line="400" w:lineRule="exact"/>
              <w:rPr>
                <w:rFonts w:hint="eastAsia"/>
              </w:rPr>
            </w:pPr>
            <w:r>
              <w:t>（1）服务的价格（包括人工、材料、设备等）；</w:t>
            </w:r>
          </w:p>
          <w:p w14:paraId="3AAD5D6A" w14:textId="77777777" w:rsidR="00CF0D5D" w:rsidRDefault="00000000">
            <w:pPr>
              <w:spacing w:line="400" w:lineRule="exact"/>
              <w:rPr>
                <w:rFonts w:hint="eastAsia"/>
              </w:rPr>
            </w:pPr>
            <w:r>
              <w:t>（2）必要的保险费用和各项税金；</w:t>
            </w:r>
          </w:p>
          <w:p w14:paraId="27E5759D" w14:textId="77777777" w:rsidR="00CF0D5D" w:rsidRDefault="00000000">
            <w:pPr>
              <w:spacing w:line="400" w:lineRule="exact"/>
              <w:rPr>
                <w:rFonts w:hint="eastAsia"/>
              </w:rPr>
            </w:pPr>
            <w:r>
              <w:t>（3）验收及专家评估费用等</w:t>
            </w:r>
            <w:r>
              <w:rPr>
                <w:rFonts w:hint="eastAsia"/>
              </w:rPr>
              <w:t>；</w:t>
            </w:r>
          </w:p>
          <w:p w14:paraId="28DDD42A" w14:textId="77777777" w:rsidR="00CF0D5D" w:rsidRDefault="00000000">
            <w:pPr>
              <w:spacing w:line="400" w:lineRule="exact"/>
              <w:rPr>
                <w:rFonts w:hint="eastAsia"/>
              </w:rPr>
            </w:pPr>
            <w:r>
              <w:t>（4）与本项目运营服务工作有关的其他一切费用。</w:t>
            </w:r>
          </w:p>
          <w:p w14:paraId="612117B6" w14:textId="77777777" w:rsidR="00CF0D5D" w:rsidRDefault="00000000">
            <w:pPr>
              <w:spacing w:line="400" w:lineRule="exact"/>
              <w:rPr>
                <w:rFonts w:hint="eastAsia"/>
              </w:rPr>
            </w:pPr>
            <w:r>
              <w:t>采购人不再支付成交价格以外的任何费用。</w:t>
            </w:r>
          </w:p>
          <w:p w14:paraId="4D9793C2" w14:textId="77777777" w:rsidR="00CF0D5D" w:rsidRDefault="00000000">
            <w:pPr>
              <w:spacing w:line="400" w:lineRule="exact"/>
              <w:rPr>
                <w:rFonts w:hint="eastAsia"/>
              </w:rPr>
            </w:pPr>
            <w:r>
              <w:t>2.项目服务时间及服务地点</w:t>
            </w:r>
          </w:p>
          <w:p w14:paraId="4B0C4FDE" w14:textId="77777777" w:rsidR="00CF0D5D" w:rsidRDefault="00000000">
            <w:pPr>
              <w:spacing w:line="400" w:lineRule="exact"/>
              <w:rPr>
                <w:rFonts w:hint="eastAsia"/>
              </w:rPr>
            </w:pPr>
            <w:r>
              <w:t>（1）服务期限：1年</w:t>
            </w:r>
            <w:r>
              <w:rPr>
                <w:rFonts w:hint="eastAsia"/>
              </w:rPr>
              <w:t>。</w:t>
            </w:r>
          </w:p>
          <w:p w14:paraId="3260E20C" w14:textId="77777777" w:rsidR="00CF0D5D" w:rsidRDefault="00000000">
            <w:pPr>
              <w:spacing w:line="400" w:lineRule="exact"/>
              <w:rPr>
                <w:rFonts w:hint="eastAsia"/>
              </w:rPr>
            </w:pPr>
            <w:r>
              <w:t>（2）服务地点：采购人指定地点。</w:t>
            </w:r>
          </w:p>
          <w:p w14:paraId="49CCBD80" w14:textId="77777777" w:rsidR="00CF0D5D" w:rsidRDefault="00000000">
            <w:pPr>
              <w:spacing w:line="400" w:lineRule="exact"/>
              <w:rPr>
                <w:rFonts w:hint="eastAsia"/>
              </w:rPr>
            </w:pPr>
            <w:r>
              <w:t>3.服务交付时间及交付地点</w:t>
            </w:r>
          </w:p>
          <w:p w14:paraId="4E8EBADB" w14:textId="77777777" w:rsidR="00CF0D5D" w:rsidRDefault="00000000">
            <w:pPr>
              <w:spacing w:line="400" w:lineRule="exact"/>
              <w:rPr>
                <w:rFonts w:hint="eastAsia"/>
              </w:rPr>
            </w:pPr>
            <w:r>
              <w:t>（1）交付时间：中标后7天内开始提供服务</w:t>
            </w:r>
            <w:r>
              <w:rPr>
                <w:rFonts w:hint="eastAsia"/>
              </w:rPr>
              <w:t>。</w:t>
            </w:r>
          </w:p>
          <w:p w14:paraId="54A337DA" w14:textId="77777777" w:rsidR="00CF0D5D" w:rsidRDefault="00000000">
            <w:pPr>
              <w:spacing w:line="400" w:lineRule="exact"/>
              <w:rPr>
                <w:rFonts w:hint="eastAsia"/>
              </w:rPr>
            </w:pPr>
            <w:r>
              <w:t>（2）交付地点：采购人指定地点。</w:t>
            </w:r>
          </w:p>
          <w:p w14:paraId="14A28D4D" w14:textId="77777777" w:rsidR="00CF0D5D" w:rsidRDefault="00000000">
            <w:pPr>
              <w:spacing w:line="400" w:lineRule="exact"/>
              <w:rPr>
                <w:rFonts w:hint="eastAsia"/>
              </w:rPr>
            </w:pPr>
            <w:r>
              <w:t>4.付款条件</w:t>
            </w:r>
          </w:p>
          <w:p w14:paraId="3B13740D" w14:textId="77777777" w:rsidR="00CF0D5D" w:rsidRDefault="00000000">
            <w:pPr>
              <w:adjustRightInd/>
              <w:snapToGrid/>
              <w:spacing w:line="400" w:lineRule="exact"/>
              <w:ind w:firstLineChars="0"/>
              <w:rPr>
                <w:rFonts w:hint="eastAsia"/>
              </w:rPr>
            </w:pPr>
            <w:r>
              <w:rPr>
                <w:rFonts w:hint="eastAsia"/>
              </w:rPr>
              <w:t>合同签订之日起7个工作日内支付合同总额的50%；2025年11月30日前，达到抽查数量70%（自治区、各设区市）后支付合同总额20%；2026年1月31日前，达到抽查数量95%（自治区、各设区市）后支付合同总额25%；2026年3月1日前，经采购人验收通过后7个工作日内支付项目剩余5%款项。每次采购人付款前，</w:t>
            </w:r>
            <w:r>
              <w:t>供应商</w:t>
            </w:r>
            <w:r>
              <w:rPr>
                <w:rFonts w:hint="eastAsia"/>
              </w:rPr>
              <w:t>应</w:t>
            </w:r>
            <w:r>
              <w:t>开具增值税发票</w:t>
            </w:r>
            <w:r>
              <w:rPr>
                <w:rFonts w:hint="eastAsia"/>
              </w:rPr>
              <w:t>和请款函</w:t>
            </w:r>
            <w:r>
              <w:t>给采购人。</w:t>
            </w:r>
          </w:p>
          <w:p w14:paraId="7457EF96" w14:textId="77777777" w:rsidR="00CF0D5D" w:rsidRDefault="00000000">
            <w:pPr>
              <w:spacing w:line="400" w:lineRule="exact"/>
              <w:rPr>
                <w:rFonts w:hint="eastAsia"/>
              </w:rPr>
            </w:pPr>
            <w:r>
              <w:t xml:space="preserve">  5</w:t>
            </w:r>
            <w:r>
              <w:rPr>
                <w:rFonts w:hint="eastAsia"/>
              </w:rPr>
              <w:t>.违约责任</w:t>
            </w:r>
          </w:p>
          <w:p w14:paraId="6C8F37AA" w14:textId="77777777" w:rsidR="00CF0D5D" w:rsidRDefault="00000000">
            <w:pPr>
              <w:spacing w:line="400" w:lineRule="exact"/>
              <w:ind w:firstLine="420"/>
              <w:rPr>
                <w:rFonts w:hint="eastAsia"/>
              </w:rPr>
            </w:pPr>
            <w:r>
              <w:rPr>
                <w:rFonts w:hint="eastAsia"/>
                <w:sz w:val="21"/>
              </w:rPr>
              <w:t>除不可抗力原因外，</w:t>
            </w:r>
            <w:r>
              <w:rPr>
                <w:rFonts w:hint="eastAsia"/>
              </w:rPr>
              <w:t>若服务供应商未在规定时间内完成任务，</w:t>
            </w:r>
            <w:r>
              <w:rPr>
                <w:rFonts w:ascii="宋体" w:eastAsia="宋体" w:hAnsi="宋体" w:hint="eastAsia"/>
              </w:rPr>
              <w:t>每迟延一天扣合同金额的3‰</w:t>
            </w:r>
            <w:r>
              <w:rPr>
                <w:rFonts w:ascii="仿宋_GB2312" w:eastAsia="仿宋_GB2312" w:hAnsi="仿宋_GB2312" w:cs="仿宋_GB2312" w:hint="eastAsia"/>
                <w:b/>
                <w:bCs/>
              </w:rPr>
              <w:t>；经抽查发现在工作人员在回访差评件甄别时记录有错误的，错误率高于1‰，扣合同金额的1‰，每高出一个点千分点同步加扣。</w:t>
            </w:r>
          </w:p>
          <w:p w14:paraId="4D575D6F" w14:textId="77777777" w:rsidR="00CF0D5D" w:rsidRDefault="00000000">
            <w:pPr>
              <w:spacing w:line="400" w:lineRule="exact"/>
              <w:rPr>
                <w:rFonts w:hint="eastAsia"/>
              </w:rPr>
            </w:pPr>
            <w:r>
              <w:rPr>
                <w:rFonts w:hint="eastAsia"/>
              </w:rPr>
              <w:t>6</w:t>
            </w:r>
            <w:r>
              <w:t>.其他要求</w:t>
            </w:r>
          </w:p>
          <w:p w14:paraId="2BA83BB9" w14:textId="77777777" w:rsidR="00CF0D5D" w:rsidRDefault="00000000">
            <w:pPr>
              <w:spacing w:line="400" w:lineRule="exact"/>
              <w:rPr>
                <w:rFonts w:hint="eastAsia"/>
              </w:rPr>
            </w:pPr>
            <w:r>
              <w:t>本项目所有成果以及相关研究数据资料所有权属于采购人。</w:t>
            </w:r>
          </w:p>
        </w:tc>
      </w:tr>
    </w:tbl>
    <w:p w14:paraId="7DB0BEA0" w14:textId="77777777" w:rsidR="00CF0D5D" w:rsidRDefault="00000000">
      <w:pPr>
        <w:rPr>
          <w:rFonts w:ascii="Verdana" w:eastAsia="宋体" w:hAnsi="Verdana" w:cs="Times New Roman"/>
          <w:sz w:val="21"/>
        </w:rPr>
      </w:pPr>
      <w:r>
        <w:rPr>
          <w:rFonts w:hint="eastAsia"/>
        </w:rPr>
        <w:t>七、供应商基本要求</w:t>
      </w:r>
    </w:p>
    <w:p w14:paraId="008DEBF3" w14:textId="77777777" w:rsidR="00CF0D5D" w:rsidRDefault="00000000">
      <w:pPr>
        <w:pStyle w:val="a0"/>
        <w:ind w:firstLineChars="0" w:firstLine="0"/>
        <w:jc w:val="left"/>
        <w:rPr>
          <w:rFonts w:ascii="黑体" w:hAnsi="黑体" w:hint="eastAsia"/>
          <w:sz w:val="24"/>
        </w:rPr>
      </w:pPr>
      <w:r>
        <w:rPr>
          <w:rFonts w:ascii="黑体" w:hAnsi="黑体"/>
          <w:sz w:val="24"/>
        </w:rPr>
        <w:lastRenderedPageBreak/>
        <w:t>1.符合《中华人民共和国政府采购法》第二十二条规定;</w:t>
      </w:r>
    </w:p>
    <w:p w14:paraId="5FA18B70" w14:textId="77777777" w:rsidR="00CF0D5D" w:rsidRDefault="00000000">
      <w:pPr>
        <w:pStyle w:val="a0"/>
        <w:ind w:firstLineChars="0" w:firstLine="0"/>
        <w:jc w:val="left"/>
        <w:rPr>
          <w:rFonts w:ascii="黑体" w:hAnsi="黑体" w:hint="eastAsia"/>
          <w:sz w:val="24"/>
        </w:rPr>
      </w:pPr>
      <w:r>
        <w:rPr>
          <w:rFonts w:ascii="黑体" w:hAnsi="黑体"/>
          <w:sz w:val="24"/>
        </w:rPr>
        <w:t>2.落实政府采购政策需满足的资格要求:</w:t>
      </w:r>
      <w:r>
        <w:rPr>
          <w:rFonts w:ascii="黑体" w:hAnsi="黑体" w:hint="eastAsia"/>
          <w:sz w:val="24"/>
        </w:rPr>
        <w:t>不存在政府采购严重违法失信行为。</w:t>
      </w:r>
    </w:p>
    <w:p w14:paraId="536F3070" w14:textId="77777777" w:rsidR="00CF0D5D" w:rsidRDefault="00000000">
      <w:pPr>
        <w:pStyle w:val="a0"/>
        <w:ind w:firstLineChars="0" w:firstLine="0"/>
        <w:jc w:val="left"/>
        <w:rPr>
          <w:rFonts w:ascii="黑体" w:hAnsi="黑体" w:hint="eastAsia"/>
          <w:sz w:val="24"/>
        </w:rPr>
      </w:pPr>
      <w:r>
        <w:rPr>
          <w:rFonts w:ascii="黑体" w:hAnsi="黑体"/>
          <w:sz w:val="24"/>
        </w:rPr>
        <w:t>3.国内注册(指按国家有关规定要求注册的)，合法运营在法律上、财务上独立的，具有生产或经营本次采购货物供应商;</w:t>
      </w:r>
    </w:p>
    <w:p w14:paraId="6BA21B71" w14:textId="77777777" w:rsidR="00CF0D5D" w:rsidRDefault="00000000">
      <w:pPr>
        <w:pStyle w:val="a0"/>
        <w:ind w:firstLineChars="0" w:firstLine="0"/>
        <w:jc w:val="left"/>
        <w:rPr>
          <w:rFonts w:ascii="黑体" w:hAnsi="黑体" w:hint="eastAsia"/>
          <w:sz w:val="24"/>
        </w:rPr>
      </w:pPr>
      <w:r>
        <w:rPr>
          <w:rFonts w:ascii="黑体" w:hAnsi="黑体"/>
          <w:sz w:val="24"/>
        </w:rPr>
        <w:t>4.对在“信用中国”网站(www.creditchina.gov.cn)、中国政府采购网(www.ccgp.gov.cn)等渠道列入失信被执行人、重大税收违法案件当事人名单、政府采购严重违法失信行为记录名单的投标人，不得参与政府采购活动;</w:t>
      </w:r>
    </w:p>
    <w:p w14:paraId="4503A753" w14:textId="77777777" w:rsidR="00CF0D5D" w:rsidRDefault="00000000">
      <w:pPr>
        <w:pStyle w:val="a0"/>
        <w:ind w:firstLineChars="0" w:firstLine="0"/>
        <w:jc w:val="left"/>
        <w:rPr>
          <w:rFonts w:ascii="黑体" w:hAnsi="黑体" w:hint="eastAsia"/>
          <w:sz w:val="24"/>
        </w:rPr>
      </w:pPr>
      <w:r>
        <w:rPr>
          <w:rFonts w:ascii="黑体" w:hAnsi="黑体"/>
          <w:sz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36FCEF" w14:textId="77777777" w:rsidR="00CF0D5D" w:rsidRDefault="00000000">
      <w:pPr>
        <w:ind w:firstLineChars="0" w:firstLine="0"/>
        <w:rPr>
          <w:rFonts w:hint="eastAsia"/>
        </w:rPr>
      </w:pPr>
      <w:r>
        <w:rPr>
          <w:rFonts w:hint="eastAsia"/>
        </w:rPr>
        <w:t>6.具备全国呼叫中心运营资质（具有呼叫中心业务的资质许可证）；</w:t>
      </w:r>
    </w:p>
    <w:sectPr w:rsidR="00CF0D5D">
      <w:headerReference w:type="even" r:id="rId7"/>
      <w:headerReference w:type="default" r:id="rId8"/>
      <w:footerReference w:type="even" r:id="rId9"/>
      <w:footerReference w:type="default" r:id="rId10"/>
      <w:headerReference w:type="first" r:id="rId11"/>
      <w:footerReference w:type="first" r:id="rId12"/>
      <w:pgSz w:w="11906" w:h="16838"/>
      <w:pgMar w:top="1984" w:right="1417" w:bottom="1701" w:left="1417" w:header="851" w:footer="124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7F26" w14:textId="77777777" w:rsidR="00CB2DB8" w:rsidRDefault="00CB2DB8">
      <w:pPr>
        <w:spacing w:line="240" w:lineRule="auto"/>
        <w:rPr>
          <w:rFonts w:hint="eastAsia"/>
        </w:rPr>
      </w:pPr>
      <w:r>
        <w:separator/>
      </w:r>
    </w:p>
  </w:endnote>
  <w:endnote w:type="continuationSeparator" w:id="0">
    <w:p w14:paraId="6BC3D350" w14:textId="77777777" w:rsidR="00CB2DB8" w:rsidRDefault="00CB2DB8">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58BF" w14:textId="77777777" w:rsidR="00995CE1" w:rsidRDefault="00995CE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8769" w14:textId="77777777" w:rsidR="00CF0D5D" w:rsidRDefault="00000000">
    <w:pPr>
      <w:pStyle w:val="a6"/>
      <w:ind w:firstLine="360"/>
    </w:pPr>
    <w:r>
      <w:rPr>
        <w:noProof/>
      </w:rPr>
      <mc:AlternateContent>
        <mc:Choice Requires="wps">
          <w:drawing>
            <wp:anchor distT="0" distB="0" distL="114300" distR="114300" simplePos="0" relativeHeight="251659264" behindDoc="0" locked="0" layoutInCell="1" allowOverlap="1" wp14:anchorId="2149A4FA" wp14:editId="214AC2DE">
              <wp:simplePos x="0" y="0"/>
              <wp:positionH relativeFrom="margin">
                <wp:align>outside</wp:align>
              </wp:positionH>
              <wp:positionV relativeFrom="paragraph">
                <wp:posOffset>0</wp:posOffset>
              </wp:positionV>
              <wp:extent cx="711835" cy="263525"/>
              <wp:effectExtent l="0" t="0" r="0" b="0"/>
              <wp:wrapNone/>
              <wp:docPr id="1" name="4098"/>
              <wp:cNvGraphicFramePr/>
              <a:graphic xmlns:a="http://schemas.openxmlformats.org/drawingml/2006/main">
                <a:graphicData uri="http://schemas.microsoft.com/office/word/2010/wordprocessingShape">
                  <wps:wsp>
                    <wps:cNvSpPr txBox="1"/>
                    <wps:spPr>
                      <a:xfrm>
                        <a:off x="0" y="0"/>
                        <a:ext cx="711835" cy="263525"/>
                      </a:xfrm>
                      <a:prstGeom prst="rect">
                        <a:avLst/>
                      </a:prstGeom>
                      <a:noFill/>
                      <a:ln>
                        <a:noFill/>
                      </a:ln>
                    </wps:spPr>
                    <wps:txbx>
                      <w:txbxContent>
                        <w:p w14:paraId="4C229364" w14:textId="77777777" w:rsidR="00CF0D5D" w:rsidRDefault="00000000">
                          <w:pPr>
                            <w:pStyle w:val="a6"/>
                            <w:ind w:firstLine="360"/>
                          </w:pPr>
                          <w:r>
                            <w:rPr>
                              <w:rFonts w:hint="eastAsia"/>
                            </w:rPr>
                            <w:t>—</w:t>
                          </w: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r>
                            <w:rPr>
                              <w:rFonts w:hint="eastAsia"/>
                            </w:rPr>
                            <w:t>—</w:t>
                          </w:r>
                        </w:p>
                      </w:txbxContent>
                    </wps:txbx>
                    <wps:bodyPr wrap="none" lIns="0" tIns="0" rIns="0" bIns="0" upright="1">
                      <a:spAutoFit/>
                    </wps:bodyPr>
                  </wps:wsp>
                </a:graphicData>
              </a:graphic>
            </wp:anchor>
          </w:drawing>
        </mc:Choice>
        <mc:Fallback xmlns:wpsCustomData="http://www.wps.cn/officeDocument/2013/wpsCustomData">
          <w:pict>
            <v:shape id="4098" o:spid="_x0000_s1026" o:spt="202" type="#_x0000_t202" style="position:absolute;left:0pt;margin-top:0pt;height:20.75pt;width:56.05pt;mso-position-horizontal:outside;mso-position-horizontal-relative:margin;mso-wrap-style:none;z-index:251659264;mso-width-relative:page;mso-height-relative:page;" filled="f" stroked="f" coordsize="21600,21600" o:gfxdata="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XpQJ9EAAAAEAQAADwAAAAAAAAABACAAAAAiAAAAZHJzL2Rvd25yZXYueG1sUEsBAhQAFAAA&#10;AAgAh07iQIo9zhq9AQAAkAMAAA4AAAAAAAAAAQAgAAAAIAEAAGRycy9lMm9Eb2MueG1sUEsFBgAA&#10;AAAGAAYAWQEAAE8FAAAAAA==&#10;">
              <v:fill on="f" focussize="0,0"/>
              <v:stroke on="f"/>
              <v:imagedata o:title=""/>
              <o:lock v:ext="edit" aspectratio="f"/>
              <v:textbox inset="0mm,0mm,0mm,0mm" style="mso-fit-shape-to-text:t;">
                <w:txbxContent>
                  <w:p w14:paraId="15EF68A3">
                    <w:pPr>
                      <w:pStyle w:val="5"/>
                      <w:ind w:firstLine="360"/>
                    </w:pP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8BD3" w14:textId="77777777" w:rsidR="00995CE1" w:rsidRDefault="00995CE1">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9AD9F" w14:textId="77777777" w:rsidR="00CB2DB8" w:rsidRDefault="00CB2DB8">
      <w:pPr>
        <w:spacing w:line="240" w:lineRule="auto"/>
        <w:rPr>
          <w:rFonts w:hint="eastAsia"/>
        </w:rPr>
      </w:pPr>
      <w:r>
        <w:separator/>
      </w:r>
    </w:p>
  </w:footnote>
  <w:footnote w:type="continuationSeparator" w:id="0">
    <w:p w14:paraId="158C8506" w14:textId="77777777" w:rsidR="00CB2DB8" w:rsidRDefault="00CB2DB8">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BB9D" w14:textId="77777777" w:rsidR="00995CE1" w:rsidRDefault="00995CE1">
    <w:pPr>
      <w:pStyle w:val="ad"/>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7778" w14:textId="77777777" w:rsidR="00995CE1" w:rsidRDefault="00995CE1">
    <w:pPr>
      <w:pStyle w:val="ad"/>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6CA0" w14:textId="77777777" w:rsidR="00995CE1" w:rsidRDefault="00995CE1">
    <w:pPr>
      <w:pStyle w:val="ad"/>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5MjgyNWE5MDU4YjJhYjAwZTQxY2Y1NjNlMGVmNzgifQ=="/>
  </w:docVars>
  <w:rsids>
    <w:rsidRoot w:val="06BA2700"/>
    <w:rsid w:val="EBFF6409"/>
    <w:rsid w:val="FCC54A5C"/>
    <w:rsid w:val="FCF965BE"/>
    <w:rsid w:val="FFCF620A"/>
    <w:rsid w:val="000C74AF"/>
    <w:rsid w:val="000D100D"/>
    <w:rsid w:val="003373F8"/>
    <w:rsid w:val="00521753"/>
    <w:rsid w:val="005F5528"/>
    <w:rsid w:val="006A39FE"/>
    <w:rsid w:val="008079EF"/>
    <w:rsid w:val="00953E57"/>
    <w:rsid w:val="00995CE1"/>
    <w:rsid w:val="009F7CA7"/>
    <w:rsid w:val="00A11B99"/>
    <w:rsid w:val="00A43161"/>
    <w:rsid w:val="00C01BD8"/>
    <w:rsid w:val="00C44747"/>
    <w:rsid w:val="00CB2DB8"/>
    <w:rsid w:val="00CF0D5D"/>
    <w:rsid w:val="00CF11F4"/>
    <w:rsid w:val="00E83F02"/>
    <w:rsid w:val="00EF7FA9"/>
    <w:rsid w:val="0413351C"/>
    <w:rsid w:val="06BA2700"/>
    <w:rsid w:val="078F2EFB"/>
    <w:rsid w:val="0C043099"/>
    <w:rsid w:val="17BD6FE5"/>
    <w:rsid w:val="1A842E64"/>
    <w:rsid w:val="23526FB9"/>
    <w:rsid w:val="2896756C"/>
    <w:rsid w:val="3017688A"/>
    <w:rsid w:val="369B1225"/>
    <w:rsid w:val="44825FFD"/>
    <w:rsid w:val="495A61DA"/>
    <w:rsid w:val="4CF070A0"/>
    <w:rsid w:val="4E21251D"/>
    <w:rsid w:val="5C3B4CCE"/>
    <w:rsid w:val="7A89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77219"/>
  <w15:docId w15:val="{9FBF51D5-9B40-4424-A515-49A1B648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snapToGrid w:val="0"/>
      <w:spacing w:line="560" w:lineRule="exact"/>
      <w:ind w:firstLineChars="200" w:firstLine="480"/>
      <w:jc w:val="both"/>
    </w:pPr>
    <w:rPr>
      <w:rFonts w:ascii="黑体" w:eastAsia="黑体" w:hAnsi="黑体" w:cs="黑体"/>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Times New Roman" w:hAnsi="Times New Roman"/>
      <w:sz w:val="52"/>
    </w:rPr>
  </w:style>
  <w:style w:type="paragraph" w:styleId="a4">
    <w:name w:val="annotation text"/>
    <w:basedOn w:val="a"/>
    <w:link w:val="a5"/>
    <w:qFormat/>
    <w:pPr>
      <w:jc w:val="left"/>
    </w:pPr>
  </w:style>
  <w:style w:type="paragraph" w:styleId="a6">
    <w:name w:val="footer"/>
    <w:basedOn w:val="a"/>
    <w:uiPriority w:val="99"/>
    <w:qFormat/>
    <w:pPr>
      <w:tabs>
        <w:tab w:val="center" w:pos="4153"/>
        <w:tab w:val="right" w:pos="8306"/>
      </w:tabs>
      <w:jc w:val="left"/>
    </w:pPr>
    <w:rPr>
      <w:rFonts w:ascii="Calibri" w:hAnsi="Calibri" w:cs="宋体"/>
      <w:sz w:val="18"/>
      <w:szCs w:val="18"/>
    </w:rPr>
  </w:style>
  <w:style w:type="paragraph" w:styleId="a7">
    <w:name w:val="Normal (Web)"/>
    <w:basedOn w:val="a"/>
    <w:qFormat/>
    <w:pPr>
      <w:spacing w:beforeAutospacing="1" w:afterAutospacing="1"/>
      <w:jc w:val="left"/>
    </w:pPr>
    <w:rPr>
      <w:rFonts w:cs="Times New Roman"/>
      <w:kern w:val="0"/>
    </w:rPr>
  </w:style>
  <w:style w:type="paragraph" w:styleId="a8">
    <w:name w:val="annotation subject"/>
    <w:basedOn w:val="a4"/>
    <w:next w:val="a4"/>
    <w:link w:val="a9"/>
    <w:qFormat/>
    <w:rPr>
      <w:b/>
      <w:bCs/>
    </w:rPr>
  </w:style>
  <w:style w:type="character" w:styleId="aa">
    <w:name w:val="Strong"/>
    <w:basedOn w:val="a1"/>
    <w:qFormat/>
    <w:rPr>
      <w:b/>
    </w:rPr>
  </w:style>
  <w:style w:type="character" w:styleId="ab">
    <w:name w:val="annotation reference"/>
    <w:basedOn w:val="a1"/>
    <w:qFormat/>
    <w:rPr>
      <w:sz w:val="21"/>
      <w:szCs w:val="21"/>
    </w:rPr>
  </w:style>
  <w:style w:type="paragraph" w:styleId="ac">
    <w:name w:val="List Paragraph"/>
    <w:basedOn w:val="a"/>
    <w:uiPriority w:val="34"/>
    <w:qFormat/>
    <w:pPr>
      <w:ind w:firstLine="420"/>
    </w:pPr>
  </w:style>
  <w:style w:type="character" w:customStyle="1" w:styleId="a5">
    <w:name w:val="批注文字 字符"/>
    <w:basedOn w:val="a1"/>
    <w:link w:val="a4"/>
    <w:qFormat/>
    <w:rPr>
      <w:rFonts w:ascii="黑体" w:eastAsia="黑体" w:hAnsi="黑体" w:cs="黑体"/>
      <w:kern w:val="2"/>
      <w:sz w:val="24"/>
      <w:szCs w:val="24"/>
    </w:rPr>
  </w:style>
  <w:style w:type="character" w:customStyle="1" w:styleId="a9">
    <w:name w:val="批注主题 字符"/>
    <w:basedOn w:val="a5"/>
    <w:link w:val="a8"/>
    <w:qFormat/>
    <w:rPr>
      <w:rFonts w:ascii="黑体" w:eastAsia="黑体" w:hAnsi="黑体" w:cs="黑体"/>
      <w:b/>
      <w:bCs/>
      <w:kern w:val="2"/>
      <w:sz w:val="24"/>
      <w:szCs w:val="24"/>
    </w:rPr>
  </w:style>
  <w:style w:type="paragraph" w:styleId="ad">
    <w:name w:val="header"/>
    <w:basedOn w:val="a"/>
    <w:link w:val="ae"/>
    <w:rsid w:val="00995CE1"/>
    <w:pPr>
      <w:tabs>
        <w:tab w:val="center" w:pos="4153"/>
        <w:tab w:val="right" w:pos="8306"/>
      </w:tabs>
      <w:spacing w:line="240" w:lineRule="atLeast"/>
      <w:jc w:val="center"/>
    </w:pPr>
    <w:rPr>
      <w:sz w:val="18"/>
      <w:szCs w:val="18"/>
    </w:rPr>
  </w:style>
  <w:style w:type="character" w:customStyle="1" w:styleId="ae">
    <w:name w:val="页眉 字符"/>
    <w:basedOn w:val="a1"/>
    <w:link w:val="ad"/>
    <w:rsid w:val="00995CE1"/>
    <w:rPr>
      <w:rFonts w:ascii="黑体" w:eastAsia="黑体" w:hAnsi="黑体"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1495</Words>
  <Characters>1586</Characters>
  <Application>Microsoft Office Word</Application>
  <DocSecurity>0</DocSecurity>
  <Lines>75</Lines>
  <Paragraphs>78</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꧁꫞꯭轻꯭舞꯭飞꯭扬꯭꫞꧂</dc:creator>
  <cp:lastModifiedBy>嘉欣 刘</cp:lastModifiedBy>
  <cp:revision>2</cp:revision>
  <dcterms:created xsi:type="dcterms:W3CDTF">2025-09-08T11:19:00Z</dcterms:created>
  <dcterms:modified xsi:type="dcterms:W3CDTF">2025-09-08T11:19:00Z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151C69C289BF461B9AE764005B455510_13</vt:lpwstr>
  </property>
  <property fmtid="{D5CDD505-2E9C-101B-9397-08002B2CF9AE}" pid="4" name="KSOTemplateDocerSaveRecord">
    <vt:lpwstr>eyJoZGlkIjoiZTk5MjgyNWE5MDU4YjJhYjAwZTQxY2Y1NjNlMGVmNzgiLCJ1c2VySWQiOiIzODk5OTE3MzgifQ==</vt:lpwstr>
  </property>
</Properties>
</file>