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AFB4D">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2025年自治区政务服务好差评评价项目</w:t>
      </w:r>
    </w:p>
    <w:p w14:paraId="645EDFB2">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评分标准</w:t>
      </w:r>
    </w:p>
    <w:p w14:paraId="20408C8D">
      <w:pPr>
        <w:rPr>
          <w:rFonts w:hint="eastAsia"/>
        </w:rPr>
      </w:pPr>
    </w:p>
    <w:p w14:paraId="53D1C16E">
      <w:pPr>
        <w:rPr>
          <w:rFonts w:hint="eastAsia"/>
        </w:rPr>
      </w:pPr>
      <w:r>
        <w:rPr>
          <w:rFonts w:hint="eastAsia"/>
        </w:rPr>
        <w:t>（一）对进入详评的，采用百分制综合评分法</w:t>
      </w:r>
      <w:bookmarkStart w:id="4" w:name="_GoBack"/>
      <w:bookmarkEnd w:id="4"/>
      <w:r>
        <w:rPr>
          <w:rFonts w:hint="eastAsia"/>
        </w:rPr>
        <w:t>。</w:t>
      </w:r>
    </w:p>
    <w:p w14:paraId="30F68130">
      <w:pPr>
        <w:rPr>
          <w:rFonts w:hint="eastAsia"/>
        </w:rPr>
      </w:pPr>
      <w:r>
        <w:rPr>
          <w:rFonts w:hint="eastAsia"/>
        </w:rPr>
        <w:t>（二）计分办法（按四舍五入取至百分位）：</w:t>
      </w:r>
      <w:bookmarkStart w:id="0" w:name="_Toc483043370"/>
    </w:p>
    <w:p w14:paraId="7BC6DB50">
      <w:pPr>
        <w:rPr>
          <w:rFonts w:hint="eastAsia"/>
          <w:color w:val="auto"/>
        </w:rPr>
      </w:pPr>
      <w:r>
        <w:rPr>
          <w:rFonts w:hint="eastAsia"/>
        </w:rPr>
        <w:t>1．价格分 ……</w:t>
      </w:r>
      <w:r>
        <w:rPr>
          <w:rFonts w:hint="eastAsia"/>
          <w:color w:val="auto"/>
        </w:rPr>
        <w:t>……………………………………………………………………30分</w:t>
      </w:r>
      <w:bookmarkEnd w:id="0"/>
    </w:p>
    <w:p w14:paraId="16D873D7">
      <w:pPr>
        <w:rPr>
          <w:rFonts w:hint="eastAsia"/>
        </w:rPr>
      </w:pPr>
      <w:r>
        <w:rPr>
          <w:rFonts w:hint="eastAsia"/>
        </w:rPr>
        <w:t>（1）评标报价为投标人的投标报价进行政策性扣除后的价格，评标报价只是作为评标时使用。最终中标人的中标金额等于投标报价。</w:t>
      </w:r>
    </w:p>
    <w:p w14:paraId="08E0C89D">
      <w:pPr>
        <w:rPr>
          <w:rFonts w:hint="eastAsia"/>
        </w:rPr>
      </w:pPr>
      <w:r>
        <w:rPr>
          <w:rFonts w:hint="eastAsia"/>
        </w:rPr>
        <w:t>（2）按照《政府采购促进中小企业发展管理办法》（财库〔2020〕46号）的规定及《财政部关于进一步加大政府采购支持中小企业力度的通知》（财库〔2022〕19号）的规定，投标人为小型和微型企业，并在其投标文件中按财库〔2020〕46号规定的格式提供《中小企业声明函》，且其所投标产品全部为小型和微型企业产品的，对其投标价格给予20%的扣除。</w:t>
      </w:r>
    </w:p>
    <w:p w14:paraId="327CE9C8">
      <w:pPr>
        <w:rPr>
          <w:rFonts w:hint="eastAsia"/>
        </w:rPr>
      </w:pPr>
      <w:r>
        <w:rPr>
          <w:rFonts w:hint="eastAsia"/>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D2160B7">
      <w:pPr>
        <w:rPr>
          <w:rFonts w:hint="eastAsia"/>
        </w:rPr>
      </w:pPr>
      <w:r>
        <w:rPr>
          <w:rFonts w:hint="eastAsia"/>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4883C21">
      <w:pPr>
        <w:rPr>
          <w:rFonts w:hint="eastAsia"/>
        </w:rPr>
      </w:pPr>
      <w:r>
        <w:rPr>
          <w:rFonts w:hint="eastAsia"/>
        </w:rPr>
        <w:t>（5）政策性扣除计算方法。投标人被评定为监狱企业或残疾人福利性单位或小型和微型企业且其所投标全部产品为小型和微型企业产品的，该投标人的投标报价给予20%的扣除，扣除后的价格为评标报价，即评标报价=投标报价×（1-20%）；大中型企业和其他自然人、法人或者其他组织与小型、微型企业组成投标，且协议中约定小型、微型企业的协议合同金额占到联合体协议合同总金额30%以上的，联合体投标价给予4-6%的扣除，扣除后的价格为评标价，即评标报价=投标报价×（1-20%）；除上述情况外，评标报价=投标报价。</w:t>
      </w:r>
    </w:p>
    <w:p w14:paraId="797763F9">
      <w:pPr>
        <w:rPr>
          <w:rFonts w:hint="eastAsia"/>
        </w:rPr>
      </w:pPr>
      <w:r>
        <w:rPr>
          <w:rFonts w:hint="eastAsia"/>
        </w:rPr>
        <w:t>（6）价格分计算公式：价格分=（投标人投标报价</w:t>
      </w:r>
      <w:r>
        <w:t>/</w:t>
      </w:r>
      <w:r>
        <w:rPr>
          <w:rFonts w:hint="eastAsia"/>
        </w:rPr>
        <w:t>某投标人的最低报价）×</w:t>
      </w:r>
      <w:r>
        <w:rPr>
          <w:rFonts w:hint="eastAsia"/>
          <w:lang w:val="en-US" w:eastAsia="zh-CN"/>
        </w:rPr>
        <w:t>3</w:t>
      </w:r>
      <w:r>
        <w:rPr>
          <w:rFonts w:hint="eastAsia"/>
        </w:rPr>
        <w:t>0分</w:t>
      </w:r>
    </w:p>
    <w:p w14:paraId="74434B2E">
      <w:pPr>
        <w:rPr>
          <w:rFonts w:hint="eastAsia"/>
          <w:highlight w:val="none"/>
        </w:rPr>
      </w:pPr>
      <w:bookmarkStart w:id="1" w:name="_Toc483043377"/>
      <w:r>
        <w:rPr>
          <w:rFonts w:hint="eastAsia"/>
          <w:highlight w:val="none"/>
        </w:rPr>
        <w:t>2．技术分 …………………………………………………………………………40分</w:t>
      </w:r>
    </w:p>
    <w:p w14:paraId="54A80A23">
      <w:pPr>
        <w:rPr>
          <w:rFonts w:hint="eastAsia"/>
          <w:highlight w:val="none"/>
        </w:rPr>
      </w:pPr>
      <w:r>
        <w:rPr>
          <w:rFonts w:hint="eastAsia"/>
          <w:highlight w:val="none"/>
        </w:rPr>
        <w:t>（1）服务方案 ……………………………………………………………………15分</w:t>
      </w:r>
    </w:p>
    <w:p w14:paraId="4D99C63E">
      <w:pPr>
        <w:rPr>
          <w:rFonts w:hint="eastAsia"/>
          <w:highlight w:val="none"/>
        </w:rPr>
      </w:pPr>
      <w:r>
        <w:rPr>
          <w:rFonts w:hint="eastAsia"/>
          <w:highlight w:val="none"/>
        </w:rPr>
        <w:t>评标委员会根据投标人项目服务方案与需求的吻合程度进行分档，然后在该档进行独立打分。</w:t>
      </w:r>
    </w:p>
    <w:p w14:paraId="1F571716">
      <w:pPr>
        <w:rPr>
          <w:rFonts w:hint="eastAsia"/>
          <w:highlight w:val="none"/>
        </w:rPr>
      </w:pPr>
      <w:r>
        <w:rPr>
          <w:highlight w:val="none"/>
        </w:rPr>
        <w:t>0</w:t>
      </w:r>
      <w:r>
        <w:rPr>
          <w:rFonts w:hint="eastAsia"/>
          <w:highlight w:val="none"/>
        </w:rPr>
        <w:t>档（0分）不提供服务方案或服务方案不符合需求；</w:t>
      </w:r>
    </w:p>
    <w:p w14:paraId="6B1D634F">
      <w:pPr>
        <w:rPr>
          <w:rFonts w:hint="eastAsia"/>
          <w:highlight w:val="none"/>
        </w:rPr>
      </w:pPr>
      <w:r>
        <w:rPr>
          <w:rFonts w:hint="eastAsia"/>
          <w:highlight w:val="none"/>
        </w:rPr>
        <w:t>一档（5分）：</w:t>
      </w:r>
      <w:r>
        <w:rPr>
          <w:rFonts w:hint="eastAsia"/>
          <w:highlight w:val="none"/>
          <w:lang w:bidi="zh-CN"/>
        </w:rPr>
        <w:t>供应商对</w:t>
      </w:r>
      <w:bookmarkStart w:id="2" w:name="_Hlk74233912"/>
      <w:bookmarkStart w:id="3" w:name="_Hlk69970102"/>
      <w:r>
        <w:rPr>
          <w:rFonts w:hint="eastAsia"/>
          <w:highlight w:val="none"/>
          <w:lang w:bidi="zh-CN"/>
        </w:rPr>
        <w:t>政务服务“好差评”甄别项目背景有简单理解，对政务服务大厅与网上政务等工作</w:t>
      </w:r>
      <w:bookmarkEnd w:id="2"/>
      <w:r>
        <w:rPr>
          <w:rFonts w:hint="eastAsia"/>
          <w:highlight w:val="none"/>
          <w:lang w:bidi="zh-CN"/>
        </w:rPr>
        <w:t>的需求理解、重点难点分析内容简单，</w:t>
      </w:r>
      <w:bookmarkEnd w:id="3"/>
      <w:r>
        <w:rPr>
          <w:rFonts w:hint="eastAsia"/>
          <w:highlight w:val="none"/>
          <w:lang w:bidi="zh-CN"/>
        </w:rPr>
        <w:t>服务方案简单，服务思路及服务方法论述一般，质量管控措施有一定保障，有简单的应急措施，实施方案基本满足项目需求；：供应商针对本项目制订的培训计划、考核方式、目标等人员岗前培训方案内容一般，实施性不强；针对本业务开展1次岗前培训。</w:t>
      </w:r>
    </w:p>
    <w:p w14:paraId="6177B001">
      <w:pPr>
        <w:rPr>
          <w:rFonts w:hint="eastAsia"/>
          <w:highlight w:val="none"/>
        </w:rPr>
      </w:pPr>
      <w:r>
        <w:rPr>
          <w:rFonts w:hint="eastAsia"/>
          <w:highlight w:val="none"/>
        </w:rPr>
        <w:t>二档（10分）：</w:t>
      </w:r>
      <w:r>
        <w:rPr>
          <w:rFonts w:hint="eastAsia"/>
          <w:highlight w:val="none"/>
          <w:lang w:bidi="zh-CN"/>
        </w:rPr>
        <w:t>供应商对政务服务“好差评”甄别项目背景有较好的理解，对政务服务大厅与网上政务等工作需求理解、重点难点分析内容详细，服务方案详细，服务思路及服务方法论述详细，质量管控措施有保障，有详细的应急措施，实施方案完全满足项目需求；供应商针对本项目制订的培训计划、考核方式、目标等人员岗前培训方案内容完整、可实施性较强；针对本业务开展1次岗前培训，3次岗中培训。</w:t>
      </w:r>
    </w:p>
    <w:p w14:paraId="47A7FC31">
      <w:pPr>
        <w:rPr>
          <w:rFonts w:hint="eastAsia"/>
          <w:highlight w:val="none"/>
          <w:lang w:bidi="zh-CN"/>
        </w:rPr>
      </w:pPr>
      <w:r>
        <w:rPr>
          <w:rFonts w:hint="eastAsia"/>
          <w:highlight w:val="none"/>
          <w:lang w:bidi="zh-CN"/>
        </w:rPr>
        <w:t>三档（15分）：供应商对政务服务“好差评”甄别项目背景有细致的了解，包括，对政务服务大厅与网上政务等工作需求理解、重点难点分析内容详细完善，服务方案详细完善，服务思路及服务方法论述详细完善，针对项目实施方案及系统功能提出优化方案，并具有一定可操作性，质量管控措</w:t>
      </w:r>
      <w:r>
        <w:rPr>
          <w:rFonts w:hint="eastAsia"/>
          <w:spacing w:val="-6"/>
          <w:highlight w:val="none"/>
          <w:lang w:bidi="zh-CN"/>
        </w:rPr>
        <w:t>施保障有力，有详细完善的应急措施，有同类政务服务质量分析报告，有政务服务质量问访的脚本、政务服务大厅的“体验官”测评脚本，能全面确保实施方案完全满足项目需求</w:t>
      </w:r>
      <w:r>
        <w:rPr>
          <w:rFonts w:hint="eastAsia"/>
          <w:highlight w:val="none"/>
          <w:lang w:bidi="zh-CN"/>
        </w:rPr>
        <w:t>。供应商针对本项目制订的培训计划、考核方式、目标及言行规范、人员业务知识、服务礼仪、12345业务平台操作等技能培训方案优秀，内容丰富，合理性、科学性、针对性强；针对本业务开展1次岗前培训，6次以上岗中培训。</w:t>
      </w:r>
    </w:p>
    <w:p w14:paraId="465FD609">
      <w:pPr>
        <w:rPr>
          <w:rFonts w:hint="eastAsia"/>
        </w:rPr>
      </w:pPr>
      <w:r>
        <w:rPr>
          <w:rFonts w:hint="eastAsia"/>
        </w:rPr>
        <w:t>（2）人员管理规章制度……………………………………………………………5分</w:t>
      </w:r>
    </w:p>
    <w:p w14:paraId="65A3015E">
      <w:pPr>
        <w:rPr>
          <w:rFonts w:hint="eastAsia"/>
        </w:rPr>
      </w:pPr>
      <w:r>
        <w:rPr>
          <w:rFonts w:hint="eastAsia"/>
        </w:rPr>
        <w:t>一档(2分) :为本项目建立有相关的人员管理规章制度，内容简单，满足要求。提供3份以内相关制度。</w:t>
      </w:r>
    </w:p>
    <w:p w14:paraId="397854C8">
      <w:pPr>
        <w:rPr>
          <w:rFonts w:hint="eastAsia"/>
        </w:rPr>
      </w:pPr>
      <w:r>
        <w:rPr>
          <w:rFonts w:hint="eastAsia"/>
        </w:rPr>
        <w:t>二档(3分) :为本项目建立基本完善的人员管理规章制度，制度、管理相对详细，可操作较强，满足要求。提供5份以内相关制度。</w:t>
      </w:r>
    </w:p>
    <w:p w14:paraId="58594A22">
      <w:pPr>
        <w:rPr>
          <w:rFonts w:hint="eastAsia"/>
        </w:rPr>
      </w:pPr>
      <w:r>
        <w:rPr>
          <w:rFonts w:hint="eastAsia"/>
        </w:rPr>
        <w:t>三档(5分) :为本项目建立完善、详细、可行的人员管理规章制度，其中各部门管理制度、各岗位职责等管理内容丰富、可行性强，针对性强，完整、齐全。提供5份以上相关制度</w:t>
      </w:r>
    </w:p>
    <w:p w14:paraId="747DCD25">
      <w:pPr>
        <w:rPr>
          <w:rFonts w:hint="eastAsia"/>
        </w:rPr>
      </w:pPr>
      <w:r>
        <w:rPr>
          <w:rFonts w:hint="eastAsia"/>
        </w:rPr>
        <w:t>（3）人员配备 ……………………………………………………………………20分</w:t>
      </w:r>
    </w:p>
    <w:p w14:paraId="1933F9A2">
      <w:pPr>
        <w:rPr>
          <w:rFonts w:hint="eastAsia"/>
        </w:rPr>
      </w:pPr>
      <w:r>
        <w:rPr>
          <w:rFonts w:hint="eastAsia"/>
        </w:rPr>
        <w:t>①提供拟投入本项目服务人员具有半年及以上政务服务热线或政务回访服务工作经验，要求提供服务单位主管部门盖章等相关证明及投标人在投标截止时间</w:t>
      </w:r>
      <w:bookmarkEnd w:id="1"/>
      <w:r>
        <w:rPr>
          <w:rFonts w:hint="eastAsia"/>
        </w:rPr>
        <w:t>半年内任意一个月的社保缴费凭证或依法不用缴纳、免缴社保的凭证，本次所列拟投入的人员为中标后服务项目进驻人员。满足项目人员每提供1人得1分，最多5分，有符合前述条件的储备人员可随时上岗的，每提供1人得1分，最多5分。最多得10分。</w:t>
      </w:r>
    </w:p>
    <w:p w14:paraId="79FC729F">
      <w:pPr>
        <w:rPr>
          <w:rFonts w:hint="eastAsia"/>
        </w:rPr>
      </w:pPr>
      <w:r>
        <w:rPr>
          <w:rFonts w:hint="eastAsia"/>
        </w:rPr>
        <w:t xml:space="preserve"> ②供应商提供的本项目服务人员中具备工信部相关部门颁发的客服职业能力等级证书（不限等级）的，每人得2分，最多得6分。</w:t>
      </w:r>
    </w:p>
    <w:p w14:paraId="64C6357F">
      <w:pPr>
        <w:rPr>
          <w:rFonts w:hint="eastAsia"/>
        </w:rPr>
      </w:pPr>
      <w:r>
        <w:rPr>
          <w:rFonts w:hint="eastAsia"/>
        </w:rPr>
        <w:t>③供应商提供的本项目服务人员中具有二级乙等及以上普通话等级证书，每人得1分，最多得4分。</w:t>
      </w:r>
    </w:p>
    <w:p w14:paraId="22FF2D2B">
      <w:pPr>
        <w:rPr>
          <w:rFonts w:hint="eastAsia"/>
        </w:rPr>
      </w:pPr>
      <w:r>
        <w:rPr>
          <w:rFonts w:hint="eastAsia"/>
        </w:rPr>
        <w:t>3．商务分 …………………………………………………………………………30分</w:t>
      </w:r>
    </w:p>
    <w:p w14:paraId="327490E8">
      <w:pPr>
        <w:rPr>
          <w:rFonts w:hint="eastAsia"/>
        </w:rPr>
      </w:pPr>
      <w:r>
        <w:rPr>
          <w:rFonts w:hint="eastAsia"/>
        </w:rPr>
        <w:t>（1）服务业绩 ……………………………………………………………………18分</w:t>
      </w:r>
    </w:p>
    <w:p w14:paraId="3CE7D64B">
      <w:pPr>
        <w:rPr>
          <w:rFonts w:hint="eastAsia"/>
        </w:rPr>
      </w:pPr>
      <w:r>
        <w:rPr>
          <w:rFonts w:hint="eastAsia"/>
        </w:rPr>
        <w:t>提供202</w:t>
      </w:r>
      <w:r>
        <w:t>1</w:t>
      </w:r>
      <w:r>
        <w:rPr>
          <w:rFonts w:hint="eastAsia"/>
        </w:rPr>
        <w:t>年以来同类型服务项目的业绩（同类项目指政务回访服务或政务热线话务运营服务经验，以中标通知书或合同关键页为准），每个项目3分；提供2020年以来回访类服务项目、热线话务运营服务的业绩，每个项目得1分；同一个业绩不重复计分。满分18分。</w:t>
      </w:r>
    </w:p>
    <w:p w14:paraId="2514D610">
      <w:pPr>
        <w:rPr>
          <w:rFonts w:hint="eastAsia"/>
          <w:bCs/>
          <w:lang w:bidi="zh-CN"/>
        </w:rPr>
      </w:pPr>
      <w:r>
        <w:rPr>
          <w:rFonts w:hint="eastAsia"/>
          <w:bCs/>
          <w:lang w:bidi="zh-CN"/>
        </w:rPr>
        <w:t>（2）资质证书</w:t>
      </w:r>
      <w:r>
        <w:rPr>
          <w:rFonts w:hint="eastAsia"/>
        </w:rPr>
        <w:t>………………………………………………………………………6分</w:t>
      </w:r>
    </w:p>
    <w:p w14:paraId="2B64DCFC">
      <w:pPr>
        <w:rPr>
          <w:rFonts w:hint="eastAsia"/>
          <w:lang w:bidi="zh-CN"/>
        </w:rPr>
      </w:pPr>
      <w:r>
        <w:rPr>
          <w:rFonts w:hint="eastAsia"/>
          <w:lang w:bidi="zh-CN"/>
        </w:rPr>
        <w:t>供应商具有有效的ISO 27001信息安全管理体系认证证书得2分。</w:t>
      </w:r>
    </w:p>
    <w:p w14:paraId="577E79BA">
      <w:pPr>
        <w:rPr>
          <w:rFonts w:hint="eastAsia"/>
          <w:lang w:bidi="zh-CN"/>
        </w:rPr>
      </w:pPr>
      <w:r>
        <w:rPr>
          <w:rFonts w:hint="eastAsia"/>
          <w:lang w:bidi="zh-CN"/>
        </w:rPr>
        <w:t>供应商具有有效的ISO 90001质量管理体系认证证书得2分。</w:t>
      </w:r>
    </w:p>
    <w:p w14:paraId="2A10A7AB">
      <w:pPr>
        <w:rPr>
          <w:rFonts w:hint="eastAsia"/>
          <w:lang w:bidi="zh-CN"/>
        </w:rPr>
      </w:pPr>
      <w:r>
        <w:rPr>
          <w:rFonts w:hint="eastAsia"/>
          <w:lang w:bidi="zh-CN"/>
        </w:rPr>
        <w:t>供应商具有有效的ISO 45001职业健康安全管理体系认证证书得2分。</w:t>
      </w:r>
    </w:p>
    <w:p w14:paraId="5BFD0F74">
      <w:pPr>
        <w:rPr>
          <w:rFonts w:hint="eastAsia"/>
        </w:rPr>
      </w:pPr>
      <w:r>
        <w:rPr>
          <w:rFonts w:hint="eastAsia"/>
        </w:rPr>
        <w:t>（3）信用等级………………………………………………………………………6分</w:t>
      </w:r>
    </w:p>
    <w:p w14:paraId="1646C829">
      <w:pPr>
        <w:rPr>
          <w:rFonts w:hint="eastAsia"/>
          <w:lang w:bidi="zh-CN"/>
        </w:rPr>
      </w:pPr>
      <w:r>
        <w:rPr>
          <w:rFonts w:hint="eastAsia"/>
          <w:lang w:bidi="zh-CN"/>
        </w:rPr>
        <w:t>供应商提供有效的上一年度企业纳税信用等级评定结果，A级得6分，B级得4分，M级得2分，C级得1分，未提供不得分。</w:t>
      </w:r>
    </w:p>
    <w:p w14:paraId="34797967">
      <w:pPr>
        <w:rPr>
          <w:rFonts w:hint="eastAsia"/>
          <w:lang w:bidi="zh-CN"/>
        </w:rPr>
      </w:pPr>
      <w:r>
        <w:rPr>
          <w:rFonts w:hint="eastAsia"/>
          <w:lang w:bidi="zh-CN"/>
        </w:rPr>
        <w:t>备注：以上均须提供证明材料，未提供材料不得分。</w:t>
      </w:r>
    </w:p>
    <w:p w14:paraId="33333A36">
      <w:pPr>
        <w:pStyle w:val="7"/>
        <w:numPr>
          <w:ilvl w:val="0"/>
          <w:numId w:val="1"/>
        </w:numPr>
        <w:ind w:firstLine="480" w:firstLineChars="0"/>
        <w:rPr>
          <w:rFonts w:hint="eastAsia"/>
          <w:lang w:bidi="zh-CN"/>
        </w:rPr>
      </w:pPr>
      <w:r>
        <w:rPr>
          <w:rFonts w:hint="eastAsia"/>
          <w:lang w:bidi="zh-CN"/>
        </w:rPr>
        <w:t>总得分=1+2+3</w:t>
      </w:r>
    </w:p>
    <w:p w14:paraId="4F4D02A2">
      <w:pPr>
        <w:rPr>
          <w:rFonts w:hint="eastAsia"/>
          <w:lang w:bidi="zh-CN"/>
        </w:rPr>
      </w:pPr>
      <w:r>
        <w:rPr>
          <w:rFonts w:hint="eastAsia"/>
          <w:lang w:bidi="zh-CN"/>
        </w:rPr>
        <w:t>三、成交候选推荐原则</w:t>
      </w:r>
    </w:p>
    <w:p w14:paraId="586AD299">
      <w:pPr>
        <w:rPr>
          <w:rFonts w:hint="eastAsia"/>
          <w:lang w:bidi="zh-CN"/>
        </w:rPr>
      </w:pPr>
      <w:r>
        <w:rPr>
          <w:rFonts w:hint="eastAsia"/>
          <w:lang w:bidi="zh-CN"/>
        </w:rPr>
        <w:t>磋商小组将根据得分由高到低排列次序（总得分相同时，按照最后报价由低到高的顺序排列。总得分且最后报价相同的，按照技术指标优劣顺序排列。总得分且最后报价相同且</w:t>
      </w:r>
      <w:r>
        <w:rPr>
          <w:rStyle w:val="6"/>
          <w:rFonts w:hint="eastAsia"/>
        </w:rPr>
        <w:t>技术</w:t>
      </w:r>
      <w:r>
        <w:rPr>
          <w:rFonts w:hint="eastAsia"/>
          <w:lang w:bidi="zh-CN"/>
        </w:rPr>
        <w:t>指标得分相同，按照商务指标优劣顺序排列）推荐综合排名第一名的供应商为成交候选供应商。排名第一的成交候选人放弃成交、因不可抗力提出不能履行合同，采购单位可以确定排名第二的成交候选人为成交人，以此类推。采购人也可以重新组织采购。</w:t>
      </w:r>
    </w:p>
    <w:p w14:paraId="151E17F1">
      <w:pPr>
        <w:rPr>
          <w:rFonts w:hint="eastAsia"/>
        </w:rPr>
      </w:pPr>
    </w:p>
    <w:p w14:paraId="5FBB0A23"/>
    <w:sectPr>
      <w:footerReference r:id="rId5" w:type="default"/>
      <w:pgSz w:w="11906" w:h="16838"/>
      <w:pgMar w:top="1984" w:right="1417" w:bottom="1701" w:left="1417" w:header="851" w:footer="1247"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2000000000000000000"/>
    <w:charset w:val="86"/>
    <w:family w:val="auto"/>
    <w:pitch w:val="default"/>
    <w:sig w:usb0="A00002BF" w:usb1="38CF7CFA" w:usb2="00082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33BD">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63525"/>
              <wp:effectExtent l="0" t="0" r="0" b="0"/>
              <wp:wrapNone/>
              <wp:docPr id="1" name="4098"/>
              <wp:cNvGraphicFramePr/>
              <a:graphic xmlns:a="http://schemas.openxmlformats.org/drawingml/2006/main">
                <a:graphicData uri="http://schemas.microsoft.com/office/word/2010/wordprocessingShape">
                  <wps:wsp>
                    <wps:cNvSpPr txBox="1"/>
                    <wps:spPr>
                      <a:xfrm>
                        <a:off x="0" y="0"/>
                        <a:ext cx="711835" cy="263525"/>
                      </a:xfrm>
                      <a:prstGeom prst="rect">
                        <a:avLst/>
                      </a:prstGeom>
                      <a:noFill/>
                      <a:ln>
                        <a:noFill/>
                      </a:ln>
                    </wps:spPr>
                    <wps:txbx>
                      <w:txbxContent>
                        <w:p w14:paraId="15EF68A3">
                          <w:pPr>
                            <w:pStyle w:val="3"/>
                            <w:ind w:firstLine="360"/>
                          </w:pPr>
                          <w:r>
                            <w:rPr>
                              <w:rFonts w:hint="eastAsia"/>
                            </w:rPr>
                            <w:t xml:space="preserve">— </w:t>
                          </w:r>
                          <w:r>
                            <w:fldChar w:fldCharType="begin"/>
                          </w:r>
                          <w:r>
                            <w:instrText xml:space="preserve"> PAGE  \* MERGEFORMAT </w:instrText>
                          </w:r>
                          <w:r>
                            <w:fldChar w:fldCharType="separate"/>
                          </w:r>
                          <w:r>
                            <w:t>4</w:t>
                          </w:r>
                          <w:r>
                            <w:fldChar w:fldCharType="end"/>
                          </w:r>
                          <w:r>
                            <w:rPr>
                              <w:rFonts w:hint="eastAsia"/>
                            </w:rPr>
                            <w:t xml:space="preserve"> —</w:t>
                          </w:r>
                        </w:p>
                      </w:txbxContent>
                    </wps:txbx>
                    <wps:bodyPr wrap="none" lIns="0" tIns="0" rIns="0" bIns="0" upright="1">
                      <a:spAutoFit/>
                    </wps:bodyPr>
                  </wps:wsp>
                </a:graphicData>
              </a:graphic>
            </wp:anchor>
          </w:drawing>
        </mc:Choice>
        <mc:Fallback>
          <w:pict>
            <v:shape id="4098" o:spid="_x0000_s1026" o:spt="202" type="#_x0000_t202" style="position:absolute;left:0pt;margin-top:0pt;height:20.75pt;width:56.05pt;mso-position-horizontal:outside;mso-position-horizontal-relative:margin;mso-wrap-style:none;z-index:251659264;mso-width-relative:page;mso-height-relative:page;" filled="f" stroked="f" coordsize="21600,21600" o:gfxdata="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XpQJ9EAAAAEAQAADwAAAAAAAAABACAAAAAiAAAAZHJzL2Rvd25yZXYueG1sUEsBAhQAFAAA&#10;AAgAh07iQIo9zhq9AQAAkAMAAA4AAAAAAAAAAQAgAAAAIAEAAGRycy9lMm9Eb2MueG1sUEsFBgAA&#10;AAAGAAYAWQEAAE8FAAAAAA==&#10;">
              <v:fill on="f" focussize="0,0"/>
              <v:stroke on="f"/>
              <v:imagedata o:title=""/>
              <o:lock v:ext="edit" aspectratio="f"/>
              <v:textbox inset="0mm,0mm,0mm,0mm" style="mso-fit-shape-to-text:t;">
                <w:txbxContent>
                  <w:p w14:paraId="15EF68A3">
                    <w:pPr>
                      <w:pStyle w:val="3"/>
                      <w:ind w:firstLine="360"/>
                    </w:pPr>
                    <w:r>
                      <w:rPr>
                        <w:rFonts w:hint="eastAsia"/>
                      </w:rPr>
                      <w:t xml:space="preserve">— </w:t>
                    </w:r>
                    <w:r>
                      <w:fldChar w:fldCharType="begin"/>
                    </w:r>
                    <w:r>
                      <w:instrText xml:space="preserve"> PAGE  \* MERGEFORMAT </w:instrText>
                    </w:r>
                    <w:r>
                      <w:fldChar w:fldCharType="separate"/>
                    </w:r>
                    <w:r>
                      <w:t>4</w:t>
                    </w:r>
                    <w:r>
                      <w:fldChar w:fldCharType="end"/>
                    </w:r>
                    <w:r>
                      <w:rPr>
                        <w:rFonts w:hint="eastAsi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2A029"/>
    <w:multiLevelType w:val="singleLevel"/>
    <w:tmpl w:val="F182A02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538B9"/>
    <w:rsid w:val="0413351C"/>
    <w:rsid w:val="23526FB9"/>
    <w:rsid w:val="3017688A"/>
    <w:rsid w:val="4D382C97"/>
    <w:rsid w:val="5C3B4CCE"/>
    <w:rsid w:val="6A453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480" w:firstLineChars="200"/>
      <w:jc w:val="both"/>
    </w:pPr>
    <w:rPr>
      <w:rFonts w:ascii="黑体" w:hAnsi="黑体" w:eastAsia="黑体" w:cs="黑体"/>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hAnsi="Times New Roman"/>
      <w:sz w:val="52"/>
    </w:rPr>
  </w:style>
  <w:style w:type="paragraph" w:styleId="3">
    <w:name w:val="footer"/>
    <w:basedOn w:val="1"/>
    <w:qFormat/>
    <w:uiPriority w:val="99"/>
    <w:pPr>
      <w:tabs>
        <w:tab w:val="center" w:pos="4153"/>
        <w:tab w:val="right" w:pos="8306"/>
      </w:tabs>
      <w:jc w:val="left"/>
    </w:pPr>
    <w:rPr>
      <w:rFonts w:ascii="Calibri" w:hAnsi="Calibri" w:cs="宋体"/>
      <w:sz w:val="18"/>
      <w:szCs w:val="18"/>
    </w:rPr>
  </w:style>
  <w:style w:type="character" w:styleId="6">
    <w:name w:val="annotation reference"/>
    <w:basedOn w:val="5"/>
    <w:qFormat/>
    <w:uiPriority w:val="0"/>
    <w:rPr>
      <w:sz w:val="21"/>
      <w:szCs w:val="21"/>
    </w:rPr>
  </w:style>
  <w:style w:type="paragraph" w:styleId="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2025-09-08T09:30:00Z</dcterms:created>
  <dc:creator>꧁꫞꯭轻꯭舞꯭飞꯭扬꯭꫞꧂</dc:creator>
  <cp:lastModifiedBy>꧁꫞꯭轻꯭舞꯭飞꯭扬꯭꫞꧂</cp:lastModifiedBy>
  <dcterms:modified xsi:type="dcterms:W3CDTF">2025-09-08T09:32:44Z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C0EA9EF303C44DD994D3A8A0B456EC2A_11</vt:lpwstr>
  </property>
  <property fmtid="{D5CDD505-2E9C-101B-9397-08002B2CF9AE}" pid="4" name="KSOTemplateDocerSaveRecord">
    <vt:lpwstr>eyJoZGlkIjoiZTk5MjgyNWE5MDU4YjJhYjAwZTQxY2Y1NjNlMGVmNzgiLCJ1c2VySWQiOiIzODk5OTE3MzgifQ==</vt:lpwstr>
  </property>
</Properties>
</file>