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EF55D">
      <w:pPr>
        <w:spacing w:line="560" w:lineRule="exact"/>
        <w:ind w:left="436" w:hanging="436" w:hangingChars="100"/>
        <w:jc w:val="center"/>
        <w:rPr>
          <w:rFonts w:ascii="Times New Roman" w:hAnsi="Times New Roman" w:eastAsia="方正小标宋简体"/>
          <w:sz w:val="44"/>
          <w:szCs w:val="52"/>
        </w:rPr>
      </w:pPr>
      <w:bookmarkStart w:id="0" w:name="_GoBack"/>
      <w:bookmarkEnd w:id="0"/>
    </w:p>
    <w:p w14:paraId="18C026B9">
      <w:pPr>
        <w:spacing w:line="560" w:lineRule="exact"/>
        <w:ind w:left="436" w:hanging="436" w:hangingChars="100"/>
        <w:jc w:val="center"/>
        <w:rPr>
          <w:rFonts w:ascii="Times New Roman" w:hAnsi="Times New Roman" w:eastAsia="方正小标宋简体"/>
          <w:sz w:val="44"/>
          <w:szCs w:val="52"/>
        </w:rPr>
      </w:pPr>
      <w:r>
        <w:rPr>
          <w:rFonts w:hint="eastAsia" w:ascii="Times New Roman" w:hAnsi="Times New Roman" w:eastAsia="方正小标宋简体"/>
          <w:sz w:val="44"/>
          <w:szCs w:val="52"/>
        </w:rPr>
        <w:t>广西数据基础设施发展研究服务项目</w:t>
      </w:r>
      <w:r>
        <w:rPr>
          <w:rFonts w:hint="eastAsia" w:ascii="方正小标宋_GBK" w:hAnsi="方正小标宋_GBK" w:eastAsia="方正小标宋_GBK" w:cs="方正小标宋_GBK"/>
          <w:sz w:val="44"/>
          <w:szCs w:val="44"/>
        </w:rPr>
        <w:t>采购需求</w:t>
      </w:r>
    </w:p>
    <w:p w14:paraId="2307F8D9">
      <w:pPr>
        <w:spacing w:line="560" w:lineRule="exact"/>
        <w:ind w:firstLine="632" w:firstLineChars="200"/>
        <w:rPr>
          <w:rFonts w:hint="eastAsia" w:ascii="黑体" w:hAnsi="黑体" w:eastAsia="黑体" w:cs="黑体"/>
          <w:szCs w:val="40"/>
        </w:rPr>
      </w:pPr>
    </w:p>
    <w:p w14:paraId="3FF3C3A7">
      <w:pPr>
        <w:spacing w:line="560" w:lineRule="exact"/>
        <w:ind w:firstLine="632" w:firstLineChars="200"/>
        <w:rPr>
          <w:rFonts w:hint="eastAsia" w:ascii="黑体" w:hAnsi="黑体" w:eastAsia="黑体" w:cs="黑体"/>
          <w:szCs w:val="40"/>
        </w:rPr>
      </w:pPr>
      <w:r>
        <w:rPr>
          <w:rFonts w:hint="eastAsia" w:ascii="黑体" w:hAnsi="黑体" w:eastAsia="黑体" w:cs="黑体"/>
          <w:szCs w:val="40"/>
        </w:rPr>
        <w:t>一、项目名称</w:t>
      </w:r>
    </w:p>
    <w:p w14:paraId="2DD5A5A7">
      <w:pPr>
        <w:spacing w:line="560" w:lineRule="exact"/>
        <w:ind w:firstLine="632" w:firstLineChars="200"/>
        <w:rPr>
          <w:rFonts w:ascii="Times New Roman" w:hAnsi="Times New Roman" w:eastAsia="仿宋"/>
          <w:szCs w:val="40"/>
        </w:rPr>
      </w:pPr>
      <w:r>
        <w:rPr>
          <w:rFonts w:hint="eastAsia" w:ascii="Times New Roman" w:hAnsi="Times New Roman" w:eastAsia="仿宋"/>
          <w:szCs w:val="40"/>
        </w:rPr>
        <w:t>广西数据基础设施发展研究服务项目</w:t>
      </w:r>
    </w:p>
    <w:p w14:paraId="4F51B064">
      <w:pPr>
        <w:spacing w:line="540" w:lineRule="exact"/>
        <w:ind w:firstLine="632" w:firstLineChars="200"/>
        <w:rPr>
          <w:rFonts w:eastAsia="黑体" w:cs="黑体"/>
          <w:szCs w:val="32"/>
        </w:rPr>
      </w:pPr>
      <w:r>
        <w:rPr>
          <w:rFonts w:hint="eastAsia" w:eastAsia="黑体" w:cs="黑体"/>
          <w:szCs w:val="32"/>
        </w:rPr>
        <w:t>二、采购单位</w:t>
      </w:r>
    </w:p>
    <w:p w14:paraId="207BD36E">
      <w:pPr>
        <w:spacing w:line="540" w:lineRule="exact"/>
        <w:ind w:firstLine="632" w:firstLineChars="200"/>
        <w:rPr>
          <w:rFonts w:ascii="Times New Roman" w:hAnsi="Times New Roman" w:eastAsia="仿宋"/>
          <w:szCs w:val="40"/>
        </w:rPr>
      </w:pPr>
      <w:r>
        <w:rPr>
          <w:rFonts w:hint="eastAsia" w:ascii="Times New Roman" w:hAnsi="Times New Roman" w:eastAsia="仿宋"/>
          <w:szCs w:val="40"/>
        </w:rPr>
        <w:t>广西壮族自治区大数据发展局</w:t>
      </w:r>
    </w:p>
    <w:p w14:paraId="7B2BD62A">
      <w:pPr>
        <w:spacing w:line="560" w:lineRule="exact"/>
        <w:ind w:firstLine="632" w:firstLineChars="200"/>
        <w:rPr>
          <w:rFonts w:hint="eastAsia" w:ascii="黑体" w:hAnsi="黑体" w:eastAsia="黑体" w:cs="黑体"/>
          <w:szCs w:val="40"/>
        </w:rPr>
      </w:pPr>
      <w:r>
        <w:rPr>
          <w:rFonts w:hint="eastAsia" w:ascii="黑体" w:hAnsi="黑体" w:eastAsia="黑体" w:cs="黑体"/>
          <w:szCs w:val="40"/>
        </w:rPr>
        <w:t>三、项目预算</w:t>
      </w:r>
    </w:p>
    <w:p w14:paraId="2721F019">
      <w:pPr>
        <w:spacing w:line="540" w:lineRule="exact"/>
        <w:ind w:firstLine="632" w:firstLineChars="200"/>
        <w:rPr>
          <w:rFonts w:ascii="Times New Roman" w:hAnsi="Times New Roman" w:eastAsia="仿宋"/>
          <w:szCs w:val="40"/>
        </w:rPr>
      </w:pPr>
      <w:r>
        <w:rPr>
          <w:rFonts w:hint="eastAsia" w:ascii="仿宋" w:hAnsi="仿宋" w:eastAsia="仿宋" w:cs="仿宋"/>
          <w:szCs w:val="32"/>
        </w:rPr>
        <w:t>887815.00元</w:t>
      </w:r>
    </w:p>
    <w:p w14:paraId="14149C91">
      <w:pPr>
        <w:spacing w:line="540" w:lineRule="exact"/>
        <w:ind w:firstLine="632" w:firstLineChars="200"/>
        <w:rPr>
          <w:rFonts w:eastAsia="黑体" w:cs="黑体"/>
          <w:szCs w:val="32"/>
        </w:rPr>
      </w:pPr>
      <w:r>
        <w:rPr>
          <w:rFonts w:hint="eastAsia" w:eastAsia="黑体" w:cs="黑体"/>
          <w:szCs w:val="32"/>
        </w:rPr>
        <w:t>四、服务时间</w:t>
      </w:r>
    </w:p>
    <w:p w14:paraId="69416929">
      <w:pPr>
        <w:spacing w:line="540" w:lineRule="exact"/>
        <w:ind w:firstLine="632" w:firstLineChars="200"/>
        <w:rPr>
          <w:rFonts w:ascii="Times New Roman" w:hAnsi="Times New Roman" w:eastAsia="仿宋"/>
          <w:szCs w:val="40"/>
        </w:rPr>
      </w:pPr>
      <w:r>
        <w:rPr>
          <w:rFonts w:hint="eastAsia" w:ascii="Times New Roman" w:hAnsi="Times New Roman" w:eastAsia="仿宋"/>
          <w:szCs w:val="40"/>
        </w:rPr>
        <w:t>从合同签订之日起至2026年6月，成交供应商须于2026年6月底前提交全部服务成果。</w:t>
      </w:r>
    </w:p>
    <w:p w14:paraId="2D70BF2B">
      <w:pPr>
        <w:spacing w:line="560" w:lineRule="exact"/>
        <w:ind w:firstLine="632" w:firstLineChars="200"/>
        <w:rPr>
          <w:rFonts w:hint="eastAsia" w:ascii="黑体" w:hAnsi="黑体" w:eastAsia="黑体" w:cs="黑体"/>
          <w:szCs w:val="40"/>
        </w:rPr>
      </w:pPr>
      <w:r>
        <w:rPr>
          <w:rFonts w:hint="eastAsia" w:ascii="黑体" w:hAnsi="黑体" w:eastAsia="黑体" w:cs="黑体"/>
          <w:szCs w:val="40"/>
        </w:rPr>
        <w:t>五、项目招标方式</w:t>
      </w:r>
    </w:p>
    <w:p w14:paraId="1FE1FE07">
      <w:pPr>
        <w:spacing w:line="560" w:lineRule="exact"/>
        <w:ind w:firstLine="632" w:firstLineChars="200"/>
        <w:rPr>
          <w:rFonts w:ascii="Times New Roman" w:hAnsi="Times New Roman" w:eastAsia="仿宋"/>
          <w:szCs w:val="40"/>
        </w:rPr>
      </w:pPr>
      <w:r>
        <w:rPr>
          <w:rFonts w:hint="eastAsia" w:ascii="Times New Roman" w:hAnsi="Times New Roman" w:eastAsia="仿宋"/>
          <w:szCs w:val="40"/>
        </w:rPr>
        <w:t>局内控竞争性磋商</w:t>
      </w:r>
    </w:p>
    <w:p w14:paraId="37B3FA9D">
      <w:pPr>
        <w:spacing w:line="560" w:lineRule="exact"/>
        <w:ind w:firstLine="632" w:firstLineChars="200"/>
        <w:rPr>
          <w:rFonts w:hint="eastAsia" w:ascii="黑体" w:hAnsi="黑体" w:eastAsia="黑体" w:cs="黑体"/>
          <w:szCs w:val="40"/>
        </w:rPr>
      </w:pPr>
      <w:r>
        <w:rPr>
          <w:rFonts w:hint="eastAsia" w:ascii="黑体" w:hAnsi="黑体" w:eastAsia="黑体" w:cs="黑体"/>
          <w:szCs w:val="40"/>
        </w:rPr>
        <w:t>六、采购内容</w:t>
      </w:r>
    </w:p>
    <w:tbl>
      <w:tblPr>
        <w:tblStyle w:val="14"/>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655"/>
        <w:gridCol w:w="22"/>
        <w:gridCol w:w="686"/>
        <w:gridCol w:w="709"/>
        <w:gridCol w:w="6206"/>
      </w:tblGrid>
      <w:tr w14:paraId="2181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725942B5">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项号</w:t>
            </w:r>
          </w:p>
        </w:tc>
        <w:tc>
          <w:tcPr>
            <w:tcW w:w="1655" w:type="dxa"/>
            <w:tcBorders>
              <w:top w:val="single" w:color="auto" w:sz="4" w:space="0"/>
              <w:left w:val="single" w:color="auto" w:sz="4" w:space="0"/>
              <w:bottom w:val="single" w:color="auto" w:sz="4" w:space="0"/>
              <w:right w:val="single" w:color="auto" w:sz="4" w:space="0"/>
            </w:tcBorders>
            <w:vAlign w:val="center"/>
          </w:tcPr>
          <w:p w14:paraId="33D1C735">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服务名称</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0BDA7994">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7E4C8D0">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单位</w:t>
            </w:r>
          </w:p>
        </w:tc>
        <w:tc>
          <w:tcPr>
            <w:tcW w:w="6206" w:type="dxa"/>
            <w:tcBorders>
              <w:top w:val="single" w:color="auto" w:sz="4" w:space="0"/>
              <w:left w:val="single" w:color="auto" w:sz="4" w:space="0"/>
              <w:bottom w:val="single" w:color="auto" w:sz="4" w:space="0"/>
              <w:right w:val="single" w:color="auto" w:sz="4" w:space="0"/>
            </w:tcBorders>
            <w:vAlign w:val="center"/>
          </w:tcPr>
          <w:p w14:paraId="4A0B7B18">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内容和要求</w:t>
            </w:r>
          </w:p>
        </w:tc>
      </w:tr>
      <w:tr w14:paraId="616B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2D1DECB4">
            <w:pPr>
              <w:numPr>
                <w:ilvl w:val="0"/>
                <w:numId w:val="1"/>
              </w:numPr>
              <w:spacing w:line="360" w:lineRule="exact"/>
              <w:jc w:val="center"/>
              <w:rPr>
                <w:rFonts w:hint="eastAsia" w:ascii="方正仿宋_GBK" w:hAnsi="方正仿宋_GBK" w:eastAsia="方正仿宋_GBK" w:cs="方正仿宋_GBK"/>
                <w:b/>
                <w:sz w:val="24"/>
              </w:rPr>
            </w:pPr>
          </w:p>
        </w:tc>
        <w:tc>
          <w:tcPr>
            <w:tcW w:w="1655" w:type="dxa"/>
            <w:tcBorders>
              <w:top w:val="single" w:color="auto" w:sz="4" w:space="0"/>
              <w:left w:val="single" w:color="auto" w:sz="4" w:space="0"/>
              <w:bottom w:val="single" w:color="auto" w:sz="4" w:space="0"/>
              <w:right w:val="single" w:color="auto" w:sz="4" w:space="0"/>
            </w:tcBorders>
            <w:vAlign w:val="center"/>
          </w:tcPr>
          <w:p w14:paraId="39D85833">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广西数据基础设施发展研究服务项目</w:t>
            </w: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236AF70C">
            <w:pPr>
              <w:spacing w:line="360" w:lineRule="exact"/>
              <w:jc w:val="center"/>
              <w:rPr>
                <w:rFonts w:hint="eastAsia" w:ascii="方正仿宋_GBK" w:hAnsi="方正仿宋_GBK" w:eastAsia="方正仿宋_GBK" w:cs="方正仿宋_GBK"/>
                <w:sz w:val="24"/>
              </w:rPr>
            </w:pPr>
            <w:r>
              <w:rPr>
                <w:rFonts w:ascii="Times New Roman" w:hAnsi="Times New Roman" w:eastAsia="方正仿宋_GBK"/>
                <w:sz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50CDCD75">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w:t>
            </w:r>
          </w:p>
        </w:tc>
        <w:tc>
          <w:tcPr>
            <w:tcW w:w="6206" w:type="dxa"/>
            <w:tcBorders>
              <w:top w:val="single" w:color="auto" w:sz="4" w:space="0"/>
              <w:left w:val="single" w:color="auto" w:sz="4" w:space="0"/>
              <w:bottom w:val="single" w:color="auto" w:sz="4" w:space="0"/>
              <w:right w:val="single" w:color="auto" w:sz="4" w:space="0"/>
            </w:tcBorders>
          </w:tcPr>
          <w:p w14:paraId="2FA60B6E">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一、工作目标</w:t>
            </w:r>
          </w:p>
          <w:p w14:paraId="7D837D94">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本项目旨在通过深入研究数据基础设施的发展现状与应用前景，编制《广西数据基础设施发展研究报告》。该报告将全面分析数据基础设施的基本概念、体系架构与发展趋势，重点针对广西建设"中国—东盟信息港"核心枢纽的战略需求，提出符合国家战略导向和区域发展实际的规划建议。通过系统研究，为广西提供数据基础设施建设的决策参考，助力提升数据资源整合能力与流通效率，推动数字经济高质量发展，为"十五五"时期广西数据基础设施的科学布局提供理论支撑和实践指导。</w:t>
            </w:r>
          </w:p>
          <w:p w14:paraId="7CA11F41">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2026年6月底前，完成《广西数据基础设施发展研究报告》编制并提交，确保内容全面、前瞻性强，符合广西数字经济高质量发展需求。</w:t>
            </w:r>
          </w:p>
          <w:p w14:paraId="06A2F38F">
            <w:pPr>
              <w:widowControl/>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二、</w:t>
            </w:r>
            <w:r>
              <w:rPr>
                <w:rFonts w:hint="eastAsia" w:ascii="仿宋" w:hAnsi="仿宋" w:eastAsia="仿宋" w:cs="仿宋"/>
                <w:b/>
                <w:bCs/>
                <w:kern w:val="0"/>
                <w:sz w:val="24"/>
                <w:lang w:bidi="ar"/>
              </w:rPr>
              <w:t>技术要求</w:t>
            </w:r>
          </w:p>
          <w:p w14:paraId="5DABA678">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（一）内容框架设计</w:t>
            </w:r>
          </w:p>
          <w:p w14:paraId="17A87A9F">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根据广西数据基础设施建设现状与发展需求，设计科学合理的内容框架，涵盖数据基础设施的概念内涵、体系构成、关键技术</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重点工程（项目）</w:t>
            </w:r>
            <w:r>
              <w:rPr>
                <w:rFonts w:hint="eastAsia" w:ascii="仿宋" w:hAnsi="仿宋" w:eastAsia="仿宋" w:cs="仿宋"/>
                <w:kern w:val="0"/>
                <w:sz w:val="24"/>
                <w:lang w:bidi="ar"/>
              </w:rPr>
              <w:t>与发展路径。重点突出广西作为中国—东盟合作枢纽的区域特色，结合数字经济、智慧政务、跨境数据流动等应用场景，提出具有针对性的规划建议。</w:t>
            </w:r>
          </w:p>
          <w:p w14:paraId="62C1E408">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（二）深入调研与资料收集</w:t>
            </w:r>
          </w:p>
          <w:p w14:paraId="1FE79FE8">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全面调研广西数据基础设施的发展现状，包括但不限于政务云平台、算力基础设施、网络基础设施</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可信数据空间、高质量语料数据</w:t>
            </w:r>
            <w:r>
              <w:rPr>
                <w:rFonts w:hint="eastAsia" w:ascii="仿宋" w:hAnsi="仿宋" w:eastAsia="仿宋" w:cs="仿宋"/>
                <w:kern w:val="0"/>
                <w:sz w:val="24"/>
                <w:lang w:bidi="ar"/>
              </w:rPr>
              <w:t>等建设情况。深入研究《数据基础设施建设指引》《全球数据跨境流动合作倡议》等国际规则与国家标准，分析其对本项目的指导意义。综合借鉴国内外先进经验，确保研究内容的先进性与实用性。</w:t>
            </w:r>
          </w:p>
          <w:p w14:paraId="0938296F">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（三）理论与实践结合</w:t>
            </w:r>
          </w:p>
          <w:p w14:paraId="1B7B03C8">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研究应紧密结合数据基础设施的技术特点与广西实际应用需求，聚焦</w:t>
            </w:r>
            <w:r>
              <w:rPr>
                <w:rFonts w:hint="eastAsia" w:ascii="仿宋" w:hAnsi="仿宋" w:eastAsia="仿宋" w:cs="仿宋"/>
                <w:kern w:val="0"/>
                <w:sz w:val="24"/>
                <w:lang w:val="en-US" w:eastAsia="zh-CN" w:bidi="ar"/>
              </w:rPr>
              <w:t>数据供给流通利用设施</w:t>
            </w:r>
            <w:r>
              <w:rPr>
                <w:rFonts w:hint="eastAsia" w:ascii="仿宋" w:hAnsi="仿宋" w:eastAsia="仿宋" w:cs="仿宋"/>
                <w:kern w:val="0"/>
                <w:sz w:val="24"/>
                <w:lang w:bidi="ar"/>
              </w:rPr>
              <w:t>、算力调度平台、中国—东盟数字合作等关键领域，提出可操作的实施路径。通过典型案例分析，帮助相关部门把握数据基础设施建设的重点与难点。</w:t>
            </w:r>
          </w:p>
          <w:p w14:paraId="19B300A0">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（四）内容的专业性与可读性</w:t>
            </w:r>
          </w:p>
          <w:p w14:paraId="50E7B22B">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研究报告应做到概念清晰、逻辑严谨、表述准确，兼顾专业性与可读性，确保各级决策者能够快速理解数据基础设施的核心价值与实施要点。适当配图表、数据表格等可视化元素，增强报告的可理解性。</w:t>
            </w:r>
          </w:p>
          <w:p w14:paraId="1ABED19C">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（五）案例分析和实践指导</w:t>
            </w:r>
          </w:p>
          <w:p w14:paraId="60FA45CF">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通过区内外典型案例分析，总结数据基础设施建设的成功经验，为广西提供可借鉴的模式与方法。结合广西发展实际，提出切实可行的实施建议。</w:t>
            </w:r>
          </w:p>
          <w:p w14:paraId="17FA3AA9">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三、内容框架</w:t>
            </w:r>
          </w:p>
          <w:p w14:paraId="4A22EBF5">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完成《广西数据基础设施发展研究报告》编制，内容包含但不限于：</w:t>
            </w:r>
          </w:p>
          <w:p w14:paraId="2E725C18">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（一）总体思路</w:t>
            </w:r>
          </w:p>
          <w:p w14:paraId="43DFFE82">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提出数据基础设施对广西数字经济发展的重要意义，明确其在促进数据共享、支撑社会治理、推动产业转型等方面的核心作用。围绕中国—东盟信息港建设、数字丝绸之路等区域战略，提出广西数据基础设施发展的总体方向。</w:t>
            </w:r>
          </w:p>
          <w:p w14:paraId="5784DC3D">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（二）主要目标</w:t>
            </w:r>
          </w:p>
          <w:p w14:paraId="3F3911DB">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提出广西数据基础设施发展的短期与中长期目标，细化在网络覆盖、算力布局、数据流通、应用创新等方面的具体指标。参考《广西算力网络发展报告》等已有成果，提出符合实际的发展目标。</w:t>
            </w:r>
          </w:p>
          <w:p w14:paraId="6B1EDE1D">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（三）重点任务</w:t>
            </w:r>
          </w:p>
          <w:p w14:paraId="7371BC1D">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针对广西数据基础设施的关键环节，提出具体任务</w:t>
            </w:r>
            <w:r>
              <w:rPr>
                <w:rFonts w:hint="eastAsia" w:ascii="仿宋" w:hAnsi="仿宋" w:eastAsia="仿宋" w:cs="仿宋"/>
                <w:kern w:val="0"/>
                <w:sz w:val="24"/>
                <w:lang w:val="en-US" w:eastAsia="zh-CN" w:bidi="ar"/>
              </w:rPr>
              <w:t>及重点工程（项目）</w:t>
            </w:r>
            <w:r>
              <w:rPr>
                <w:rFonts w:hint="eastAsia" w:ascii="仿宋" w:hAnsi="仿宋" w:eastAsia="仿宋" w:cs="仿宋"/>
                <w:kern w:val="0"/>
                <w:sz w:val="24"/>
                <w:lang w:bidi="ar"/>
              </w:rPr>
              <w:t>，如优化壮美广西云平台体系、完善算力调度平台、</w:t>
            </w:r>
            <w:r>
              <w:rPr>
                <w:rFonts w:hint="eastAsia" w:ascii="仿宋" w:hAnsi="仿宋" w:eastAsia="仿宋" w:cs="仿宋"/>
                <w:kern w:val="0"/>
                <w:sz w:val="24"/>
                <w:lang w:val="en-US" w:eastAsia="zh-CN" w:bidi="ar"/>
              </w:rPr>
              <w:t>建设数据供给流通利用设施</w:t>
            </w:r>
            <w:r>
              <w:rPr>
                <w:rFonts w:hint="eastAsia" w:ascii="仿宋" w:hAnsi="仿宋" w:eastAsia="仿宋" w:cs="仿宋"/>
                <w:kern w:val="0"/>
                <w:sz w:val="24"/>
                <w:lang w:bidi="ar"/>
              </w:rPr>
              <w:t>、强化安全保障等。重点面向中国—东盟数字合作需求，提出跨境数据基础设施互联互通的实施方案。</w:t>
            </w:r>
          </w:p>
          <w:p w14:paraId="4E1F5C3F">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（四）保障支撑</w:t>
            </w:r>
          </w:p>
          <w:p w14:paraId="3715209F">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从政策支持、技术研发、产业生态、人才培养等方面提出保障措施，为广西数据基础设施的持续发展提供支撑。特别要注重与鲲鹏产业生态等自主创新体系的结合。</w:t>
            </w:r>
          </w:p>
          <w:p w14:paraId="2B7BBC08">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 xml:space="preserve">四、进度要求 </w:t>
            </w:r>
          </w:p>
          <w:p w14:paraId="1811CB12">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2026年5月底前完成研究报告编制并通过专家评审，2026年6月底前提交最终版《广西数据基础设施发展研究报告》。</w:t>
            </w:r>
          </w:p>
          <w:p w14:paraId="1904517A">
            <w:pPr>
              <w:widowControl/>
              <w:spacing w:line="360" w:lineRule="exact"/>
              <w:ind w:firstLine="47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五、成果要求</w:t>
            </w:r>
          </w:p>
          <w:p w14:paraId="0D7F3A44">
            <w:pPr>
              <w:spacing w:line="360" w:lineRule="exact"/>
              <w:ind w:firstLine="472" w:firstLineChars="200"/>
              <w:rPr>
                <w:rFonts w:hint="eastAsia" w:ascii="仿宋" w:hAnsi="仿宋" w:eastAsia="仿宋" w:cs="仿宋"/>
                <w:kern w:val="0"/>
                <w:sz w:val="24"/>
                <w:lang w:bidi="ar"/>
              </w:rPr>
            </w:pPr>
            <w:r>
              <w:rPr>
                <w:rFonts w:hint="eastAsia" w:ascii="仿宋" w:hAnsi="仿宋" w:eastAsia="仿宋" w:cs="仿宋"/>
                <w:kern w:val="0"/>
                <w:sz w:val="24"/>
                <w:lang w:bidi="ar"/>
              </w:rPr>
              <w:t>《广西数据基础设施发展研究报告》应具备较强的学术价值和实践指导意义，能够为各级部门在数据基础设施规划与建设中提供决策参考。成果需符合采购单位要求的格式与内容标准，并具备一定的推广价值。</w:t>
            </w:r>
          </w:p>
          <w:p w14:paraId="67BFF789">
            <w:pPr>
              <w:spacing w:line="360" w:lineRule="exact"/>
              <w:ind w:firstLine="472" w:firstLineChars="200"/>
              <w:rPr>
                <w:rFonts w:hint="eastAsia" w:ascii="方正仿宋_GBK" w:hAnsi="方正仿宋_GBK" w:eastAsia="方正仿宋_GBK" w:cs="方正仿宋_GBK"/>
                <w:color w:val="00B0F0"/>
                <w:sz w:val="24"/>
              </w:rPr>
            </w:pPr>
          </w:p>
        </w:tc>
      </w:tr>
      <w:tr w14:paraId="71F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14:paraId="7E504119">
            <w:pPr>
              <w:spacing w:line="360" w:lineRule="exact"/>
              <w:rPr>
                <w:rFonts w:hint="eastAsia" w:ascii="仿宋" w:hAnsi="仿宋" w:eastAsia="仿宋" w:cs="仿宋"/>
                <w:kern w:val="0"/>
                <w:sz w:val="24"/>
                <w:lang w:bidi="ar"/>
              </w:rPr>
            </w:pPr>
            <w:r>
              <w:rPr>
                <w:rFonts w:hint="eastAsia" w:ascii="方正仿宋_GBK" w:hAnsi="方正仿宋_GBK" w:eastAsia="方正仿宋_GBK" w:cs="方正仿宋_GBK"/>
                <w:b/>
                <w:sz w:val="24"/>
              </w:rPr>
              <w:t>商务要求表</w:t>
            </w:r>
          </w:p>
        </w:tc>
      </w:tr>
      <w:tr w14:paraId="5919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1C6E0789">
            <w:pPr>
              <w:tabs>
                <w:tab w:val="left" w:pos="180"/>
                <w:tab w:val="left" w:pos="1620"/>
              </w:tabs>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提交服务成果时间及地点</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77EAAB0D">
            <w:pPr>
              <w:adjustRightInd w:val="0"/>
              <w:snapToGrid w:val="0"/>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★1.提交服务成果时间：</w:t>
            </w:r>
            <w:r>
              <w:rPr>
                <w:rFonts w:hint="eastAsia" w:ascii="Times New Roman" w:hAnsi="Times New Roman" w:eastAsia="方正仿宋_GBK"/>
                <w:sz w:val="24"/>
              </w:rPr>
              <w:t>2026年5月底前，完成研究报告编制并通过专家评审；</w:t>
            </w:r>
            <w:r>
              <w:rPr>
                <w:rFonts w:ascii="Times New Roman" w:hAnsi="Times New Roman" w:eastAsia="方正仿宋_GBK"/>
                <w:sz w:val="24"/>
              </w:rPr>
              <w:t>2026年6月底前，完成成果要求中所有文件编制工作并上报。</w:t>
            </w:r>
          </w:p>
          <w:p w14:paraId="62BCDDF5">
            <w:pPr>
              <w:tabs>
                <w:tab w:val="left" w:pos="180"/>
                <w:tab w:val="left" w:pos="1620"/>
              </w:tabs>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2.提交形式：纸质和电子两种形式。最终成果按常规出版装订，报告文本、附表、附图、附件提交份数各8份，成果资料刻录光盘1张。</w:t>
            </w:r>
            <w:r>
              <w:rPr>
                <w:rFonts w:ascii="Times New Roman" w:hAnsi="Times New Roman" w:eastAsia="方正仿宋_GBK"/>
                <w:sz w:val="24"/>
                <w:lang w:val="en"/>
              </w:rPr>
              <w:t>采购方可根据需要适量增加。</w:t>
            </w:r>
          </w:p>
          <w:p w14:paraId="052B003F">
            <w:pPr>
              <w:tabs>
                <w:tab w:val="left" w:pos="180"/>
                <w:tab w:val="left" w:pos="1620"/>
              </w:tabs>
              <w:spacing w:line="360" w:lineRule="exact"/>
              <w:ind w:firstLine="472" w:firstLineChars="200"/>
              <w:jc w:val="left"/>
              <w:rPr>
                <w:rFonts w:hint="eastAsia" w:ascii="仿宋" w:hAnsi="仿宋" w:eastAsia="仿宋" w:cs="仿宋"/>
                <w:kern w:val="0"/>
                <w:sz w:val="24"/>
                <w:lang w:bidi="ar"/>
              </w:rPr>
            </w:pPr>
            <w:r>
              <w:rPr>
                <w:rFonts w:ascii="Times New Roman" w:hAnsi="Times New Roman" w:eastAsia="方正仿宋_GBK"/>
                <w:sz w:val="24"/>
              </w:rPr>
              <w:t>3.提交服务成果地点：广西区内采购人指定地点。</w:t>
            </w:r>
          </w:p>
        </w:tc>
      </w:tr>
      <w:tr w14:paraId="7550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6BBA266E">
            <w:pPr>
              <w:tabs>
                <w:tab w:val="left" w:pos="180"/>
                <w:tab w:val="left" w:pos="1620"/>
              </w:tabs>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磋商报价要求</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3FE74DC2">
            <w:pPr>
              <w:adjustRightInd w:val="0"/>
              <w:snapToGrid w:val="0"/>
              <w:spacing w:line="360" w:lineRule="exact"/>
              <w:ind w:firstLine="472"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项目磋商报价（及最终报价）为完成采购人指定内容的整体包干价，包含但不限于实施和完成本项目全部工作所需的劳务费、技术服务费、评审费、交通、通讯、保险、税费、利润和招标代理服务费等项目有关一切费用。</w:t>
            </w:r>
          </w:p>
          <w:p w14:paraId="6F85E585">
            <w:pPr>
              <w:adjustRightInd w:val="0"/>
              <w:snapToGrid w:val="0"/>
              <w:spacing w:line="360" w:lineRule="exact"/>
              <w:ind w:firstLine="472" w:firstLineChars="200"/>
              <w:jc w:val="left"/>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注：</w:t>
            </w:r>
          </w:p>
          <w:p w14:paraId="3D13A611">
            <w:pPr>
              <w:adjustRightInd w:val="0"/>
              <w:snapToGrid w:val="0"/>
              <w:spacing w:line="360" w:lineRule="exact"/>
              <w:ind w:firstLine="472" w:firstLineChars="200"/>
              <w:jc w:val="left"/>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1.本项目为整体服务包干项目，磋商报价（及最终报价）中应包含所有服务内容，成交后采购人服务期内不再另行支付额外费用。</w:t>
            </w:r>
          </w:p>
          <w:p w14:paraId="47D4A507">
            <w:pPr>
              <w:adjustRightInd w:val="0"/>
              <w:snapToGrid w:val="0"/>
              <w:spacing w:line="360" w:lineRule="exact"/>
              <w:ind w:firstLine="472" w:firstLineChars="200"/>
              <w:jc w:val="left"/>
              <w:rPr>
                <w:rFonts w:hint="eastAsia" w:ascii="仿宋" w:hAnsi="仿宋" w:eastAsia="仿宋" w:cs="仿宋"/>
                <w:kern w:val="0"/>
                <w:sz w:val="24"/>
                <w:lang w:bidi="ar"/>
              </w:rPr>
            </w:pPr>
            <w:r>
              <w:rPr>
                <w:rFonts w:hint="eastAsia" w:ascii="方正仿宋_GBK" w:hAnsi="方正仿宋_GBK" w:eastAsia="方正仿宋_GBK" w:cs="方正仿宋_GBK"/>
                <w:b/>
                <w:sz w:val="24"/>
              </w:rPr>
              <w:t>2.供应商的磋商报价（及最终报价）≤采购预算（人民币887815万元）。</w:t>
            </w:r>
          </w:p>
        </w:tc>
      </w:tr>
      <w:tr w14:paraId="7B8D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66F0B464">
            <w:pPr>
              <w:tabs>
                <w:tab w:val="left" w:pos="180"/>
                <w:tab w:val="left" w:pos="1620"/>
              </w:tabs>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质保期</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6DC06ABF">
            <w:pPr>
              <w:adjustRightInd w:val="0"/>
              <w:snapToGrid w:val="0"/>
              <w:spacing w:line="360" w:lineRule="exact"/>
              <w:ind w:firstLine="472" w:firstLineChars="200"/>
              <w:jc w:val="left"/>
              <w:rPr>
                <w:rFonts w:ascii="Times New Roman" w:hAnsi="Times New Roman" w:eastAsia="仿宋"/>
                <w:kern w:val="0"/>
                <w:sz w:val="24"/>
                <w:lang w:bidi="ar"/>
              </w:rPr>
            </w:pPr>
            <w:r>
              <w:rPr>
                <w:rFonts w:ascii="Times New Roman" w:hAnsi="Times New Roman" w:eastAsia="方正仿宋_GBK"/>
                <w:sz w:val="24"/>
              </w:rPr>
              <w:t>自提交服务成果完毕并验收合格之日起计不少于1年。</w:t>
            </w:r>
          </w:p>
        </w:tc>
      </w:tr>
      <w:tr w14:paraId="12F8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5C50CACB">
            <w:pPr>
              <w:tabs>
                <w:tab w:val="left" w:pos="180"/>
                <w:tab w:val="left" w:pos="1620"/>
              </w:tabs>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处理问题响应时间</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4154FEC9">
            <w:pPr>
              <w:adjustRightInd w:val="0"/>
              <w:snapToGrid w:val="0"/>
              <w:spacing w:line="360" w:lineRule="exact"/>
              <w:ind w:firstLine="472" w:firstLineChars="200"/>
              <w:jc w:val="left"/>
              <w:rPr>
                <w:rFonts w:ascii="Times New Roman" w:hAnsi="Times New Roman" w:eastAsia="仿宋"/>
                <w:kern w:val="0"/>
                <w:sz w:val="24"/>
                <w:lang w:bidi="ar"/>
              </w:rPr>
            </w:pPr>
            <w:r>
              <w:rPr>
                <w:rFonts w:ascii="Times New Roman" w:hAnsi="Times New Roman" w:eastAsia="方正仿宋_GBK"/>
                <w:sz w:val="24"/>
              </w:rPr>
              <w:t>接到采购人处理问题通知后3小时内回应并解决问题。</w:t>
            </w:r>
          </w:p>
        </w:tc>
      </w:tr>
      <w:tr w14:paraId="201C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2C5F1CB4">
            <w:pPr>
              <w:tabs>
                <w:tab w:val="left" w:pos="180"/>
                <w:tab w:val="left" w:pos="1620"/>
              </w:tabs>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服务要求</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55B74D9A">
            <w:pPr>
              <w:tabs>
                <w:tab w:val="left" w:pos="180"/>
                <w:tab w:val="left" w:pos="1620"/>
              </w:tabs>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1.根据本项目实际情况编制，应包含工作思路、方法、工作大纲等详细内容。</w:t>
            </w:r>
          </w:p>
          <w:p w14:paraId="3E090DFA">
            <w:pPr>
              <w:tabs>
                <w:tab w:val="left" w:pos="180"/>
                <w:tab w:val="left" w:pos="1620"/>
              </w:tabs>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2.发展路径应在充分收集资料的基础上，进行综合研究，使工作部署明确并有充分的依据和可操作性。</w:t>
            </w:r>
          </w:p>
          <w:p w14:paraId="17A92EE9">
            <w:pPr>
              <w:tabs>
                <w:tab w:val="left" w:pos="180"/>
                <w:tab w:val="left" w:pos="1620"/>
              </w:tabs>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3.研究应符合有关的标准、规范要求，内容完整，重点突出。</w:t>
            </w:r>
          </w:p>
          <w:p w14:paraId="756CE92D">
            <w:pPr>
              <w:widowControl/>
              <w:spacing w:line="360" w:lineRule="exact"/>
              <w:ind w:firstLine="472" w:firstLineChars="200"/>
              <w:jc w:val="left"/>
              <w:rPr>
                <w:rFonts w:hint="eastAsia" w:ascii="仿宋" w:hAnsi="仿宋" w:eastAsia="仿宋" w:cs="仿宋"/>
                <w:kern w:val="0"/>
                <w:sz w:val="24"/>
                <w:lang w:bidi="ar"/>
              </w:rPr>
            </w:pPr>
            <w:r>
              <w:rPr>
                <w:rFonts w:ascii="Times New Roman" w:hAnsi="Times New Roman" w:eastAsia="方正仿宋_GBK"/>
                <w:sz w:val="24"/>
              </w:rPr>
              <w:t>4.质量标准：编制质量符合国家现行相关规范标准的规定，达到主管部门评审标准，并通过评审。</w:t>
            </w:r>
          </w:p>
        </w:tc>
      </w:tr>
      <w:tr w14:paraId="6B4C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1CE4001A">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付款条件</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12C6D4E1">
            <w:pPr>
              <w:tabs>
                <w:tab w:val="left" w:pos="180"/>
                <w:tab w:val="left" w:pos="1620"/>
              </w:tabs>
              <w:spacing w:line="360" w:lineRule="exact"/>
              <w:ind w:firstLine="472" w:firstLineChars="200"/>
              <w:jc w:val="left"/>
              <w:rPr>
                <w:rFonts w:ascii="Times New Roman" w:hAnsi="Times New Roman" w:eastAsia="方正仿宋_GBK"/>
                <w:kern w:val="0"/>
                <w:sz w:val="24"/>
                <w:lang w:bidi="ar"/>
              </w:rPr>
            </w:pPr>
            <w:r>
              <w:rPr>
                <w:rFonts w:ascii="Times New Roman" w:hAnsi="Times New Roman" w:eastAsia="方正仿宋_GBK"/>
                <w:sz w:val="24"/>
              </w:rPr>
              <w:t>签订合同后10个工作日内，采购人向成交人支付成交金额的50%；成果全部通过验收后10个工作日内支付合同余款。</w:t>
            </w:r>
          </w:p>
          <w:p w14:paraId="004283E4">
            <w:pPr>
              <w:tabs>
                <w:tab w:val="left" w:pos="180"/>
                <w:tab w:val="left" w:pos="1620"/>
              </w:tabs>
              <w:spacing w:line="360" w:lineRule="exact"/>
              <w:ind w:firstLine="472" w:firstLineChars="200"/>
              <w:jc w:val="left"/>
              <w:rPr>
                <w:rFonts w:hint="eastAsia" w:ascii="仿宋" w:hAnsi="仿宋" w:eastAsia="仿宋" w:cs="仿宋"/>
                <w:kern w:val="0"/>
                <w:sz w:val="24"/>
                <w:lang w:bidi="ar"/>
              </w:rPr>
            </w:pPr>
            <w:r>
              <w:rPr>
                <w:rFonts w:ascii="Times New Roman" w:hAnsi="Times New Roman" w:eastAsia="方正仿宋_GBK"/>
                <w:sz w:val="24"/>
              </w:rPr>
              <w:t>每次付款前，成交供应商需向采购人提供请款函和对应的合法发票。在双方协商一致的情况下，采购人可将成交人提供的付款保函作为支付款项的条件，保函金额等于支付款项的金额。若成交人未能按照采购人的要求提供相应服务，则采购人有权从保函项下提取相应金额。</w:t>
            </w:r>
          </w:p>
        </w:tc>
      </w:tr>
      <w:tr w14:paraId="142D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2261" w:type="dxa"/>
            <w:gridSpan w:val="3"/>
            <w:tcBorders>
              <w:top w:val="single" w:color="auto" w:sz="4" w:space="0"/>
              <w:left w:val="single" w:color="auto" w:sz="4" w:space="0"/>
              <w:bottom w:val="single" w:color="auto" w:sz="4" w:space="0"/>
              <w:right w:val="single" w:color="auto" w:sz="4" w:space="0"/>
            </w:tcBorders>
            <w:vAlign w:val="center"/>
          </w:tcPr>
          <w:p w14:paraId="34AE2A76">
            <w:pPr>
              <w:spacing w:line="36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sz w:val="24"/>
              </w:rPr>
              <w:t>其他要求</w:t>
            </w:r>
          </w:p>
        </w:tc>
        <w:tc>
          <w:tcPr>
            <w:tcW w:w="7601" w:type="dxa"/>
            <w:gridSpan w:val="3"/>
            <w:tcBorders>
              <w:top w:val="single" w:color="auto" w:sz="4" w:space="0"/>
              <w:left w:val="single" w:color="auto" w:sz="4" w:space="0"/>
              <w:bottom w:val="single" w:color="auto" w:sz="4" w:space="0"/>
              <w:right w:val="single" w:color="auto" w:sz="4" w:space="0"/>
            </w:tcBorders>
            <w:vAlign w:val="center"/>
          </w:tcPr>
          <w:p w14:paraId="1BAD87D2">
            <w:pPr>
              <w:spacing w:line="360" w:lineRule="exact"/>
              <w:ind w:firstLine="47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一、总体要求</w:t>
            </w:r>
          </w:p>
          <w:p w14:paraId="5534B7DB">
            <w:pPr>
              <w:spacing w:line="360" w:lineRule="exact"/>
              <w:ind w:firstLine="47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1.磋商供应商可根据项目要求，在竞标文件中提出总体项目方案、编制方案、进度保障措施、服务保证措施、荣（信）誉、业绩、奖项、资质（格）证书及拟投入人员相关证明等材料。</w:t>
            </w:r>
          </w:p>
          <w:p w14:paraId="4EF0AF38">
            <w:pPr>
              <w:spacing w:line="360" w:lineRule="exact"/>
              <w:ind w:firstLine="47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2.磋商供应商须为本项目服务实施投入充足的服务人员，并确保竞标文件中的人员信息真实、有效。</w:t>
            </w:r>
          </w:p>
          <w:p w14:paraId="1A5E2E59">
            <w:pPr>
              <w:spacing w:line="360" w:lineRule="exact"/>
              <w:ind w:firstLine="47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sz w:val="24"/>
              </w:rPr>
              <w:t>二、验收要求及标准：</w:t>
            </w:r>
            <w:r>
              <w:rPr>
                <w:rFonts w:hint="eastAsia" w:ascii="方正仿宋_GBK" w:hAnsi="方正仿宋_GBK" w:eastAsia="方正仿宋_GBK" w:cs="方正仿宋_GBK"/>
                <w:sz w:val="24"/>
              </w:rPr>
              <w:t>根据采购需求的要求由采购方组织专家评审验收。</w:t>
            </w:r>
          </w:p>
          <w:p w14:paraId="65E6DB02">
            <w:pPr>
              <w:spacing w:line="360" w:lineRule="exact"/>
              <w:ind w:firstLine="47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三、其它要求</w:t>
            </w:r>
          </w:p>
          <w:p w14:paraId="014C97C7">
            <w:pPr>
              <w:widowControl/>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1.成交人及其工作人员对工作中涉及的国家秘密、商业秘密和个人隐私等予以保密，涉密文件和介质按相关规定使用和保存，未经批准不得对外透露工作信息，不得接受采访或以个人名义对外发表与评估内容相关的言论或文章。</w:t>
            </w:r>
          </w:p>
          <w:p w14:paraId="4C977948">
            <w:pPr>
              <w:widowControl/>
              <w:spacing w:line="360" w:lineRule="exact"/>
              <w:ind w:firstLine="472" w:firstLineChars="200"/>
              <w:jc w:val="left"/>
              <w:rPr>
                <w:rFonts w:ascii="Times New Roman" w:hAnsi="Times New Roman" w:eastAsia="方正仿宋_GBK"/>
                <w:sz w:val="24"/>
              </w:rPr>
            </w:pPr>
            <w:r>
              <w:rPr>
                <w:rFonts w:ascii="Times New Roman" w:hAnsi="Times New Roman" w:eastAsia="方正仿宋_GBK"/>
                <w:sz w:val="24"/>
              </w:rPr>
              <w:t>2.成交人不得将项目非法分包或转包给任何单位和个人，否则采购人有权即刻终止合同，并要求成交人赔偿相应损失。</w:t>
            </w:r>
          </w:p>
          <w:p w14:paraId="5747AB86">
            <w:pPr>
              <w:tabs>
                <w:tab w:val="left" w:pos="180"/>
                <w:tab w:val="left" w:pos="1620"/>
              </w:tabs>
              <w:spacing w:line="360" w:lineRule="exact"/>
              <w:ind w:firstLine="472" w:firstLineChars="200"/>
              <w:jc w:val="left"/>
              <w:rPr>
                <w:rFonts w:hint="eastAsia" w:ascii="仿宋" w:hAnsi="仿宋" w:eastAsia="仿宋" w:cs="仿宋"/>
                <w:kern w:val="0"/>
                <w:sz w:val="24"/>
                <w:lang w:bidi="ar"/>
              </w:rPr>
            </w:pPr>
            <w:r>
              <w:rPr>
                <w:rFonts w:ascii="Times New Roman" w:hAnsi="Times New Roman" w:eastAsia="方正仿宋_GBK"/>
                <w:sz w:val="24"/>
              </w:rPr>
              <w:t>3.知识产权：采购人在中华人民共和国境内使用成交人提供的产品及服务时免受第三方提出的侵犯其专利权或其它知识产权的起诉。如果第三方提出侵权指控，成交人应承担由此而引起的一切法律责任和费用。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r w14:paraId="0CA9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14:paraId="5005B037">
            <w:pPr>
              <w:tabs>
                <w:tab w:val="left" w:pos="180"/>
                <w:tab w:val="left" w:pos="1620"/>
              </w:tabs>
              <w:spacing w:line="360" w:lineRule="exact"/>
              <w:jc w:val="left"/>
              <w:rPr>
                <w:rFonts w:hint="eastAsia" w:ascii="方正仿宋_GBK" w:hAnsi="方正仿宋_GBK" w:eastAsia="方正仿宋_GBK" w:cs="方正仿宋_GBK"/>
                <w:b/>
                <w:sz w:val="24"/>
              </w:rPr>
            </w:pPr>
            <w:r>
              <w:rPr>
                <w:rFonts w:hint="eastAsia" w:ascii="方正仿宋_GBK" w:hAnsi="方正仿宋_GBK" w:eastAsia="方正仿宋_GBK" w:cs="方正仿宋_GBK"/>
                <w:b/>
                <w:kern w:val="0"/>
                <w:sz w:val="24"/>
              </w:rPr>
              <w:t>磋商小组根据与供应商磋商情况可能实质性变动的内容</w:t>
            </w:r>
          </w:p>
          <w:p w14:paraId="49AA45E5">
            <w:pPr>
              <w:tabs>
                <w:tab w:val="left" w:pos="180"/>
                <w:tab w:val="left" w:pos="1620"/>
              </w:tabs>
              <w:spacing w:line="360" w:lineRule="exact"/>
              <w:jc w:val="left"/>
              <w:rPr>
                <w:rFonts w:hint="eastAsia" w:ascii="仿宋" w:hAnsi="仿宋" w:eastAsia="仿宋" w:cs="仿宋"/>
                <w:kern w:val="0"/>
                <w:sz w:val="24"/>
                <w:lang w:bidi="ar"/>
              </w:rPr>
            </w:pPr>
            <w:r>
              <w:rPr>
                <w:rFonts w:hint="eastAsia" w:ascii="方正仿宋_GBK" w:hAnsi="方正仿宋_GBK" w:eastAsia="方正仿宋_GBK" w:cs="方正仿宋_GBK"/>
                <w:sz w:val="24"/>
              </w:rPr>
              <w:t>未标识‘★’及未表述为“须”或“必须”的采购项目技术规格、参数及要求。</w:t>
            </w:r>
          </w:p>
        </w:tc>
      </w:tr>
    </w:tbl>
    <w:p w14:paraId="33060248">
      <w:pPr>
        <w:rPr>
          <w:color w:val="00B0F0"/>
        </w:rPr>
      </w:pPr>
    </w:p>
    <w:sectPr>
      <w:footerReference r:id="rId9" w:type="first"/>
      <w:headerReference r:id="rId5" w:type="default"/>
      <w:footerReference r:id="rId7" w:type="default"/>
      <w:headerReference r:id="rId6" w:type="even"/>
      <w:footerReference r:id="rId8" w:type="even"/>
      <w:pgSz w:w="11907" w:h="16840"/>
      <w:pgMar w:top="2098" w:right="1474" w:bottom="1942" w:left="1588" w:header="851" w:footer="1418" w:gutter="0"/>
      <w:pgNumType w:fmt="numberInDash"/>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34"/>
    <w:family w:val="roman"/>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261D8">
    <w:pPr>
      <w:pStyle w:val="8"/>
      <w:wordWrap w:val="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1F5B1">
                          <w:pPr>
                            <w:pStyle w:val="8"/>
                            <w:wordWrap w:val="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1CB1F5B1">
                    <w:pPr>
                      <w:pStyle w:val="8"/>
                      <w:wordWrap w:val="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A8AA">
    <w:pPr>
      <w:pStyle w:val="8"/>
      <w:ind w:firstLine="280" w:firstLineChars="100"/>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0F95">
    <w:pPr>
      <w:pStyle w:val="8"/>
      <w:jc w:val="right"/>
      <w:rPr>
        <w:rFonts w:hint="eastAsia" w:ascii="仿宋" w:hAnsi="仿宋" w:eastAsia="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2E1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367A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zdhYWJiYTUyMjkyYTQwMzRkNGI4OGY4YzVjNjEifQ=="/>
  </w:docVars>
  <w:rsids>
    <w:rsidRoot w:val="00172A27"/>
    <w:rsid w:val="00020A0D"/>
    <w:rsid w:val="00075F80"/>
    <w:rsid w:val="000C079A"/>
    <w:rsid w:val="00172A27"/>
    <w:rsid w:val="001B2EDE"/>
    <w:rsid w:val="00264240"/>
    <w:rsid w:val="00282DD8"/>
    <w:rsid w:val="003818B7"/>
    <w:rsid w:val="003F142A"/>
    <w:rsid w:val="004509C6"/>
    <w:rsid w:val="00466EC6"/>
    <w:rsid w:val="00476B14"/>
    <w:rsid w:val="004B781F"/>
    <w:rsid w:val="006A68FD"/>
    <w:rsid w:val="0075311E"/>
    <w:rsid w:val="007A15E4"/>
    <w:rsid w:val="007F4166"/>
    <w:rsid w:val="008332D0"/>
    <w:rsid w:val="00A072BF"/>
    <w:rsid w:val="00A85A57"/>
    <w:rsid w:val="00A86D05"/>
    <w:rsid w:val="00B40FA7"/>
    <w:rsid w:val="00B6388A"/>
    <w:rsid w:val="00BD66E7"/>
    <w:rsid w:val="00C3526F"/>
    <w:rsid w:val="00CD6383"/>
    <w:rsid w:val="00D279FC"/>
    <w:rsid w:val="00DC027E"/>
    <w:rsid w:val="00E3265C"/>
    <w:rsid w:val="00E87DA6"/>
    <w:rsid w:val="00F56E3C"/>
    <w:rsid w:val="00F70694"/>
    <w:rsid w:val="04BD38C2"/>
    <w:rsid w:val="04D61E47"/>
    <w:rsid w:val="06C04496"/>
    <w:rsid w:val="08834FDD"/>
    <w:rsid w:val="0BA80E28"/>
    <w:rsid w:val="0CB90E13"/>
    <w:rsid w:val="0E010CC3"/>
    <w:rsid w:val="10775B6E"/>
    <w:rsid w:val="110E534D"/>
    <w:rsid w:val="14C54A64"/>
    <w:rsid w:val="1AD559B1"/>
    <w:rsid w:val="1B666609"/>
    <w:rsid w:val="1F5C66B9"/>
    <w:rsid w:val="2443398C"/>
    <w:rsid w:val="283C7070"/>
    <w:rsid w:val="28F9286B"/>
    <w:rsid w:val="2951229A"/>
    <w:rsid w:val="2A411EF1"/>
    <w:rsid w:val="2A783938"/>
    <w:rsid w:val="2B62290A"/>
    <w:rsid w:val="2D71CD28"/>
    <w:rsid w:val="2EFBC541"/>
    <w:rsid w:val="2EFE112F"/>
    <w:rsid w:val="2F3CA55A"/>
    <w:rsid w:val="32EA0735"/>
    <w:rsid w:val="3442198B"/>
    <w:rsid w:val="34A73AC3"/>
    <w:rsid w:val="36981915"/>
    <w:rsid w:val="3CE8383B"/>
    <w:rsid w:val="3F3F15FD"/>
    <w:rsid w:val="3FD360AF"/>
    <w:rsid w:val="420A743F"/>
    <w:rsid w:val="42655A84"/>
    <w:rsid w:val="434846C3"/>
    <w:rsid w:val="436332AB"/>
    <w:rsid w:val="437750FF"/>
    <w:rsid w:val="48BF0F83"/>
    <w:rsid w:val="4B2A6963"/>
    <w:rsid w:val="4BB442AE"/>
    <w:rsid w:val="4BFD8ADC"/>
    <w:rsid w:val="4DF79A39"/>
    <w:rsid w:val="4FDC6642"/>
    <w:rsid w:val="57175F34"/>
    <w:rsid w:val="58A71146"/>
    <w:rsid w:val="5AB71485"/>
    <w:rsid w:val="5ACF4D44"/>
    <w:rsid w:val="5C226C95"/>
    <w:rsid w:val="5C78796F"/>
    <w:rsid w:val="5F801A1D"/>
    <w:rsid w:val="5FBF7663"/>
    <w:rsid w:val="60B53A52"/>
    <w:rsid w:val="622B3897"/>
    <w:rsid w:val="68297D70"/>
    <w:rsid w:val="6ADB7A47"/>
    <w:rsid w:val="6C961086"/>
    <w:rsid w:val="6C9613A2"/>
    <w:rsid w:val="6EF44D4E"/>
    <w:rsid w:val="6F3C0AD9"/>
    <w:rsid w:val="6F56069F"/>
    <w:rsid w:val="6FFF3296"/>
    <w:rsid w:val="7075348F"/>
    <w:rsid w:val="70A02B99"/>
    <w:rsid w:val="70F76C5D"/>
    <w:rsid w:val="72671331"/>
    <w:rsid w:val="72758A65"/>
    <w:rsid w:val="73BBDC7D"/>
    <w:rsid w:val="74E35786"/>
    <w:rsid w:val="769B62DC"/>
    <w:rsid w:val="7715CF7A"/>
    <w:rsid w:val="79A57E88"/>
    <w:rsid w:val="79D77168"/>
    <w:rsid w:val="79FA77AD"/>
    <w:rsid w:val="7ADD07A3"/>
    <w:rsid w:val="7AE1082E"/>
    <w:rsid w:val="7E7B715A"/>
    <w:rsid w:val="7FB79582"/>
    <w:rsid w:val="7FDB5469"/>
    <w:rsid w:val="7FFF282B"/>
    <w:rsid w:val="9D76C8BF"/>
    <w:rsid w:val="9FD42A87"/>
    <w:rsid w:val="9FED0C9E"/>
    <w:rsid w:val="CEB70475"/>
    <w:rsid w:val="DBDD080F"/>
    <w:rsid w:val="DBFF6E31"/>
    <w:rsid w:val="DF7BA6D2"/>
    <w:rsid w:val="DFEB283D"/>
    <w:rsid w:val="E95F7D5F"/>
    <w:rsid w:val="EEB7B52D"/>
    <w:rsid w:val="EF73F415"/>
    <w:rsid w:val="EFBE156B"/>
    <w:rsid w:val="EFEF7475"/>
    <w:rsid w:val="FB9BD00F"/>
    <w:rsid w:val="FFFFF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仿宋_GB2312" w:cs="Times New Roman"/>
      <w:kern w:val="2"/>
      <w:sz w:val="32"/>
      <w:szCs w:val="24"/>
      <w:lang w:val="en-US" w:eastAsia="zh-CN" w:bidi="ar-SA"/>
    </w:rPr>
  </w:style>
  <w:style w:type="paragraph" w:styleId="2">
    <w:name w:val="heading 2"/>
    <w:basedOn w:val="1"/>
    <w:next w:val="1"/>
    <w:semiHidden/>
    <w:unhideWhenUsed/>
    <w:qFormat/>
    <w:uiPriority w:val="0"/>
    <w:pPr>
      <w:spacing w:beforeAutospacing="1" w:after="0" w:afterAutospacing="1"/>
      <w:jc w:val="left"/>
      <w:outlineLvl w:val="1"/>
    </w:pPr>
    <w:rPr>
      <w:rFonts w:hint="eastAsia" w:ascii="宋体" w:hAnsi="宋体" w:eastAsia="宋体"/>
      <w:b/>
      <w:bCs/>
      <w:kern w:val="0"/>
      <w:sz w:val="36"/>
      <w:szCs w:val="36"/>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annotation text"/>
    <w:basedOn w:val="1"/>
    <w:link w:val="24"/>
    <w:qFormat/>
    <w:uiPriority w:val="0"/>
    <w:pPr>
      <w:jc w:val="left"/>
    </w:pPr>
  </w:style>
  <w:style w:type="paragraph" w:styleId="6">
    <w:name w:val="Body Text"/>
    <w:basedOn w:val="1"/>
    <w:qFormat/>
    <w:uiPriority w:val="0"/>
    <w:pPr>
      <w:widowControl/>
      <w:spacing w:after="120" w:line="590" w:lineRule="exact"/>
      <w:jc w:val="center"/>
    </w:pPr>
    <w:rPr>
      <w:sz w:val="21"/>
    </w:rPr>
  </w:style>
  <w:style w:type="paragraph" w:styleId="7">
    <w:name w:val="Plain Text"/>
    <w:basedOn w:val="1"/>
    <w:next w:val="4"/>
    <w:qFormat/>
    <w:uiPriority w:val="0"/>
    <w:rPr>
      <w:rFonts w:ascii="宋体" w:hAnsi="Courier New"/>
      <w:szCs w:val="20"/>
    </w:rPr>
  </w:style>
  <w:style w:type="paragraph" w:styleId="8">
    <w:name w:val="footer"/>
    <w:basedOn w:val="1"/>
    <w:next w:val="1"/>
    <w:qFormat/>
    <w:uiPriority w:val="99"/>
    <w:pPr>
      <w:tabs>
        <w:tab w:val="center" w:pos="4153"/>
        <w:tab w:val="right" w:pos="8306"/>
      </w:tabs>
      <w:snapToGrid w:val="0"/>
      <w:jc w:val="left"/>
    </w:pPr>
    <w:rPr>
      <w:rFonts w:eastAsia="宋体"/>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10">
    <w:name w:val="table of figures"/>
    <w:basedOn w:val="1"/>
    <w:next w:val="1"/>
    <w:qFormat/>
    <w:uiPriority w:val="99"/>
    <w:pPr>
      <w:ind w:left="200" w:leftChars="200" w:hanging="200" w:hangingChars="200"/>
    </w:pPr>
  </w:style>
  <w:style w:type="paragraph" w:styleId="11">
    <w:name w:val="Normal (Web)"/>
    <w:basedOn w:val="1"/>
    <w:qFormat/>
    <w:uiPriority w:val="0"/>
    <w:pPr>
      <w:spacing w:beforeAutospacing="1" w:after="0" w:afterAutospacing="1"/>
      <w:jc w:val="left"/>
    </w:pPr>
    <w:rPr>
      <w:kern w:val="0"/>
      <w:sz w:val="24"/>
    </w:rPr>
  </w:style>
  <w:style w:type="paragraph" w:styleId="12">
    <w:name w:val="annotation subject"/>
    <w:basedOn w:val="5"/>
    <w:next w:val="5"/>
    <w:link w:val="25"/>
    <w:qFormat/>
    <w:uiPriority w:val="0"/>
    <w:rPr>
      <w:b/>
      <w:bCs/>
    </w:rPr>
  </w:style>
  <w:style w:type="paragraph" w:styleId="13">
    <w:name w:val="Body Text First Indent"/>
    <w:basedOn w:val="6"/>
    <w:unhideWhenUsed/>
    <w:qFormat/>
    <w:uiPriority w:val="99"/>
    <w:pPr>
      <w:ind w:firstLine="420" w:firstLineChars="100"/>
    </w:pPr>
  </w:style>
  <w:style w:type="character" w:styleId="16">
    <w:name w:val="Strong"/>
    <w:basedOn w:val="15"/>
    <w:qFormat/>
    <w:uiPriority w:val="0"/>
    <w:rPr>
      <w:b/>
    </w:rPr>
  </w:style>
  <w:style w:type="character" w:styleId="17">
    <w:name w:val="annotation reference"/>
    <w:qFormat/>
    <w:uiPriority w:val="0"/>
    <w:rPr>
      <w:sz w:val="21"/>
      <w:szCs w:val="21"/>
    </w:rPr>
  </w:style>
  <w:style w:type="paragraph" w:customStyle="1" w:styleId="18">
    <w:name w:val="列出段落1"/>
    <w:basedOn w:val="1"/>
    <w:unhideWhenUsed/>
    <w:qFormat/>
    <w:uiPriority w:val="99"/>
    <w:pPr>
      <w:ind w:firstLine="420" w:firstLineChars="200"/>
    </w:pPr>
  </w:style>
  <w:style w:type="character" w:customStyle="1" w:styleId="19">
    <w:name w:val="font41"/>
    <w:basedOn w:val="15"/>
    <w:qFormat/>
    <w:uiPriority w:val="0"/>
    <w:rPr>
      <w:rFonts w:hint="eastAsia" w:ascii="宋体" w:hAnsi="宋体" w:eastAsia="宋体" w:cs="宋体"/>
      <w:color w:val="000000"/>
      <w:sz w:val="24"/>
      <w:szCs w:val="24"/>
      <w:u w:val="none"/>
    </w:rPr>
  </w:style>
  <w:style w:type="character" w:customStyle="1" w:styleId="20">
    <w:name w:val="font31"/>
    <w:basedOn w:val="15"/>
    <w:qFormat/>
    <w:uiPriority w:val="0"/>
    <w:rPr>
      <w:rFonts w:hint="eastAsia" w:ascii="仿宋_GB2312" w:eastAsia="仿宋_GB2312" w:cs="仿宋_GB2312"/>
      <w:color w:val="000000"/>
      <w:sz w:val="24"/>
      <w:szCs w:val="24"/>
      <w:u w:val="none"/>
    </w:rPr>
  </w:style>
  <w:style w:type="character" w:customStyle="1" w:styleId="21">
    <w:name w:val="font51"/>
    <w:basedOn w:val="15"/>
    <w:qFormat/>
    <w:uiPriority w:val="0"/>
    <w:rPr>
      <w:rFonts w:hint="eastAsia" w:ascii="宋体" w:hAnsi="宋体" w:eastAsia="宋体" w:cs="宋体"/>
      <w:color w:val="000000"/>
      <w:sz w:val="24"/>
      <w:szCs w:val="24"/>
      <w:u w:val="none"/>
    </w:rPr>
  </w:style>
  <w:style w:type="character" w:customStyle="1" w:styleId="22">
    <w:name w:val="font21"/>
    <w:basedOn w:val="15"/>
    <w:qFormat/>
    <w:uiPriority w:val="0"/>
    <w:rPr>
      <w:rFonts w:hint="eastAsia" w:ascii="仿宋_GB2312" w:eastAsia="仿宋_GB2312" w:cs="仿宋_GB2312"/>
      <w:color w:val="000000"/>
      <w:sz w:val="24"/>
      <w:szCs w:val="24"/>
      <w:u w:val="none"/>
    </w:rPr>
  </w:style>
  <w:style w:type="paragraph" w:customStyle="1" w:styleId="23">
    <w:name w:val="Revision"/>
    <w:hidden/>
    <w:unhideWhenUsed/>
    <w:qFormat/>
    <w:uiPriority w:val="99"/>
    <w:pPr>
      <w:spacing w:after="0" w:line="240" w:lineRule="auto"/>
    </w:pPr>
    <w:rPr>
      <w:rFonts w:ascii="Calibri" w:hAnsi="Calibri" w:eastAsia="仿宋_GB2312" w:cs="Times New Roman"/>
      <w:kern w:val="2"/>
      <w:sz w:val="32"/>
      <w:szCs w:val="24"/>
      <w:lang w:val="en-US" w:eastAsia="zh-CN" w:bidi="ar-SA"/>
    </w:rPr>
  </w:style>
  <w:style w:type="character" w:customStyle="1" w:styleId="24">
    <w:name w:val="批注文字 字符"/>
    <w:basedOn w:val="15"/>
    <w:link w:val="5"/>
    <w:qFormat/>
    <w:uiPriority w:val="0"/>
    <w:rPr>
      <w:rFonts w:ascii="Calibri" w:hAnsi="Calibri" w:eastAsia="仿宋_GB2312"/>
      <w:kern w:val="2"/>
      <w:sz w:val="32"/>
      <w:szCs w:val="24"/>
    </w:rPr>
  </w:style>
  <w:style w:type="character" w:customStyle="1" w:styleId="25">
    <w:name w:val="批注主题 字符"/>
    <w:basedOn w:val="24"/>
    <w:link w:val="12"/>
    <w:qFormat/>
    <w:uiPriority w:val="0"/>
    <w:rPr>
      <w:rFonts w:ascii="Calibri" w:hAnsi="Calibri"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2821</Words>
  <Characters>2873</Characters>
  <Lines>91</Lines>
  <Paragraphs>85</Paragraphs>
  <TotalTime>38</TotalTime>
  <ScaleCrop>false</ScaleCrop>
  <LinksUpToDate>false</LinksUpToDate>
  <CharactersWithSpaces>2874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2026-02-11T16:59:00Z</dcterms:created>
  <dc:creator>66621</dc:creator>
  <cp:lastModifiedBy>yuge_nong</cp:lastModifiedBy>
  <dcterms:modified xsi:type="dcterms:W3CDTF">2026-02-25T21:02:22Z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B5F340A4FEAC1B44DEF29E69318530DA_43</vt:lpwstr>
  </property>
  <property fmtid="{D5CDD505-2E9C-101B-9397-08002B2CF9AE}" pid="4" name="KSOTemplateDocerSaveRecord">
    <vt:lpwstr>eyJoZGlkIjoiMzFkOTg2ODM4YzRmYTVjYTlkMzdlNWMwMjQ4NTAwMDAiLCJ1c2VySWQiOiIzODMzMDExNjIifQ==</vt:lpwstr>
  </property>
</Properties>
</file>